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89FB9" w14:textId="77777777" w:rsidR="001412F5" w:rsidRDefault="001412F5" w:rsidP="00F85AC0"/>
    <w:p w14:paraId="5C543873" w14:textId="77777777" w:rsidR="001412F5" w:rsidRDefault="001412F5" w:rsidP="00F85AC0"/>
    <w:p w14:paraId="26066F1E" w14:textId="77777777" w:rsidR="001412F5" w:rsidRDefault="001412F5" w:rsidP="00F85AC0"/>
    <w:p w14:paraId="5FE1957B" w14:textId="77777777" w:rsidR="001412F5" w:rsidRDefault="001412F5" w:rsidP="00F85AC0"/>
    <w:p w14:paraId="6C3089BD" w14:textId="77777777" w:rsidR="001412F5" w:rsidRDefault="001412F5" w:rsidP="00F85AC0"/>
    <w:p w14:paraId="1D2113BE" w14:textId="77777777" w:rsidR="001412F5" w:rsidRDefault="001412F5" w:rsidP="00F85AC0"/>
    <w:p w14:paraId="18FF3213" w14:textId="77777777" w:rsidR="001412F5" w:rsidRDefault="001412F5" w:rsidP="00F85AC0"/>
    <w:p w14:paraId="1130B269" w14:textId="77777777" w:rsidR="001412F5" w:rsidRPr="002E129B" w:rsidRDefault="00C16CC2" w:rsidP="002E129B">
      <w:pPr>
        <w:pStyle w:val="Title"/>
      </w:pPr>
      <w:r w:rsidRPr="002E129B">
        <w:t>Energy Efficiency Potential and Goals Study for 201</w:t>
      </w:r>
      <w:r w:rsidR="009900DE" w:rsidRPr="002E129B">
        <w:t>8</w:t>
      </w:r>
      <w:r w:rsidRPr="002E129B">
        <w:t xml:space="preserve"> and Beyond</w:t>
      </w:r>
    </w:p>
    <w:p w14:paraId="14391FC4" w14:textId="77777777" w:rsidR="001412F5" w:rsidRPr="009B4B73" w:rsidRDefault="0086406C" w:rsidP="00855231">
      <w:pPr>
        <w:pStyle w:val="Subtitle"/>
        <w:rPr>
          <w:rFonts w:ascii="Arial Bold" w:hAnsi="Arial Bold"/>
          <w:spacing w:val="0"/>
        </w:rPr>
      </w:pPr>
      <w:r w:rsidRPr="009B4B73">
        <w:rPr>
          <w:rFonts w:ascii="Arial Bold" w:hAnsi="Arial Bold"/>
          <w:spacing w:val="0"/>
        </w:rPr>
        <w:t xml:space="preserve">DRAFT </w:t>
      </w:r>
      <w:r w:rsidR="009B4B73" w:rsidRPr="009B4B73">
        <w:rPr>
          <w:rFonts w:ascii="Arial Bold" w:hAnsi="Arial Bold"/>
          <w:spacing w:val="0"/>
        </w:rPr>
        <w:t xml:space="preserve">Public </w:t>
      </w:r>
      <w:r w:rsidRPr="009B4B73">
        <w:rPr>
          <w:rFonts w:ascii="Arial Bold" w:hAnsi="Arial Bold"/>
          <w:spacing w:val="0"/>
        </w:rPr>
        <w:t>Report</w:t>
      </w:r>
    </w:p>
    <w:p w14:paraId="6E846FD4" w14:textId="77777777" w:rsidR="001412F5" w:rsidRPr="001D4FF7" w:rsidRDefault="001412F5" w:rsidP="001412F5">
      <w:pPr>
        <w:rPr>
          <w:rFonts w:ascii="Arial Bold" w:hAnsi="Arial Bold"/>
        </w:rPr>
      </w:pPr>
    </w:p>
    <w:p w14:paraId="69C2F8BF" w14:textId="77777777" w:rsidR="001412F5" w:rsidRPr="001D4FF7" w:rsidRDefault="001412F5" w:rsidP="00855231">
      <w:pPr>
        <w:pStyle w:val="Subtitle"/>
        <w:rPr>
          <w:rFonts w:ascii="Arial Bold" w:hAnsi="Arial Bold"/>
          <w:spacing w:val="0"/>
        </w:rPr>
      </w:pPr>
      <w:r w:rsidRPr="001D4FF7">
        <w:rPr>
          <w:rFonts w:ascii="Arial Bold" w:hAnsi="Arial Bold"/>
          <w:spacing w:val="0"/>
        </w:rPr>
        <w:t>Prepared for:</w:t>
      </w:r>
    </w:p>
    <w:p w14:paraId="77CDA468" w14:textId="77777777" w:rsidR="001412F5" w:rsidRPr="001D4FF7" w:rsidRDefault="00C16CC2" w:rsidP="00855231">
      <w:pPr>
        <w:pStyle w:val="Subtitle"/>
        <w:rPr>
          <w:rFonts w:ascii="Arial Bold" w:hAnsi="Arial Bold"/>
          <w:spacing w:val="0"/>
        </w:rPr>
      </w:pPr>
      <w:r>
        <w:rPr>
          <w:rFonts w:ascii="Arial Bold" w:hAnsi="Arial Bold"/>
          <w:spacing w:val="0"/>
        </w:rPr>
        <w:t>California Public Utilities Commission</w:t>
      </w:r>
    </w:p>
    <w:p w14:paraId="27290EA3" w14:textId="77777777" w:rsidR="001412F5" w:rsidRPr="00D92AA8" w:rsidRDefault="00C16CC2" w:rsidP="001412F5">
      <w:pPr>
        <w:rPr>
          <w:b/>
          <w:bCs/>
          <w:color w:val="6F6754"/>
        </w:rPr>
      </w:pPr>
      <w:r>
        <w:rPr>
          <w:b/>
          <w:bCs/>
          <w:noProof/>
          <w:color w:val="6F6754"/>
        </w:rPr>
        <w:drawing>
          <wp:inline distT="0" distB="0" distL="0" distR="0" wp14:anchorId="36185102" wp14:editId="5DE87A9D">
            <wp:extent cx="1642925" cy="1690777"/>
            <wp:effectExtent l="0" t="0" r="0" b="508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8863" t="31818" r="36730" b="28030"/>
                    <a:stretch>
                      <a:fillRect/>
                    </a:stretch>
                  </pic:blipFill>
                  <pic:spPr bwMode="auto">
                    <a:xfrm>
                      <a:off x="0" y="0"/>
                      <a:ext cx="1645688" cy="1693621"/>
                    </a:xfrm>
                    <a:prstGeom prst="rect">
                      <a:avLst/>
                    </a:prstGeom>
                    <a:noFill/>
                    <a:ln w="9525">
                      <a:noFill/>
                      <a:miter lim="800000"/>
                      <a:headEnd/>
                      <a:tailEnd/>
                    </a:ln>
                  </pic:spPr>
                </pic:pic>
              </a:graphicData>
            </a:graphic>
          </wp:inline>
        </w:drawing>
      </w:r>
    </w:p>
    <w:p w14:paraId="6D234992" w14:textId="77777777" w:rsidR="001412F5" w:rsidRPr="00D92AA8" w:rsidRDefault="001412F5" w:rsidP="001412F5">
      <w:pPr>
        <w:rPr>
          <w:b/>
          <w:bCs/>
          <w:color w:val="6F6754"/>
        </w:rPr>
      </w:pPr>
    </w:p>
    <w:p w14:paraId="7DCA5561" w14:textId="77777777" w:rsidR="001412F5" w:rsidRPr="00D92AA8" w:rsidRDefault="001412F5" w:rsidP="001412F5">
      <w:pPr>
        <w:rPr>
          <w:b/>
          <w:bCs/>
          <w:color w:val="6F6754"/>
        </w:rPr>
      </w:pPr>
    </w:p>
    <w:p w14:paraId="563A6771" w14:textId="77777777" w:rsidR="001412F5" w:rsidRPr="00D92AA8" w:rsidRDefault="001412F5" w:rsidP="001412F5">
      <w:pPr>
        <w:rPr>
          <w:b/>
          <w:bCs/>
          <w:color w:val="6F6754"/>
        </w:rPr>
      </w:pPr>
    </w:p>
    <w:p w14:paraId="199F47F9" w14:textId="77777777" w:rsidR="001412F5" w:rsidRPr="00D92AA8" w:rsidRDefault="001412F5" w:rsidP="001412F5">
      <w:pPr>
        <w:rPr>
          <w:b/>
          <w:bCs/>
          <w:color w:val="6F6754"/>
        </w:rPr>
      </w:pPr>
    </w:p>
    <w:p w14:paraId="0E98E0D8" w14:textId="77777777" w:rsidR="001412F5" w:rsidRPr="00D92AA8" w:rsidRDefault="001412F5" w:rsidP="001412F5">
      <w:pPr>
        <w:rPr>
          <w:b/>
          <w:bCs/>
          <w:color w:val="6F6754"/>
        </w:rPr>
      </w:pPr>
    </w:p>
    <w:p w14:paraId="19F67997" w14:textId="77777777" w:rsidR="001412F5" w:rsidRPr="001D4FF7" w:rsidRDefault="00AF6C48" w:rsidP="00F376CD">
      <w:pPr>
        <w:pStyle w:val="Subtitle"/>
        <w:rPr>
          <w:rStyle w:val="CoverText"/>
          <w:b w:val="0"/>
          <w:i/>
          <w:spacing w:val="0"/>
        </w:rPr>
      </w:pPr>
      <w:r w:rsidRPr="001D4FF7">
        <w:rPr>
          <w:rStyle w:val="CoverText"/>
          <w:i/>
          <w:spacing w:val="0"/>
        </w:rPr>
        <w:t>Submitted by:</w:t>
      </w:r>
    </w:p>
    <w:p w14:paraId="1FA35566" w14:textId="77777777" w:rsidR="001412F5" w:rsidRPr="001D4FF7" w:rsidRDefault="001412F5" w:rsidP="001412F5">
      <w:pPr>
        <w:rPr>
          <w:rStyle w:val="CoverText"/>
        </w:rPr>
      </w:pPr>
      <w:r w:rsidRPr="001D4FF7">
        <w:rPr>
          <w:rStyle w:val="CoverText"/>
        </w:rPr>
        <w:t>Navigant Consulting, Inc.</w:t>
      </w:r>
    </w:p>
    <w:p w14:paraId="580FDEBA" w14:textId="77777777" w:rsidR="001412F5" w:rsidRPr="001D4FF7" w:rsidRDefault="00C16CC2" w:rsidP="001412F5">
      <w:pPr>
        <w:rPr>
          <w:rStyle w:val="CoverText"/>
        </w:rPr>
      </w:pPr>
      <w:r>
        <w:rPr>
          <w:rStyle w:val="CoverText"/>
        </w:rPr>
        <w:t>1 Market Street</w:t>
      </w:r>
    </w:p>
    <w:p w14:paraId="73E07A02" w14:textId="77777777" w:rsidR="001412F5" w:rsidRPr="001D4FF7" w:rsidRDefault="00C16CC2" w:rsidP="001412F5">
      <w:pPr>
        <w:rPr>
          <w:rStyle w:val="CoverText"/>
        </w:rPr>
      </w:pPr>
      <w:r>
        <w:rPr>
          <w:rStyle w:val="CoverText"/>
        </w:rPr>
        <w:t>Spear Tower, Suite 1200</w:t>
      </w:r>
    </w:p>
    <w:p w14:paraId="05B582E9" w14:textId="77777777" w:rsidR="001412F5" w:rsidRPr="001D4FF7" w:rsidRDefault="00C16CC2" w:rsidP="001412F5">
      <w:pPr>
        <w:rPr>
          <w:rStyle w:val="CoverText"/>
        </w:rPr>
      </w:pPr>
      <w:r>
        <w:rPr>
          <w:rStyle w:val="CoverText"/>
        </w:rPr>
        <w:t>San Francisco, CA 94105</w:t>
      </w:r>
    </w:p>
    <w:p w14:paraId="1F6BD294" w14:textId="77777777" w:rsidR="001412F5" w:rsidRPr="001D4FF7" w:rsidRDefault="001412F5" w:rsidP="001412F5">
      <w:pPr>
        <w:rPr>
          <w:rStyle w:val="CoverText"/>
        </w:rPr>
      </w:pPr>
    </w:p>
    <w:p w14:paraId="067A3882" w14:textId="77777777" w:rsidR="001412F5" w:rsidRPr="001D4FF7" w:rsidRDefault="00C16CC2" w:rsidP="001412F5">
      <w:pPr>
        <w:rPr>
          <w:rStyle w:val="CoverText"/>
        </w:rPr>
      </w:pPr>
      <w:r>
        <w:rPr>
          <w:rStyle w:val="CoverText"/>
        </w:rPr>
        <w:t>415-356-7100</w:t>
      </w:r>
    </w:p>
    <w:p w14:paraId="19D6844F" w14:textId="77777777" w:rsidR="001412F5" w:rsidRPr="001D4FF7" w:rsidRDefault="001412F5" w:rsidP="001412F5">
      <w:pPr>
        <w:rPr>
          <w:rStyle w:val="CoverText"/>
        </w:rPr>
      </w:pPr>
      <w:r w:rsidRPr="001D4FF7">
        <w:rPr>
          <w:rStyle w:val="CoverText"/>
        </w:rPr>
        <w:t>navigant.com</w:t>
      </w:r>
    </w:p>
    <w:p w14:paraId="559E7D33" w14:textId="77777777" w:rsidR="001412F5" w:rsidRPr="001D4FF7" w:rsidRDefault="001412F5" w:rsidP="001412F5">
      <w:pPr>
        <w:rPr>
          <w:rStyle w:val="CoverText"/>
        </w:rPr>
      </w:pPr>
    </w:p>
    <w:p w14:paraId="3C35F7B4" w14:textId="77777777" w:rsidR="001412F5" w:rsidRPr="001D4FF7" w:rsidRDefault="001412F5" w:rsidP="001412F5">
      <w:pPr>
        <w:rPr>
          <w:rStyle w:val="CoverText"/>
        </w:rPr>
      </w:pPr>
    </w:p>
    <w:p w14:paraId="7D6C76A0" w14:textId="77777777" w:rsidR="00263755" w:rsidRPr="001D4FF7" w:rsidRDefault="008D4ACD" w:rsidP="001412F5">
      <w:pPr>
        <w:rPr>
          <w:rStyle w:val="CoverText"/>
        </w:rPr>
      </w:pPr>
      <w:r w:rsidRPr="001D4FF7">
        <w:rPr>
          <w:rStyle w:val="CoverText"/>
        </w:rPr>
        <w:t xml:space="preserve">Reference No.: </w:t>
      </w:r>
      <w:r w:rsidR="00C16CC2">
        <w:rPr>
          <w:rStyle w:val="CoverText"/>
        </w:rPr>
        <w:t>174655</w:t>
      </w:r>
    </w:p>
    <w:p w14:paraId="450FC7D8" w14:textId="3BBB0CFF" w:rsidR="001C0699" w:rsidRDefault="00AA6931" w:rsidP="001412F5">
      <w:pPr>
        <w:rPr>
          <w:rStyle w:val="CoverText"/>
        </w:rPr>
        <w:sectPr w:rsidR="001C0699" w:rsidSect="001C0699">
          <w:headerReference w:type="default" r:id="rId12"/>
          <w:footerReference w:type="default" r:id="rId13"/>
          <w:headerReference w:type="first" r:id="rId14"/>
          <w:footerReference w:type="first" r:id="rId15"/>
          <w:pgSz w:w="12240" w:h="15840" w:code="1"/>
          <w:pgMar w:top="1440" w:right="1440" w:bottom="1440" w:left="1440" w:header="720" w:footer="720" w:gutter="0"/>
          <w:pgNumType w:fmt="lowerRoman" w:start="1"/>
          <w:cols w:space="720"/>
          <w:titlePg/>
          <w:docGrid w:linePitch="360"/>
        </w:sectPr>
      </w:pPr>
      <w:r>
        <w:rPr>
          <w:rStyle w:val="CoverText"/>
        </w:rPr>
        <w:t xml:space="preserve">June </w:t>
      </w:r>
      <w:r w:rsidR="003F28AE">
        <w:rPr>
          <w:rStyle w:val="CoverText"/>
        </w:rPr>
        <w:t>15</w:t>
      </w:r>
      <w:r w:rsidR="00974FAC">
        <w:rPr>
          <w:rStyle w:val="CoverText"/>
        </w:rPr>
        <w:t>, 2017</w:t>
      </w:r>
    </w:p>
    <w:p w14:paraId="09727CB8" w14:textId="77777777" w:rsidR="00C16CC2" w:rsidRPr="001E5297" w:rsidRDefault="00C16CC2" w:rsidP="00C16CC2">
      <w:r w:rsidRPr="001E5297">
        <w:lastRenderedPageBreak/>
        <w:t>This study was conducted by Navigant Consulting, Inc. under contract to the California Public Utilities Commission. Principal authors include:</w:t>
      </w:r>
    </w:p>
    <w:p w14:paraId="08274AC1" w14:textId="77777777" w:rsidR="00C16CC2" w:rsidRPr="001E5297" w:rsidRDefault="00C16CC2" w:rsidP="004E4E36">
      <w:pPr>
        <w:pStyle w:val="ListParagraph"/>
        <w:numPr>
          <w:ilvl w:val="0"/>
          <w:numId w:val="58"/>
        </w:numPr>
      </w:pPr>
      <w:r w:rsidRPr="001E5297">
        <w:t>Greg Wikler</w:t>
      </w:r>
    </w:p>
    <w:p w14:paraId="666B9285" w14:textId="77777777" w:rsidR="00C16CC2" w:rsidRPr="001E5297" w:rsidRDefault="00C16CC2" w:rsidP="004E4E36">
      <w:pPr>
        <w:pStyle w:val="ListParagraph"/>
        <w:numPr>
          <w:ilvl w:val="0"/>
          <w:numId w:val="58"/>
        </w:numPr>
      </w:pPr>
      <w:r w:rsidRPr="001E5297">
        <w:t>Amul Sathe</w:t>
      </w:r>
    </w:p>
    <w:p w14:paraId="47E0F24D" w14:textId="77777777" w:rsidR="00C16CC2" w:rsidRPr="001E5297" w:rsidRDefault="00C16CC2" w:rsidP="004E4E36">
      <w:pPr>
        <w:pStyle w:val="ListParagraph"/>
        <w:numPr>
          <w:ilvl w:val="0"/>
          <w:numId w:val="58"/>
        </w:numPr>
      </w:pPr>
      <w:r w:rsidRPr="001E5297">
        <w:t>Surya Swamy</w:t>
      </w:r>
    </w:p>
    <w:p w14:paraId="1BBC42BA" w14:textId="77777777" w:rsidR="00D168E7" w:rsidRPr="001E5297" w:rsidRDefault="00D168E7" w:rsidP="004E4E36">
      <w:pPr>
        <w:pStyle w:val="ListParagraph"/>
        <w:numPr>
          <w:ilvl w:val="0"/>
          <w:numId w:val="58"/>
        </w:numPr>
      </w:pPr>
      <w:r w:rsidRPr="001E5297">
        <w:t>Carishma Menon</w:t>
      </w:r>
    </w:p>
    <w:p w14:paraId="20588960" w14:textId="77777777" w:rsidR="00D168E7" w:rsidRPr="001E5297" w:rsidRDefault="00D168E7" w:rsidP="004E4E36">
      <w:pPr>
        <w:pStyle w:val="ListParagraph"/>
        <w:numPr>
          <w:ilvl w:val="0"/>
          <w:numId w:val="58"/>
        </w:numPr>
      </w:pPr>
      <w:r w:rsidRPr="001E5297">
        <w:t>Debyani Ghosh</w:t>
      </w:r>
    </w:p>
    <w:p w14:paraId="7F9AFD5D" w14:textId="77777777" w:rsidR="00C16CC2" w:rsidRPr="001E5297" w:rsidRDefault="00C16CC2" w:rsidP="004E4E36">
      <w:pPr>
        <w:pStyle w:val="ListParagraph"/>
        <w:numPr>
          <w:ilvl w:val="0"/>
          <w:numId w:val="58"/>
        </w:numPr>
      </w:pPr>
      <w:r w:rsidRPr="001E5297">
        <w:t>Matt O'Hare</w:t>
      </w:r>
    </w:p>
    <w:p w14:paraId="77F6E2A6" w14:textId="77777777" w:rsidR="00D30C26" w:rsidRPr="001E5297" w:rsidRDefault="00D30C26" w:rsidP="004E4E36">
      <w:pPr>
        <w:pStyle w:val="ListParagraph"/>
        <w:numPr>
          <w:ilvl w:val="0"/>
          <w:numId w:val="58"/>
        </w:numPr>
      </w:pPr>
      <w:r w:rsidRPr="001E5297">
        <w:t>Kristin Landry</w:t>
      </w:r>
    </w:p>
    <w:p w14:paraId="556202E6" w14:textId="77777777" w:rsidR="003745E5" w:rsidRPr="001E5297" w:rsidRDefault="003745E5" w:rsidP="004E4E36">
      <w:pPr>
        <w:pStyle w:val="ListParagraph"/>
        <w:numPr>
          <w:ilvl w:val="0"/>
          <w:numId w:val="58"/>
        </w:numPr>
      </w:pPr>
      <w:r w:rsidRPr="001E5297">
        <w:t>Rosanna Ren</w:t>
      </w:r>
    </w:p>
    <w:p w14:paraId="2C16107E" w14:textId="77777777" w:rsidR="00C16CC2" w:rsidRPr="001E5297" w:rsidRDefault="00C16CC2" w:rsidP="004E4E36">
      <w:pPr>
        <w:pStyle w:val="ListParagraph"/>
        <w:numPr>
          <w:ilvl w:val="0"/>
          <w:numId w:val="58"/>
        </w:numPr>
      </w:pPr>
      <w:r w:rsidRPr="001E5297">
        <w:t>Julie Penning</w:t>
      </w:r>
    </w:p>
    <w:p w14:paraId="65836A91" w14:textId="77777777" w:rsidR="00590D0E" w:rsidRPr="001E5297" w:rsidRDefault="00590D0E" w:rsidP="004E4E36">
      <w:pPr>
        <w:pStyle w:val="ListParagraph"/>
        <w:numPr>
          <w:ilvl w:val="0"/>
          <w:numId w:val="58"/>
        </w:numPr>
      </w:pPr>
      <w:r w:rsidRPr="001E5297">
        <w:t>Nicole Reed Fry</w:t>
      </w:r>
    </w:p>
    <w:p w14:paraId="7D9C30BC" w14:textId="77777777" w:rsidR="006B2CAA" w:rsidRPr="001E5297" w:rsidRDefault="006B2CAA" w:rsidP="004E4E36">
      <w:pPr>
        <w:pStyle w:val="ListParagraph"/>
        <w:numPr>
          <w:ilvl w:val="0"/>
          <w:numId w:val="58"/>
        </w:numPr>
      </w:pPr>
      <w:r w:rsidRPr="001E5297">
        <w:t>David Bluestein</w:t>
      </w:r>
    </w:p>
    <w:p w14:paraId="6C06AA5C" w14:textId="77777777" w:rsidR="00C16CC2" w:rsidRPr="001E5297" w:rsidRDefault="00C16CC2" w:rsidP="00C16CC2"/>
    <w:p w14:paraId="56C2743F" w14:textId="77777777" w:rsidR="00C16CC2" w:rsidRPr="001E5297" w:rsidRDefault="00C16CC2" w:rsidP="00C16CC2">
      <w:r w:rsidRPr="001E5297">
        <w:t>Navigant was supported by:</w:t>
      </w:r>
    </w:p>
    <w:p w14:paraId="7CF27338" w14:textId="77777777" w:rsidR="00116031" w:rsidRPr="001E5297" w:rsidRDefault="00116031" w:rsidP="00116031"/>
    <w:p w14:paraId="7C3B1F7B" w14:textId="77777777" w:rsidR="001E5297" w:rsidRPr="001E5297" w:rsidRDefault="001E5297" w:rsidP="001E5297">
      <w:r w:rsidRPr="001E5297">
        <w:t xml:space="preserve"> </w:t>
      </w:r>
      <w:r w:rsidRPr="001E5297">
        <w:rPr>
          <w:noProof/>
        </w:rPr>
        <w:drawing>
          <wp:inline distT="0" distB="0" distL="0" distR="0" wp14:anchorId="3AB4BE6A" wp14:editId="42F9B921">
            <wp:extent cx="1630988" cy="539801"/>
            <wp:effectExtent l="0" t="0" r="7620" b="0"/>
            <wp:docPr id="39" name="Picture 39" descr="C:\Users\asathe1\AppData\Local\Microsoft\Windows\Temporary Internet Files\Content.Outlook\J45ZM16Y\TierraLogoFinal2.8.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the1\AppData\Local\Microsoft\Windows\Temporary Internet Files\Content.Outlook\J45ZM16Y\TierraLogoFinal2.8.15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965" cy="544427"/>
                    </a:xfrm>
                    <a:prstGeom prst="rect">
                      <a:avLst/>
                    </a:prstGeom>
                    <a:noFill/>
                    <a:ln>
                      <a:noFill/>
                    </a:ln>
                  </pic:spPr>
                </pic:pic>
              </a:graphicData>
            </a:graphic>
          </wp:inline>
        </w:drawing>
      </w:r>
    </w:p>
    <w:p w14:paraId="0333A082" w14:textId="77777777" w:rsidR="001E5297" w:rsidRPr="001E5297" w:rsidRDefault="001E5297" w:rsidP="001E5297"/>
    <w:p w14:paraId="6EA14136" w14:textId="77777777" w:rsidR="001E5297" w:rsidRDefault="001E5297" w:rsidP="001E5297"/>
    <w:p w14:paraId="3B4FB858" w14:textId="77777777" w:rsidR="001E5297" w:rsidRDefault="001E5297" w:rsidP="001E5297">
      <w:r w:rsidRPr="001E5297">
        <w:t>Special thanks are due to the staff of California Public Utilities Commission and the many stakeholders for providing direction, guidance, insight, and data throughout the conduct of this study.</w:t>
      </w:r>
    </w:p>
    <w:p w14:paraId="7C5FDEF5" w14:textId="77777777" w:rsidR="001E5297" w:rsidRDefault="001E5297">
      <w:pPr>
        <w:spacing w:line="240" w:lineRule="auto"/>
      </w:pPr>
      <w:r>
        <w:br w:type="page"/>
      </w:r>
    </w:p>
    <w:p w14:paraId="04F958CA" w14:textId="77777777" w:rsidR="001412F5" w:rsidRDefault="001412F5" w:rsidP="002E129B">
      <w:pPr>
        <w:pStyle w:val="Heading7"/>
        <w:rPr>
          <w:bCs/>
        </w:rPr>
      </w:pPr>
      <w:bookmarkStart w:id="0" w:name="_Toc62272964"/>
      <w:bookmarkStart w:id="1" w:name="_Toc482634256"/>
      <w:bookmarkStart w:id="2" w:name="_Toc482626388"/>
      <w:bookmarkStart w:id="3" w:name="_Toc484092459"/>
      <w:bookmarkStart w:id="4" w:name="_Toc484172662"/>
      <w:bookmarkStart w:id="5" w:name="_Toc484182999"/>
      <w:bookmarkStart w:id="6" w:name="_Toc485126508"/>
      <w:r>
        <w:lastRenderedPageBreak/>
        <w:t>Table of Contents</w:t>
      </w:r>
      <w:bookmarkEnd w:id="0"/>
      <w:bookmarkEnd w:id="1"/>
      <w:bookmarkEnd w:id="2"/>
      <w:bookmarkEnd w:id="3"/>
      <w:bookmarkEnd w:id="4"/>
      <w:bookmarkEnd w:id="5"/>
      <w:bookmarkEnd w:id="6"/>
    </w:p>
    <w:p w14:paraId="77D6CA94" w14:textId="0064A328" w:rsidR="00590D90" w:rsidRDefault="007B2FBD">
      <w:pPr>
        <w:pStyle w:val="TOC1"/>
        <w:rPr>
          <w:rFonts w:asciiTheme="minorHAnsi" w:eastAsiaTheme="minorEastAsia" w:hAnsiTheme="minorHAnsi" w:cstheme="minorBidi"/>
          <w:b w:val="0"/>
          <w:noProof/>
          <w:sz w:val="22"/>
        </w:rPr>
      </w:pPr>
      <w:r>
        <w:fldChar w:fldCharType="begin"/>
      </w:r>
      <w:r>
        <w:instrText xml:space="preserve"> TOC \o "1-3" \h \z \t "Heading 5,1,Heading 6,2,Heading 7,1,Heading 8,2,Heading 9,3" </w:instrText>
      </w:r>
      <w:r>
        <w:fldChar w:fldCharType="separate"/>
      </w:r>
      <w:hyperlink w:anchor="_Toc485126508" w:history="1">
        <w:r w:rsidR="00590D90" w:rsidRPr="009B7687">
          <w:rPr>
            <w:rStyle w:val="Hyperlink"/>
            <w:noProof/>
          </w:rPr>
          <w:t>Table of Contents</w:t>
        </w:r>
        <w:r w:rsidR="00590D90">
          <w:rPr>
            <w:noProof/>
            <w:webHidden/>
          </w:rPr>
          <w:tab/>
        </w:r>
        <w:r w:rsidR="00590D90">
          <w:rPr>
            <w:noProof/>
            <w:webHidden/>
          </w:rPr>
          <w:fldChar w:fldCharType="begin"/>
        </w:r>
        <w:r w:rsidR="00590D90">
          <w:rPr>
            <w:noProof/>
            <w:webHidden/>
          </w:rPr>
          <w:instrText xml:space="preserve"> PAGEREF _Toc485126508 \h </w:instrText>
        </w:r>
        <w:r w:rsidR="00590D90">
          <w:rPr>
            <w:noProof/>
            <w:webHidden/>
          </w:rPr>
        </w:r>
        <w:r w:rsidR="00590D90">
          <w:rPr>
            <w:noProof/>
            <w:webHidden/>
          </w:rPr>
          <w:fldChar w:fldCharType="separate"/>
        </w:r>
        <w:r w:rsidR="00590D90">
          <w:rPr>
            <w:noProof/>
            <w:webHidden/>
          </w:rPr>
          <w:t>ii</w:t>
        </w:r>
        <w:r w:rsidR="00590D90">
          <w:rPr>
            <w:noProof/>
            <w:webHidden/>
          </w:rPr>
          <w:fldChar w:fldCharType="end"/>
        </w:r>
      </w:hyperlink>
    </w:p>
    <w:p w14:paraId="06267C57" w14:textId="076AEFBB" w:rsidR="00590D90" w:rsidRDefault="00272F76">
      <w:pPr>
        <w:pStyle w:val="TOC1"/>
        <w:rPr>
          <w:rFonts w:asciiTheme="minorHAnsi" w:eastAsiaTheme="minorEastAsia" w:hAnsiTheme="minorHAnsi" w:cstheme="minorBidi"/>
          <w:b w:val="0"/>
          <w:noProof/>
          <w:sz w:val="22"/>
        </w:rPr>
      </w:pPr>
      <w:hyperlink w:anchor="_Toc485126509" w:history="1">
        <w:r w:rsidR="00590D90" w:rsidRPr="009B7687">
          <w:rPr>
            <w:rStyle w:val="Hyperlink"/>
            <w:noProof/>
          </w:rPr>
          <w:t>List of Figures and Tables</w:t>
        </w:r>
        <w:r w:rsidR="00590D90">
          <w:rPr>
            <w:noProof/>
            <w:webHidden/>
          </w:rPr>
          <w:tab/>
        </w:r>
        <w:r w:rsidR="00590D90">
          <w:rPr>
            <w:noProof/>
            <w:webHidden/>
          </w:rPr>
          <w:fldChar w:fldCharType="begin"/>
        </w:r>
        <w:r w:rsidR="00590D90">
          <w:rPr>
            <w:noProof/>
            <w:webHidden/>
          </w:rPr>
          <w:instrText xml:space="preserve"> PAGEREF _Toc485126509 \h </w:instrText>
        </w:r>
        <w:r w:rsidR="00590D90">
          <w:rPr>
            <w:noProof/>
            <w:webHidden/>
          </w:rPr>
        </w:r>
        <w:r w:rsidR="00590D90">
          <w:rPr>
            <w:noProof/>
            <w:webHidden/>
          </w:rPr>
          <w:fldChar w:fldCharType="separate"/>
        </w:r>
        <w:r w:rsidR="00590D90">
          <w:rPr>
            <w:noProof/>
            <w:webHidden/>
          </w:rPr>
          <w:t>v</w:t>
        </w:r>
        <w:r w:rsidR="00590D90">
          <w:rPr>
            <w:noProof/>
            <w:webHidden/>
          </w:rPr>
          <w:fldChar w:fldCharType="end"/>
        </w:r>
      </w:hyperlink>
    </w:p>
    <w:p w14:paraId="0D7CD0BA" w14:textId="3EF01380" w:rsidR="00590D90" w:rsidRDefault="00272F76">
      <w:pPr>
        <w:pStyle w:val="TOC1"/>
        <w:rPr>
          <w:rFonts w:asciiTheme="minorHAnsi" w:eastAsiaTheme="minorEastAsia" w:hAnsiTheme="minorHAnsi" w:cstheme="minorBidi"/>
          <w:b w:val="0"/>
          <w:noProof/>
          <w:sz w:val="22"/>
        </w:rPr>
      </w:pPr>
      <w:hyperlink w:anchor="_Toc485126510" w:history="1">
        <w:r w:rsidR="00590D90" w:rsidRPr="009B7687">
          <w:rPr>
            <w:rStyle w:val="Hyperlink"/>
            <w:noProof/>
          </w:rPr>
          <w:t>Disclaimer</w:t>
        </w:r>
        <w:r w:rsidR="00590D90">
          <w:rPr>
            <w:noProof/>
            <w:webHidden/>
          </w:rPr>
          <w:tab/>
        </w:r>
        <w:r w:rsidR="00590D90">
          <w:rPr>
            <w:noProof/>
            <w:webHidden/>
          </w:rPr>
          <w:fldChar w:fldCharType="begin"/>
        </w:r>
        <w:r w:rsidR="00590D90">
          <w:rPr>
            <w:noProof/>
            <w:webHidden/>
          </w:rPr>
          <w:instrText xml:space="preserve"> PAGEREF _Toc485126510 \h </w:instrText>
        </w:r>
        <w:r w:rsidR="00590D90">
          <w:rPr>
            <w:noProof/>
            <w:webHidden/>
          </w:rPr>
        </w:r>
        <w:r w:rsidR="00590D90">
          <w:rPr>
            <w:noProof/>
            <w:webHidden/>
          </w:rPr>
          <w:fldChar w:fldCharType="separate"/>
        </w:r>
        <w:r w:rsidR="00590D90">
          <w:rPr>
            <w:noProof/>
            <w:webHidden/>
          </w:rPr>
          <w:t>ix</w:t>
        </w:r>
        <w:r w:rsidR="00590D90">
          <w:rPr>
            <w:noProof/>
            <w:webHidden/>
          </w:rPr>
          <w:fldChar w:fldCharType="end"/>
        </w:r>
      </w:hyperlink>
    </w:p>
    <w:p w14:paraId="08602F1D" w14:textId="5132A08C" w:rsidR="00590D90" w:rsidRDefault="00272F76">
      <w:pPr>
        <w:pStyle w:val="TOC1"/>
        <w:rPr>
          <w:rFonts w:asciiTheme="minorHAnsi" w:eastAsiaTheme="minorEastAsia" w:hAnsiTheme="minorHAnsi" w:cstheme="minorBidi"/>
          <w:b w:val="0"/>
          <w:noProof/>
          <w:sz w:val="22"/>
        </w:rPr>
      </w:pPr>
      <w:hyperlink w:anchor="_Toc485126511" w:history="1">
        <w:r w:rsidR="00590D90" w:rsidRPr="009B7687">
          <w:rPr>
            <w:rStyle w:val="Hyperlink"/>
            <w:noProof/>
          </w:rPr>
          <w:t>Executive Summary</w:t>
        </w:r>
        <w:r w:rsidR="00590D90">
          <w:rPr>
            <w:noProof/>
            <w:webHidden/>
          </w:rPr>
          <w:tab/>
        </w:r>
        <w:r w:rsidR="00590D90">
          <w:rPr>
            <w:noProof/>
            <w:webHidden/>
          </w:rPr>
          <w:fldChar w:fldCharType="begin"/>
        </w:r>
        <w:r w:rsidR="00590D90">
          <w:rPr>
            <w:noProof/>
            <w:webHidden/>
          </w:rPr>
          <w:instrText xml:space="preserve"> PAGEREF _Toc485126511 \h </w:instrText>
        </w:r>
        <w:r w:rsidR="00590D90">
          <w:rPr>
            <w:noProof/>
            <w:webHidden/>
          </w:rPr>
        </w:r>
        <w:r w:rsidR="00590D90">
          <w:rPr>
            <w:noProof/>
            <w:webHidden/>
          </w:rPr>
          <w:fldChar w:fldCharType="separate"/>
        </w:r>
        <w:r w:rsidR="00590D90">
          <w:rPr>
            <w:noProof/>
            <w:webHidden/>
          </w:rPr>
          <w:t>x</w:t>
        </w:r>
        <w:r w:rsidR="00590D90">
          <w:rPr>
            <w:noProof/>
            <w:webHidden/>
          </w:rPr>
          <w:fldChar w:fldCharType="end"/>
        </w:r>
      </w:hyperlink>
    </w:p>
    <w:p w14:paraId="6CFC2035" w14:textId="17502192" w:rsidR="00590D90" w:rsidRDefault="00272F76">
      <w:pPr>
        <w:pStyle w:val="TOC2"/>
        <w:rPr>
          <w:rFonts w:asciiTheme="minorHAnsi" w:eastAsiaTheme="minorEastAsia" w:hAnsiTheme="minorHAnsi" w:cstheme="minorBidi"/>
          <w:sz w:val="22"/>
          <w:szCs w:val="22"/>
        </w:rPr>
      </w:pPr>
      <w:hyperlink w:anchor="_Toc485126512" w:history="1">
        <w:r w:rsidR="00590D90" w:rsidRPr="009B7687">
          <w:rPr>
            <w:rStyle w:val="Hyperlink"/>
          </w:rPr>
          <w:t>Background</w:t>
        </w:r>
        <w:r w:rsidR="00590D90">
          <w:rPr>
            <w:webHidden/>
          </w:rPr>
          <w:tab/>
        </w:r>
        <w:r w:rsidR="00590D90">
          <w:rPr>
            <w:webHidden/>
          </w:rPr>
          <w:fldChar w:fldCharType="begin"/>
        </w:r>
        <w:r w:rsidR="00590D90">
          <w:rPr>
            <w:webHidden/>
          </w:rPr>
          <w:instrText xml:space="preserve"> PAGEREF _Toc485126512 \h </w:instrText>
        </w:r>
        <w:r w:rsidR="00590D90">
          <w:rPr>
            <w:webHidden/>
          </w:rPr>
        </w:r>
        <w:r w:rsidR="00590D90">
          <w:rPr>
            <w:webHidden/>
          </w:rPr>
          <w:fldChar w:fldCharType="separate"/>
        </w:r>
        <w:r w:rsidR="00590D90">
          <w:rPr>
            <w:webHidden/>
          </w:rPr>
          <w:t>x</w:t>
        </w:r>
        <w:r w:rsidR="00590D90">
          <w:rPr>
            <w:webHidden/>
          </w:rPr>
          <w:fldChar w:fldCharType="end"/>
        </w:r>
      </w:hyperlink>
    </w:p>
    <w:p w14:paraId="1F6C85B2" w14:textId="3ECA6C10" w:rsidR="00590D90" w:rsidRDefault="00272F76">
      <w:pPr>
        <w:pStyle w:val="TOC2"/>
        <w:rPr>
          <w:rFonts w:asciiTheme="minorHAnsi" w:eastAsiaTheme="minorEastAsia" w:hAnsiTheme="minorHAnsi" w:cstheme="minorBidi"/>
          <w:sz w:val="22"/>
          <w:szCs w:val="22"/>
        </w:rPr>
      </w:pPr>
      <w:hyperlink w:anchor="_Toc485126513" w:history="1">
        <w:r w:rsidR="00590D90" w:rsidRPr="009B7687">
          <w:rPr>
            <w:rStyle w:val="Hyperlink"/>
          </w:rPr>
          <w:t>Scenarios</w:t>
        </w:r>
        <w:r w:rsidR="00590D90">
          <w:rPr>
            <w:webHidden/>
          </w:rPr>
          <w:tab/>
        </w:r>
        <w:r w:rsidR="00590D90">
          <w:rPr>
            <w:webHidden/>
          </w:rPr>
          <w:fldChar w:fldCharType="begin"/>
        </w:r>
        <w:r w:rsidR="00590D90">
          <w:rPr>
            <w:webHidden/>
          </w:rPr>
          <w:instrText xml:space="preserve"> PAGEREF _Toc485126513 \h </w:instrText>
        </w:r>
        <w:r w:rsidR="00590D90">
          <w:rPr>
            <w:webHidden/>
          </w:rPr>
        </w:r>
        <w:r w:rsidR="00590D90">
          <w:rPr>
            <w:webHidden/>
          </w:rPr>
          <w:fldChar w:fldCharType="separate"/>
        </w:r>
        <w:r w:rsidR="00590D90">
          <w:rPr>
            <w:webHidden/>
          </w:rPr>
          <w:t>xi</w:t>
        </w:r>
        <w:r w:rsidR="00590D90">
          <w:rPr>
            <w:webHidden/>
          </w:rPr>
          <w:fldChar w:fldCharType="end"/>
        </w:r>
      </w:hyperlink>
    </w:p>
    <w:p w14:paraId="2151BBA2" w14:textId="2485D873" w:rsidR="00590D90" w:rsidRDefault="00272F76">
      <w:pPr>
        <w:pStyle w:val="TOC2"/>
        <w:rPr>
          <w:rFonts w:asciiTheme="minorHAnsi" w:eastAsiaTheme="minorEastAsia" w:hAnsiTheme="minorHAnsi" w:cstheme="minorBidi"/>
          <w:sz w:val="22"/>
          <w:szCs w:val="22"/>
        </w:rPr>
      </w:pPr>
      <w:hyperlink w:anchor="_Toc485126514" w:history="1">
        <w:r w:rsidR="00590D90" w:rsidRPr="009B7687">
          <w:rPr>
            <w:rStyle w:val="Hyperlink"/>
          </w:rPr>
          <w:t>Results</w:t>
        </w:r>
        <w:r w:rsidR="00590D90">
          <w:rPr>
            <w:webHidden/>
          </w:rPr>
          <w:tab/>
        </w:r>
        <w:r w:rsidR="00590D90">
          <w:rPr>
            <w:webHidden/>
          </w:rPr>
          <w:fldChar w:fldCharType="begin"/>
        </w:r>
        <w:r w:rsidR="00590D90">
          <w:rPr>
            <w:webHidden/>
          </w:rPr>
          <w:instrText xml:space="preserve"> PAGEREF _Toc485126514 \h </w:instrText>
        </w:r>
        <w:r w:rsidR="00590D90">
          <w:rPr>
            <w:webHidden/>
          </w:rPr>
        </w:r>
        <w:r w:rsidR="00590D90">
          <w:rPr>
            <w:webHidden/>
          </w:rPr>
          <w:fldChar w:fldCharType="separate"/>
        </w:r>
        <w:r w:rsidR="00590D90">
          <w:rPr>
            <w:webHidden/>
          </w:rPr>
          <w:t>xiii</w:t>
        </w:r>
        <w:r w:rsidR="00590D90">
          <w:rPr>
            <w:webHidden/>
          </w:rPr>
          <w:fldChar w:fldCharType="end"/>
        </w:r>
      </w:hyperlink>
    </w:p>
    <w:p w14:paraId="5797F1A5" w14:textId="6E841345" w:rsidR="00590D90" w:rsidRDefault="00272F76">
      <w:pPr>
        <w:pStyle w:val="TOC3"/>
        <w:rPr>
          <w:rFonts w:asciiTheme="minorHAnsi" w:eastAsiaTheme="minorEastAsia" w:hAnsiTheme="minorHAnsi" w:cstheme="minorBidi"/>
          <w:sz w:val="22"/>
          <w:szCs w:val="22"/>
        </w:rPr>
      </w:pPr>
      <w:hyperlink w:anchor="_Toc485126515" w:history="1">
        <w:r w:rsidR="00590D90" w:rsidRPr="009B7687">
          <w:rPr>
            <w:rStyle w:val="Hyperlink"/>
          </w:rPr>
          <w:t>Rebate Program Scenario Results</w:t>
        </w:r>
        <w:r w:rsidR="00590D90">
          <w:rPr>
            <w:webHidden/>
          </w:rPr>
          <w:tab/>
        </w:r>
        <w:r w:rsidR="00590D90">
          <w:rPr>
            <w:webHidden/>
          </w:rPr>
          <w:fldChar w:fldCharType="begin"/>
        </w:r>
        <w:r w:rsidR="00590D90">
          <w:rPr>
            <w:webHidden/>
          </w:rPr>
          <w:instrText xml:space="preserve"> PAGEREF _Toc485126515 \h </w:instrText>
        </w:r>
        <w:r w:rsidR="00590D90">
          <w:rPr>
            <w:webHidden/>
          </w:rPr>
        </w:r>
        <w:r w:rsidR="00590D90">
          <w:rPr>
            <w:webHidden/>
          </w:rPr>
          <w:fldChar w:fldCharType="separate"/>
        </w:r>
        <w:r w:rsidR="00590D90">
          <w:rPr>
            <w:webHidden/>
          </w:rPr>
          <w:t>xvi</w:t>
        </w:r>
        <w:r w:rsidR="00590D90">
          <w:rPr>
            <w:webHidden/>
          </w:rPr>
          <w:fldChar w:fldCharType="end"/>
        </w:r>
      </w:hyperlink>
    </w:p>
    <w:p w14:paraId="7B1E1ED4" w14:textId="38EF609E" w:rsidR="00590D90" w:rsidRDefault="00272F76">
      <w:pPr>
        <w:pStyle w:val="TOC3"/>
        <w:rPr>
          <w:rFonts w:asciiTheme="minorHAnsi" w:eastAsiaTheme="minorEastAsia" w:hAnsiTheme="minorHAnsi" w:cstheme="minorBidi"/>
          <w:sz w:val="22"/>
          <w:szCs w:val="22"/>
        </w:rPr>
      </w:pPr>
      <w:hyperlink w:anchor="_Toc485126516" w:history="1">
        <w:r w:rsidR="00590D90" w:rsidRPr="009B7687">
          <w:rPr>
            <w:rStyle w:val="Hyperlink"/>
          </w:rPr>
          <w:t>BROS Scenario Results</w:t>
        </w:r>
        <w:r w:rsidR="00590D90">
          <w:rPr>
            <w:webHidden/>
          </w:rPr>
          <w:tab/>
        </w:r>
        <w:r w:rsidR="00590D90">
          <w:rPr>
            <w:webHidden/>
          </w:rPr>
          <w:fldChar w:fldCharType="begin"/>
        </w:r>
        <w:r w:rsidR="00590D90">
          <w:rPr>
            <w:webHidden/>
          </w:rPr>
          <w:instrText xml:space="preserve"> PAGEREF _Toc485126516 \h </w:instrText>
        </w:r>
        <w:r w:rsidR="00590D90">
          <w:rPr>
            <w:webHidden/>
          </w:rPr>
        </w:r>
        <w:r w:rsidR="00590D90">
          <w:rPr>
            <w:webHidden/>
          </w:rPr>
          <w:fldChar w:fldCharType="separate"/>
        </w:r>
        <w:r w:rsidR="00590D90">
          <w:rPr>
            <w:webHidden/>
          </w:rPr>
          <w:t>xviii</w:t>
        </w:r>
        <w:r w:rsidR="00590D90">
          <w:rPr>
            <w:webHidden/>
          </w:rPr>
          <w:fldChar w:fldCharType="end"/>
        </w:r>
      </w:hyperlink>
    </w:p>
    <w:p w14:paraId="4D91ADB1" w14:textId="70AD5B9B" w:rsidR="00590D90" w:rsidRDefault="00272F76">
      <w:pPr>
        <w:pStyle w:val="TOC3"/>
        <w:rPr>
          <w:rFonts w:asciiTheme="minorHAnsi" w:eastAsiaTheme="minorEastAsia" w:hAnsiTheme="minorHAnsi" w:cstheme="minorBidi"/>
          <w:sz w:val="22"/>
          <w:szCs w:val="22"/>
        </w:rPr>
      </w:pPr>
      <w:hyperlink w:anchor="_Toc485126517" w:history="1">
        <w:r w:rsidR="00590D90" w:rsidRPr="009B7687">
          <w:rPr>
            <w:rStyle w:val="Hyperlink"/>
          </w:rPr>
          <w:t>TRC Reference Scenario Results</w:t>
        </w:r>
        <w:r w:rsidR="00590D90">
          <w:rPr>
            <w:webHidden/>
          </w:rPr>
          <w:tab/>
        </w:r>
        <w:r w:rsidR="00590D90">
          <w:rPr>
            <w:webHidden/>
          </w:rPr>
          <w:fldChar w:fldCharType="begin"/>
        </w:r>
        <w:r w:rsidR="00590D90">
          <w:rPr>
            <w:webHidden/>
          </w:rPr>
          <w:instrText xml:space="preserve"> PAGEREF _Toc485126517 \h </w:instrText>
        </w:r>
        <w:r w:rsidR="00590D90">
          <w:rPr>
            <w:webHidden/>
          </w:rPr>
        </w:r>
        <w:r w:rsidR="00590D90">
          <w:rPr>
            <w:webHidden/>
          </w:rPr>
          <w:fldChar w:fldCharType="separate"/>
        </w:r>
        <w:r w:rsidR="00590D90">
          <w:rPr>
            <w:webHidden/>
          </w:rPr>
          <w:t>xix</w:t>
        </w:r>
        <w:r w:rsidR="00590D90">
          <w:rPr>
            <w:webHidden/>
          </w:rPr>
          <w:fldChar w:fldCharType="end"/>
        </w:r>
      </w:hyperlink>
    </w:p>
    <w:p w14:paraId="68C130BF" w14:textId="592EF0D9" w:rsidR="00590D90" w:rsidRDefault="00272F76">
      <w:pPr>
        <w:pStyle w:val="TOC1"/>
        <w:rPr>
          <w:rFonts w:asciiTheme="minorHAnsi" w:eastAsiaTheme="minorEastAsia" w:hAnsiTheme="minorHAnsi" w:cstheme="minorBidi"/>
          <w:b w:val="0"/>
          <w:noProof/>
          <w:sz w:val="22"/>
        </w:rPr>
      </w:pPr>
      <w:hyperlink w:anchor="_Toc485126518" w:history="1">
        <w:r w:rsidR="00590D90" w:rsidRPr="009B7687">
          <w:rPr>
            <w:rStyle w:val="Hyperlink"/>
            <w:noProof/>
          </w:rPr>
          <w:t>1. Introduction</w:t>
        </w:r>
        <w:r w:rsidR="00590D90">
          <w:rPr>
            <w:noProof/>
            <w:webHidden/>
          </w:rPr>
          <w:tab/>
        </w:r>
        <w:r w:rsidR="00590D90">
          <w:rPr>
            <w:noProof/>
            <w:webHidden/>
          </w:rPr>
          <w:fldChar w:fldCharType="begin"/>
        </w:r>
        <w:r w:rsidR="00590D90">
          <w:rPr>
            <w:noProof/>
            <w:webHidden/>
          </w:rPr>
          <w:instrText xml:space="preserve"> PAGEREF _Toc485126518 \h </w:instrText>
        </w:r>
        <w:r w:rsidR="00590D90">
          <w:rPr>
            <w:noProof/>
            <w:webHidden/>
          </w:rPr>
        </w:r>
        <w:r w:rsidR="00590D90">
          <w:rPr>
            <w:noProof/>
            <w:webHidden/>
          </w:rPr>
          <w:fldChar w:fldCharType="separate"/>
        </w:r>
        <w:r w:rsidR="00590D90">
          <w:rPr>
            <w:noProof/>
            <w:webHidden/>
          </w:rPr>
          <w:t>1</w:t>
        </w:r>
        <w:r w:rsidR="00590D90">
          <w:rPr>
            <w:noProof/>
            <w:webHidden/>
          </w:rPr>
          <w:fldChar w:fldCharType="end"/>
        </w:r>
      </w:hyperlink>
    </w:p>
    <w:p w14:paraId="5677FA3C" w14:textId="0F005BC5" w:rsidR="00590D90" w:rsidRDefault="00272F76">
      <w:pPr>
        <w:pStyle w:val="TOC2"/>
        <w:rPr>
          <w:rFonts w:asciiTheme="minorHAnsi" w:eastAsiaTheme="minorEastAsia" w:hAnsiTheme="minorHAnsi" w:cstheme="minorBidi"/>
          <w:sz w:val="22"/>
          <w:szCs w:val="22"/>
        </w:rPr>
      </w:pPr>
      <w:hyperlink w:anchor="_Toc485126519" w:history="1">
        <w:r w:rsidR="00590D90" w:rsidRPr="009B7687">
          <w:rPr>
            <w:rStyle w:val="Hyperlink"/>
          </w:rPr>
          <w:t>1.1 Context of the Goals and Potential Study</w:t>
        </w:r>
        <w:r w:rsidR="00590D90">
          <w:rPr>
            <w:webHidden/>
          </w:rPr>
          <w:tab/>
        </w:r>
        <w:r w:rsidR="00590D90">
          <w:rPr>
            <w:webHidden/>
          </w:rPr>
          <w:fldChar w:fldCharType="begin"/>
        </w:r>
        <w:r w:rsidR="00590D90">
          <w:rPr>
            <w:webHidden/>
          </w:rPr>
          <w:instrText xml:space="preserve"> PAGEREF _Toc485126519 \h </w:instrText>
        </w:r>
        <w:r w:rsidR="00590D90">
          <w:rPr>
            <w:webHidden/>
          </w:rPr>
        </w:r>
        <w:r w:rsidR="00590D90">
          <w:rPr>
            <w:webHidden/>
          </w:rPr>
          <w:fldChar w:fldCharType="separate"/>
        </w:r>
        <w:r w:rsidR="00590D90">
          <w:rPr>
            <w:webHidden/>
          </w:rPr>
          <w:t>1</w:t>
        </w:r>
        <w:r w:rsidR="00590D90">
          <w:rPr>
            <w:webHidden/>
          </w:rPr>
          <w:fldChar w:fldCharType="end"/>
        </w:r>
      </w:hyperlink>
    </w:p>
    <w:p w14:paraId="53C7AA62" w14:textId="39435099" w:rsidR="00590D90" w:rsidRDefault="00272F76">
      <w:pPr>
        <w:pStyle w:val="TOC2"/>
        <w:rPr>
          <w:rFonts w:asciiTheme="minorHAnsi" w:eastAsiaTheme="minorEastAsia" w:hAnsiTheme="minorHAnsi" w:cstheme="minorBidi"/>
          <w:sz w:val="22"/>
          <w:szCs w:val="22"/>
        </w:rPr>
      </w:pPr>
      <w:hyperlink w:anchor="_Toc485126520" w:history="1">
        <w:r w:rsidR="00590D90" w:rsidRPr="009B7687">
          <w:rPr>
            <w:rStyle w:val="Hyperlink"/>
          </w:rPr>
          <w:t>1.2 Types of Potential</w:t>
        </w:r>
        <w:r w:rsidR="00590D90">
          <w:rPr>
            <w:webHidden/>
          </w:rPr>
          <w:tab/>
        </w:r>
        <w:r w:rsidR="00590D90">
          <w:rPr>
            <w:webHidden/>
          </w:rPr>
          <w:fldChar w:fldCharType="begin"/>
        </w:r>
        <w:r w:rsidR="00590D90">
          <w:rPr>
            <w:webHidden/>
          </w:rPr>
          <w:instrText xml:space="preserve"> PAGEREF _Toc485126520 \h </w:instrText>
        </w:r>
        <w:r w:rsidR="00590D90">
          <w:rPr>
            <w:webHidden/>
          </w:rPr>
        </w:r>
        <w:r w:rsidR="00590D90">
          <w:rPr>
            <w:webHidden/>
          </w:rPr>
          <w:fldChar w:fldCharType="separate"/>
        </w:r>
        <w:r w:rsidR="00590D90">
          <w:rPr>
            <w:webHidden/>
          </w:rPr>
          <w:t>2</w:t>
        </w:r>
        <w:r w:rsidR="00590D90">
          <w:rPr>
            <w:webHidden/>
          </w:rPr>
          <w:fldChar w:fldCharType="end"/>
        </w:r>
      </w:hyperlink>
    </w:p>
    <w:p w14:paraId="2DE06298" w14:textId="44F989D6" w:rsidR="00590D90" w:rsidRDefault="00272F76">
      <w:pPr>
        <w:pStyle w:val="TOC2"/>
        <w:rPr>
          <w:rFonts w:asciiTheme="minorHAnsi" w:eastAsiaTheme="minorEastAsia" w:hAnsiTheme="minorHAnsi" w:cstheme="minorBidi"/>
          <w:sz w:val="22"/>
          <w:szCs w:val="22"/>
        </w:rPr>
      </w:pPr>
      <w:hyperlink w:anchor="_Toc485126521" w:history="1">
        <w:r w:rsidR="00590D90" w:rsidRPr="009B7687">
          <w:rPr>
            <w:rStyle w:val="Hyperlink"/>
          </w:rPr>
          <w:t>1.3 Scope of this Study</w:t>
        </w:r>
        <w:r w:rsidR="00590D90">
          <w:rPr>
            <w:webHidden/>
          </w:rPr>
          <w:tab/>
        </w:r>
        <w:r w:rsidR="00590D90">
          <w:rPr>
            <w:webHidden/>
          </w:rPr>
          <w:fldChar w:fldCharType="begin"/>
        </w:r>
        <w:r w:rsidR="00590D90">
          <w:rPr>
            <w:webHidden/>
          </w:rPr>
          <w:instrText xml:space="preserve"> PAGEREF _Toc485126521 \h </w:instrText>
        </w:r>
        <w:r w:rsidR="00590D90">
          <w:rPr>
            <w:webHidden/>
          </w:rPr>
        </w:r>
        <w:r w:rsidR="00590D90">
          <w:rPr>
            <w:webHidden/>
          </w:rPr>
          <w:fldChar w:fldCharType="separate"/>
        </w:r>
        <w:r w:rsidR="00590D90">
          <w:rPr>
            <w:webHidden/>
          </w:rPr>
          <w:t>4</w:t>
        </w:r>
        <w:r w:rsidR="00590D90">
          <w:rPr>
            <w:webHidden/>
          </w:rPr>
          <w:fldChar w:fldCharType="end"/>
        </w:r>
      </w:hyperlink>
    </w:p>
    <w:p w14:paraId="143337C4" w14:textId="74000264" w:rsidR="00590D90" w:rsidRDefault="00272F76">
      <w:pPr>
        <w:pStyle w:val="TOC2"/>
        <w:rPr>
          <w:rFonts w:asciiTheme="minorHAnsi" w:eastAsiaTheme="minorEastAsia" w:hAnsiTheme="minorHAnsi" w:cstheme="minorBidi"/>
          <w:sz w:val="22"/>
          <w:szCs w:val="22"/>
        </w:rPr>
      </w:pPr>
      <w:hyperlink w:anchor="_Toc485126522" w:history="1">
        <w:r w:rsidR="00590D90" w:rsidRPr="009B7687">
          <w:rPr>
            <w:rStyle w:val="Hyperlink"/>
          </w:rPr>
          <w:t>1.4 Stakeholder Engagement</w:t>
        </w:r>
        <w:r w:rsidR="00590D90">
          <w:rPr>
            <w:webHidden/>
          </w:rPr>
          <w:tab/>
        </w:r>
        <w:r w:rsidR="00590D90">
          <w:rPr>
            <w:webHidden/>
          </w:rPr>
          <w:fldChar w:fldCharType="begin"/>
        </w:r>
        <w:r w:rsidR="00590D90">
          <w:rPr>
            <w:webHidden/>
          </w:rPr>
          <w:instrText xml:space="preserve"> PAGEREF _Toc485126522 \h </w:instrText>
        </w:r>
        <w:r w:rsidR="00590D90">
          <w:rPr>
            <w:webHidden/>
          </w:rPr>
        </w:r>
        <w:r w:rsidR="00590D90">
          <w:rPr>
            <w:webHidden/>
          </w:rPr>
          <w:fldChar w:fldCharType="separate"/>
        </w:r>
        <w:r w:rsidR="00590D90">
          <w:rPr>
            <w:webHidden/>
          </w:rPr>
          <w:t>5</w:t>
        </w:r>
        <w:r w:rsidR="00590D90">
          <w:rPr>
            <w:webHidden/>
          </w:rPr>
          <w:fldChar w:fldCharType="end"/>
        </w:r>
      </w:hyperlink>
    </w:p>
    <w:p w14:paraId="0BEF05D1" w14:textId="30754EBB" w:rsidR="00590D90" w:rsidRDefault="00272F76">
      <w:pPr>
        <w:pStyle w:val="TOC2"/>
        <w:rPr>
          <w:rFonts w:asciiTheme="minorHAnsi" w:eastAsiaTheme="minorEastAsia" w:hAnsiTheme="minorHAnsi" w:cstheme="minorBidi"/>
          <w:sz w:val="22"/>
          <w:szCs w:val="22"/>
        </w:rPr>
      </w:pPr>
      <w:hyperlink w:anchor="_Toc485126523" w:history="1">
        <w:r w:rsidR="00590D90" w:rsidRPr="009B7687">
          <w:rPr>
            <w:rStyle w:val="Hyperlink"/>
          </w:rPr>
          <w:t>1.5 Content of this Report</w:t>
        </w:r>
        <w:r w:rsidR="00590D90">
          <w:rPr>
            <w:webHidden/>
          </w:rPr>
          <w:tab/>
        </w:r>
        <w:r w:rsidR="00590D90">
          <w:rPr>
            <w:webHidden/>
          </w:rPr>
          <w:fldChar w:fldCharType="begin"/>
        </w:r>
        <w:r w:rsidR="00590D90">
          <w:rPr>
            <w:webHidden/>
          </w:rPr>
          <w:instrText xml:space="preserve"> PAGEREF _Toc485126523 \h </w:instrText>
        </w:r>
        <w:r w:rsidR="00590D90">
          <w:rPr>
            <w:webHidden/>
          </w:rPr>
        </w:r>
        <w:r w:rsidR="00590D90">
          <w:rPr>
            <w:webHidden/>
          </w:rPr>
          <w:fldChar w:fldCharType="separate"/>
        </w:r>
        <w:r w:rsidR="00590D90">
          <w:rPr>
            <w:webHidden/>
          </w:rPr>
          <w:t>6</w:t>
        </w:r>
        <w:r w:rsidR="00590D90">
          <w:rPr>
            <w:webHidden/>
          </w:rPr>
          <w:fldChar w:fldCharType="end"/>
        </w:r>
      </w:hyperlink>
    </w:p>
    <w:p w14:paraId="6BBECB76" w14:textId="4B510839" w:rsidR="00590D90" w:rsidRDefault="00272F76">
      <w:pPr>
        <w:pStyle w:val="TOC1"/>
        <w:rPr>
          <w:rFonts w:asciiTheme="minorHAnsi" w:eastAsiaTheme="minorEastAsia" w:hAnsiTheme="minorHAnsi" w:cstheme="minorBidi"/>
          <w:b w:val="0"/>
          <w:noProof/>
          <w:sz w:val="22"/>
        </w:rPr>
      </w:pPr>
      <w:hyperlink w:anchor="_Toc485126524" w:history="1">
        <w:r w:rsidR="00590D90" w:rsidRPr="009B7687">
          <w:rPr>
            <w:rStyle w:val="Hyperlink"/>
            <w:noProof/>
          </w:rPr>
          <w:t>2. Study Methodology</w:t>
        </w:r>
        <w:r w:rsidR="00590D90">
          <w:rPr>
            <w:noProof/>
            <w:webHidden/>
          </w:rPr>
          <w:tab/>
        </w:r>
        <w:r w:rsidR="00590D90">
          <w:rPr>
            <w:noProof/>
            <w:webHidden/>
          </w:rPr>
          <w:fldChar w:fldCharType="begin"/>
        </w:r>
        <w:r w:rsidR="00590D90">
          <w:rPr>
            <w:noProof/>
            <w:webHidden/>
          </w:rPr>
          <w:instrText xml:space="preserve"> PAGEREF _Toc485126524 \h </w:instrText>
        </w:r>
        <w:r w:rsidR="00590D90">
          <w:rPr>
            <w:noProof/>
            <w:webHidden/>
          </w:rPr>
        </w:r>
        <w:r w:rsidR="00590D90">
          <w:rPr>
            <w:noProof/>
            <w:webHidden/>
          </w:rPr>
          <w:fldChar w:fldCharType="separate"/>
        </w:r>
        <w:r w:rsidR="00590D90">
          <w:rPr>
            <w:noProof/>
            <w:webHidden/>
          </w:rPr>
          <w:t>7</w:t>
        </w:r>
        <w:r w:rsidR="00590D90">
          <w:rPr>
            <w:noProof/>
            <w:webHidden/>
          </w:rPr>
          <w:fldChar w:fldCharType="end"/>
        </w:r>
      </w:hyperlink>
    </w:p>
    <w:p w14:paraId="119051F9" w14:textId="649C15B8" w:rsidR="00590D90" w:rsidRDefault="00272F76">
      <w:pPr>
        <w:pStyle w:val="TOC2"/>
        <w:rPr>
          <w:rFonts w:asciiTheme="minorHAnsi" w:eastAsiaTheme="minorEastAsia" w:hAnsiTheme="minorHAnsi" w:cstheme="minorBidi"/>
          <w:sz w:val="22"/>
          <w:szCs w:val="22"/>
        </w:rPr>
      </w:pPr>
      <w:hyperlink w:anchor="_Toc485126525" w:history="1">
        <w:r w:rsidR="00590D90" w:rsidRPr="009B7687">
          <w:rPr>
            <w:rStyle w:val="Hyperlink"/>
          </w:rPr>
          <w:t>2.1 Modeling Methods</w:t>
        </w:r>
        <w:r w:rsidR="00590D90">
          <w:rPr>
            <w:webHidden/>
          </w:rPr>
          <w:tab/>
        </w:r>
        <w:r w:rsidR="00590D90">
          <w:rPr>
            <w:webHidden/>
          </w:rPr>
          <w:fldChar w:fldCharType="begin"/>
        </w:r>
        <w:r w:rsidR="00590D90">
          <w:rPr>
            <w:webHidden/>
          </w:rPr>
          <w:instrText xml:space="preserve"> PAGEREF _Toc485126525 \h </w:instrText>
        </w:r>
        <w:r w:rsidR="00590D90">
          <w:rPr>
            <w:webHidden/>
          </w:rPr>
        </w:r>
        <w:r w:rsidR="00590D90">
          <w:rPr>
            <w:webHidden/>
          </w:rPr>
          <w:fldChar w:fldCharType="separate"/>
        </w:r>
        <w:r w:rsidR="00590D90">
          <w:rPr>
            <w:webHidden/>
          </w:rPr>
          <w:t>8</w:t>
        </w:r>
        <w:r w:rsidR="00590D90">
          <w:rPr>
            <w:webHidden/>
          </w:rPr>
          <w:fldChar w:fldCharType="end"/>
        </w:r>
      </w:hyperlink>
    </w:p>
    <w:p w14:paraId="68A58AB5" w14:textId="17B4B035" w:rsidR="00590D90" w:rsidRDefault="00272F76">
      <w:pPr>
        <w:pStyle w:val="TOC3"/>
        <w:rPr>
          <w:rFonts w:asciiTheme="minorHAnsi" w:eastAsiaTheme="minorEastAsia" w:hAnsiTheme="minorHAnsi" w:cstheme="minorBidi"/>
          <w:sz w:val="22"/>
          <w:szCs w:val="22"/>
        </w:rPr>
      </w:pPr>
      <w:hyperlink w:anchor="_Toc485126526" w:history="1">
        <w:r w:rsidR="00590D90" w:rsidRPr="009B7687">
          <w:rPr>
            <w:rStyle w:val="Hyperlink"/>
          </w:rPr>
          <w:t>2.1.1 Rebated Technologies</w:t>
        </w:r>
        <w:r w:rsidR="00590D90">
          <w:rPr>
            <w:webHidden/>
          </w:rPr>
          <w:tab/>
        </w:r>
        <w:r w:rsidR="00590D90">
          <w:rPr>
            <w:webHidden/>
          </w:rPr>
          <w:fldChar w:fldCharType="begin"/>
        </w:r>
        <w:r w:rsidR="00590D90">
          <w:rPr>
            <w:webHidden/>
          </w:rPr>
          <w:instrText xml:space="preserve"> PAGEREF _Toc485126526 \h </w:instrText>
        </w:r>
        <w:r w:rsidR="00590D90">
          <w:rPr>
            <w:webHidden/>
          </w:rPr>
        </w:r>
        <w:r w:rsidR="00590D90">
          <w:rPr>
            <w:webHidden/>
          </w:rPr>
          <w:fldChar w:fldCharType="separate"/>
        </w:r>
        <w:r w:rsidR="00590D90">
          <w:rPr>
            <w:webHidden/>
          </w:rPr>
          <w:t>8</w:t>
        </w:r>
        <w:r w:rsidR="00590D90">
          <w:rPr>
            <w:webHidden/>
          </w:rPr>
          <w:fldChar w:fldCharType="end"/>
        </w:r>
      </w:hyperlink>
    </w:p>
    <w:p w14:paraId="31C72602" w14:textId="3A5CD874" w:rsidR="00590D90" w:rsidRDefault="00272F76">
      <w:pPr>
        <w:pStyle w:val="TOC3"/>
        <w:rPr>
          <w:rFonts w:asciiTheme="minorHAnsi" w:eastAsiaTheme="minorEastAsia" w:hAnsiTheme="minorHAnsi" w:cstheme="minorBidi"/>
          <w:sz w:val="22"/>
          <w:szCs w:val="22"/>
        </w:rPr>
      </w:pPr>
      <w:hyperlink w:anchor="_Toc485126527" w:history="1">
        <w:r w:rsidR="00590D90" w:rsidRPr="009B7687">
          <w:rPr>
            <w:rStyle w:val="Hyperlink"/>
          </w:rPr>
          <w:t>2.1.2 Whole Building Packages</w:t>
        </w:r>
        <w:r w:rsidR="00590D90">
          <w:rPr>
            <w:webHidden/>
          </w:rPr>
          <w:tab/>
        </w:r>
        <w:r w:rsidR="00590D90">
          <w:rPr>
            <w:webHidden/>
          </w:rPr>
          <w:fldChar w:fldCharType="begin"/>
        </w:r>
        <w:r w:rsidR="00590D90">
          <w:rPr>
            <w:webHidden/>
          </w:rPr>
          <w:instrText xml:space="preserve"> PAGEREF _Toc485126527 \h </w:instrText>
        </w:r>
        <w:r w:rsidR="00590D90">
          <w:rPr>
            <w:webHidden/>
          </w:rPr>
        </w:r>
        <w:r w:rsidR="00590D90">
          <w:rPr>
            <w:webHidden/>
          </w:rPr>
          <w:fldChar w:fldCharType="separate"/>
        </w:r>
        <w:r w:rsidR="00590D90">
          <w:rPr>
            <w:webHidden/>
          </w:rPr>
          <w:t>19</w:t>
        </w:r>
        <w:r w:rsidR="00590D90">
          <w:rPr>
            <w:webHidden/>
          </w:rPr>
          <w:fldChar w:fldCharType="end"/>
        </w:r>
      </w:hyperlink>
    </w:p>
    <w:p w14:paraId="4009F5EA" w14:textId="72F8643E" w:rsidR="00590D90" w:rsidRDefault="00272F76">
      <w:pPr>
        <w:pStyle w:val="TOC3"/>
        <w:rPr>
          <w:rFonts w:asciiTheme="minorHAnsi" w:eastAsiaTheme="minorEastAsia" w:hAnsiTheme="minorHAnsi" w:cstheme="minorBidi"/>
          <w:sz w:val="22"/>
          <w:szCs w:val="22"/>
        </w:rPr>
      </w:pPr>
      <w:hyperlink w:anchor="_Toc485126528" w:history="1">
        <w:r w:rsidR="00590D90" w:rsidRPr="009B7687">
          <w:rPr>
            <w:rStyle w:val="Hyperlink"/>
          </w:rPr>
          <w:t>2.1.3 Industrial and Agriculture Custom Measures and Emerging Technologies</w:t>
        </w:r>
        <w:r w:rsidR="00590D90">
          <w:rPr>
            <w:webHidden/>
          </w:rPr>
          <w:tab/>
        </w:r>
        <w:r w:rsidR="00590D90">
          <w:rPr>
            <w:webHidden/>
          </w:rPr>
          <w:fldChar w:fldCharType="begin"/>
        </w:r>
        <w:r w:rsidR="00590D90">
          <w:rPr>
            <w:webHidden/>
          </w:rPr>
          <w:instrText xml:space="preserve"> PAGEREF _Toc485126528 \h </w:instrText>
        </w:r>
        <w:r w:rsidR="00590D90">
          <w:rPr>
            <w:webHidden/>
          </w:rPr>
        </w:r>
        <w:r w:rsidR="00590D90">
          <w:rPr>
            <w:webHidden/>
          </w:rPr>
          <w:fldChar w:fldCharType="separate"/>
        </w:r>
        <w:r w:rsidR="00590D90">
          <w:rPr>
            <w:webHidden/>
          </w:rPr>
          <w:t>19</w:t>
        </w:r>
        <w:r w:rsidR="00590D90">
          <w:rPr>
            <w:webHidden/>
          </w:rPr>
          <w:fldChar w:fldCharType="end"/>
        </w:r>
      </w:hyperlink>
    </w:p>
    <w:p w14:paraId="592BEE05" w14:textId="0314C20A" w:rsidR="00590D90" w:rsidRDefault="00272F76">
      <w:pPr>
        <w:pStyle w:val="TOC3"/>
        <w:rPr>
          <w:rFonts w:asciiTheme="minorHAnsi" w:eastAsiaTheme="minorEastAsia" w:hAnsiTheme="minorHAnsi" w:cstheme="minorBidi"/>
          <w:sz w:val="22"/>
          <w:szCs w:val="22"/>
        </w:rPr>
      </w:pPr>
      <w:hyperlink w:anchor="_Toc485126529" w:history="1">
        <w:r w:rsidR="00590D90" w:rsidRPr="009B7687">
          <w:rPr>
            <w:rStyle w:val="Hyperlink"/>
          </w:rPr>
          <w:t>2.1.4 Behavior, Retrocommissioning, Operational Efficiency (BROs)</w:t>
        </w:r>
        <w:r w:rsidR="00590D90">
          <w:rPr>
            <w:webHidden/>
          </w:rPr>
          <w:tab/>
        </w:r>
        <w:r w:rsidR="00590D90">
          <w:rPr>
            <w:webHidden/>
          </w:rPr>
          <w:fldChar w:fldCharType="begin"/>
        </w:r>
        <w:r w:rsidR="00590D90">
          <w:rPr>
            <w:webHidden/>
          </w:rPr>
          <w:instrText xml:space="preserve"> PAGEREF _Toc485126529 \h </w:instrText>
        </w:r>
        <w:r w:rsidR="00590D90">
          <w:rPr>
            <w:webHidden/>
          </w:rPr>
        </w:r>
        <w:r w:rsidR="00590D90">
          <w:rPr>
            <w:webHidden/>
          </w:rPr>
          <w:fldChar w:fldCharType="separate"/>
        </w:r>
        <w:r w:rsidR="00590D90">
          <w:rPr>
            <w:webHidden/>
          </w:rPr>
          <w:t>20</w:t>
        </w:r>
        <w:r w:rsidR="00590D90">
          <w:rPr>
            <w:webHidden/>
          </w:rPr>
          <w:fldChar w:fldCharType="end"/>
        </w:r>
      </w:hyperlink>
    </w:p>
    <w:p w14:paraId="055711C2" w14:textId="5FC524CA" w:rsidR="00590D90" w:rsidRDefault="00272F76">
      <w:pPr>
        <w:pStyle w:val="TOC3"/>
        <w:rPr>
          <w:rFonts w:asciiTheme="minorHAnsi" w:eastAsiaTheme="minorEastAsia" w:hAnsiTheme="minorHAnsi" w:cstheme="minorBidi"/>
          <w:sz w:val="22"/>
          <w:szCs w:val="22"/>
        </w:rPr>
      </w:pPr>
      <w:hyperlink w:anchor="_Toc485126530" w:history="1">
        <w:r w:rsidR="00590D90" w:rsidRPr="009B7687">
          <w:rPr>
            <w:rStyle w:val="Hyperlink"/>
          </w:rPr>
          <w:t>2.1.5 Residential Low Income</w:t>
        </w:r>
        <w:r w:rsidR="00590D90">
          <w:rPr>
            <w:webHidden/>
          </w:rPr>
          <w:tab/>
        </w:r>
        <w:r w:rsidR="00590D90">
          <w:rPr>
            <w:webHidden/>
          </w:rPr>
          <w:fldChar w:fldCharType="begin"/>
        </w:r>
        <w:r w:rsidR="00590D90">
          <w:rPr>
            <w:webHidden/>
          </w:rPr>
          <w:instrText xml:space="preserve"> PAGEREF _Toc485126530 \h </w:instrText>
        </w:r>
        <w:r w:rsidR="00590D90">
          <w:rPr>
            <w:webHidden/>
          </w:rPr>
        </w:r>
        <w:r w:rsidR="00590D90">
          <w:rPr>
            <w:webHidden/>
          </w:rPr>
          <w:fldChar w:fldCharType="separate"/>
        </w:r>
        <w:r w:rsidR="00590D90">
          <w:rPr>
            <w:webHidden/>
          </w:rPr>
          <w:t>22</w:t>
        </w:r>
        <w:r w:rsidR="00590D90">
          <w:rPr>
            <w:webHidden/>
          </w:rPr>
          <w:fldChar w:fldCharType="end"/>
        </w:r>
      </w:hyperlink>
    </w:p>
    <w:p w14:paraId="7850EE14" w14:textId="44CA79B1" w:rsidR="00590D90" w:rsidRDefault="00272F76">
      <w:pPr>
        <w:pStyle w:val="TOC3"/>
        <w:rPr>
          <w:rFonts w:asciiTheme="minorHAnsi" w:eastAsiaTheme="minorEastAsia" w:hAnsiTheme="minorHAnsi" w:cstheme="minorBidi"/>
          <w:sz w:val="22"/>
          <w:szCs w:val="22"/>
        </w:rPr>
      </w:pPr>
      <w:hyperlink w:anchor="_Toc485126531" w:history="1">
        <w:r w:rsidR="00590D90" w:rsidRPr="009B7687">
          <w:rPr>
            <w:rStyle w:val="Hyperlink"/>
          </w:rPr>
          <w:t>2.1.6 Codes and Standards (C&amp;S)</w:t>
        </w:r>
        <w:r w:rsidR="00590D90">
          <w:rPr>
            <w:webHidden/>
          </w:rPr>
          <w:tab/>
        </w:r>
        <w:r w:rsidR="00590D90">
          <w:rPr>
            <w:webHidden/>
          </w:rPr>
          <w:fldChar w:fldCharType="begin"/>
        </w:r>
        <w:r w:rsidR="00590D90">
          <w:rPr>
            <w:webHidden/>
          </w:rPr>
          <w:instrText xml:space="preserve"> PAGEREF _Toc485126531 \h </w:instrText>
        </w:r>
        <w:r w:rsidR="00590D90">
          <w:rPr>
            <w:webHidden/>
          </w:rPr>
        </w:r>
        <w:r w:rsidR="00590D90">
          <w:rPr>
            <w:webHidden/>
          </w:rPr>
          <w:fldChar w:fldCharType="separate"/>
        </w:r>
        <w:r w:rsidR="00590D90">
          <w:rPr>
            <w:webHidden/>
          </w:rPr>
          <w:t>22</w:t>
        </w:r>
        <w:r w:rsidR="00590D90">
          <w:rPr>
            <w:webHidden/>
          </w:rPr>
          <w:fldChar w:fldCharType="end"/>
        </w:r>
      </w:hyperlink>
    </w:p>
    <w:p w14:paraId="53CA74B8" w14:textId="2C77CC1C" w:rsidR="00590D90" w:rsidRDefault="00272F76">
      <w:pPr>
        <w:pStyle w:val="TOC3"/>
        <w:rPr>
          <w:rFonts w:asciiTheme="minorHAnsi" w:eastAsiaTheme="minorEastAsia" w:hAnsiTheme="minorHAnsi" w:cstheme="minorBidi"/>
          <w:sz w:val="22"/>
          <w:szCs w:val="22"/>
        </w:rPr>
      </w:pPr>
      <w:hyperlink w:anchor="_Toc485126532" w:history="1">
        <w:r w:rsidR="00590D90" w:rsidRPr="009B7687">
          <w:rPr>
            <w:rStyle w:val="Hyperlink"/>
          </w:rPr>
          <w:t>2.1.7 Financing</w:t>
        </w:r>
        <w:r w:rsidR="00590D90">
          <w:rPr>
            <w:webHidden/>
          </w:rPr>
          <w:tab/>
        </w:r>
        <w:r w:rsidR="00590D90">
          <w:rPr>
            <w:webHidden/>
          </w:rPr>
          <w:fldChar w:fldCharType="begin"/>
        </w:r>
        <w:r w:rsidR="00590D90">
          <w:rPr>
            <w:webHidden/>
          </w:rPr>
          <w:instrText xml:space="preserve"> PAGEREF _Toc485126532 \h </w:instrText>
        </w:r>
        <w:r w:rsidR="00590D90">
          <w:rPr>
            <w:webHidden/>
          </w:rPr>
        </w:r>
        <w:r w:rsidR="00590D90">
          <w:rPr>
            <w:webHidden/>
          </w:rPr>
          <w:fldChar w:fldCharType="separate"/>
        </w:r>
        <w:r w:rsidR="00590D90">
          <w:rPr>
            <w:webHidden/>
          </w:rPr>
          <w:t>24</w:t>
        </w:r>
        <w:r w:rsidR="00590D90">
          <w:rPr>
            <w:webHidden/>
          </w:rPr>
          <w:fldChar w:fldCharType="end"/>
        </w:r>
      </w:hyperlink>
    </w:p>
    <w:p w14:paraId="18EC8FA3" w14:textId="1A26826A" w:rsidR="00590D90" w:rsidRDefault="00272F76">
      <w:pPr>
        <w:pStyle w:val="TOC2"/>
        <w:rPr>
          <w:rFonts w:asciiTheme="minorHAnsi" w:eastAsiaTheme="minorEastAsia" w:hAnsiTheme="minorHAnsi" w:cstheme="minorBidi"/>
          <w:sz w:val="22"/>
          <w:szCs w:val="22"/>
        </w:rPr>
      </w:pPr>
      <w:hyperlink w:anchor="_Toc485126533" w:history="1">
        <w:r w:rsidR="00590D90" w:rsidRPr="009B7687">
          <w:rPr>
            <w:rStyle w:val="Hyperlink"/>
          </w:rPr>
          <w:t>2.2 Calibrating Rebated Technologies and Whole Building Approaches</w:t>
        </w:r>
        <w:r w:rsidR="00590D90">
          <w:rPr>
            <w:webHidden/>
          </w:rPr>
          <w:tab/>
        </w:r>
        <w:r w:rsidR="00590D90">
          <w:rPr>
            <w:webHidden/>
          </w:rPr>
          <w:fldChar w:fldCharType="begin"/>
        </w:r>
        <w:r w:rsidR="00590D90">
          <w:rPr>
            <w:webHidden/>
          </w:rPr>
          <w:instrText xml:space="preserve"> PAGEREF _Toc485126533 \h </w:instrText>
        </w:r>
        <w:r w:rsidR="00590D90">
          <w:rPr>
            <w:webHidden/>
          </w:rPr>
        </w:r>
        <w:r w:rsidR="00590D90">
          <w:rPr>
            <w:webHidden/>
          </w:rPr>
          <w:fldChar w:fldCharType="separate"/>
        </w:r>
        <w:r w:rsidR="00590D90">
          <w:rPr>
            <w:webHidden/>
          </w:rPr>
          <w:t>27</w:t>
        </w:r>
        <w:r w:rsidR="00590D90">
          <w:rPr>
            <w:webHidden/>
          </w:rPr>
          <w:fldChar w:fldCharType="end"/>
        </w:r>
      </w:hyperlink>
    </w:p>
    <w:p w14:paraId="464F1D0E" w14:textId="0C55985B" w:rsidR="00590D90" w:rsidRDefault="00272F76">
      <w:pPr>
        <w:pStyle w:val="TOC2"/>
        <w:rPr>
          <w:rFonts w:asciiTheme="minorHAnsi" w:eastAsiaTheme="minorEastAsia" w:hAnsiTheme="minorHAnsi" w:cstheme="minorBidi"/>
          <w:sz w:val="22"/>
          <w:szCs w:val="22"/>
        </w:rPr>
      </w:pPr>
      <w:hyperlink w:anchor="_Toc485126534" w:history="1">
        <w:r w:rsidR="00590D90" w:rsidRPr="009B7687">
          <w:rPr>
            <w:rStyle w:val="Hyperlink"/>
          </w:rPr>
          <w:t>2.3 Scenarios</w:t>
        </w:r>
        <w:r w:rsidR="00590D90">
          <w:rPr>
            <w:webHidden/>
          </w:rPr>
          <w:tab/>
        </w:r>
        <w:r w:rsidR="00590D90">
          <w:rPr>
            <w:webHidden/>
          </w:rPr>
          <w:fldChar w:fldCharType="begin"/>
        </w:r>
        <w:r w:rsidR="00590D90">
          <w:rPr>
            <w:webHidden/>
          </w:rPr>
          <w:instrText xml:space="preserve"> PAGEREF _Toc485126534 \h </w:instrText>
        </w:r>
        <w:r w:rsidR="00590D90">
          <w:rPr>
            <w:webHidden/>
          </w:rPr>
        </w:r>
        <w:r w:rsidR="00590D90">
          <w:rPr>
            <w:webHidden/>
          </w:rPr>
          <w:fldChar w:fldCharType="separate"/>
        </w:r>
        <w:r w:rsidR="00590D90">
          <w:rPr>
            <w:webHidden/>
          </w:rPr>
          <w:t>28</w:t>
        </w:r>
        <w:r w:rsidR="00590D90">
          <w:rPr>
            <w:webHidden/>
          </w:rPr>
          <w:fldChar w:fldCharType="end"/>
        </w:r>
      </w:hyperlink>
    </w:p>
    <w:p w14:paraId="641A8ECE" w14:textId="2C080867" w:rsidR="00590D90" w:rsidRDefault="00272F76">
      <w:pPr>
        <w:pStyle w:val="TOC3"/>
        <w:rPr>
          <w:rFonts w:asciiTheme="minorHAnsi" w:eastAsiaTheme="minorEastAsia" w:hAnsiTheme="minorHAnsi" w:cstheme="minorBidi"/>
          <w:sz w:val="22"/>
          <w:szCs w:val="22"/>
        </w:rPr>
      </w:pPr>
      <w:hyperlink w:anchor="_Toc485126535" w:history="1">
        <w:r w:rsidR="00590D90" w:rsidRPr="009B7687">
          <w:rPr>
            <w:rStyle w:val="Hyperlink"/>
            <w:snapToGrid w:val="0"/>
          </w:rPr>
          <w:t>2.3.1 Stakeholder Input</w:t>
        </w:r>
        <w:r w:rsidR="00590D90">
          <w:rPr>
            <w:webHidden/>
          </w:rPr>
          <w:tab/>
        </w:r>
        <w:r w:rsidR="00590D90">
          <w:rPr>
            <w:webHidden/>
          </w:rPr>
          <w:fldChar w:fldCharType="begin"/>
        </w:r>
        <w:r w:rsidR="00590D90">
          <w:rPr>
            <w:webHidden/>
          </w:rPr>
          <w:instrText xml:space="preserve"> PAGEREF _Toc485126535 \h </w:instrText>
        </w:r>
        <w:r w:rsidR="00590D90">
          <w:rPr>
            <w:webHidden/>
          </w:rPr>
        </w:r>
        <w:r w:rsidR="00590D90">
          <w:rPr>
            <w:webHidden/>
          </w:rPr>
          <w:fldChar w:fldCharType="separate"/>
        </w:r>
        <w:r w:rsidR="00590D90">
          <w:rPr>
            <w:webHidden/>
          </w:rPr>
          <w:t>29</w:t>
        </w:r>
        <w:r w:rsidR="00590D90">
          <w:rPr>
            <w:webHidden/>
          </w:rPr>
          <w:fldChar w:fldCharType="end"/>
        </w:r>
      </w:hyperlink>
    </w:p>
    <w:p w14:paraId="69E5642D" w14:textId="5B248FFB" w:rsidR="00590D90" w:rsidRDefault="00272F76">
      <w:pPr>
        <w:pStyle w:val="TOC3"/>
        <w:rPr>
          <w:rFonts w:asciiTheme="minorHAnsi" w:eastAsiaTheme="minorEastAsia" w:hAnsiTheme="minorHAnsi" w:cstheme="minorBidi"/>
          <w:sz w:val="22"/>
          <w:szCs w:val="22"/>
        </w:rPr>
      </w:pPr>
      <w:hyperlink w:anchor="_Toc485126536" w:history="1">
        <w:r w:rsidR="00590D90" w:rsidRPr="009B7687">
          <w:rPr>
            <w:rStyle w:val="Hyperlink"/>
          </w:rPr>
          <w:t>2.3.2 Draft Scenarios</w:t>
        </w:r>
        <w:r w:rsidR="00590D90">
          <w:rPr>
            <w:webHidden/>
          </w:rPr>
          <w:tab/>
        </w:r>
        <w:r w:rsidR="00590D90">
          <w:rPr>
            <w:webHidden/>
          </w:rPr>
          <w:fldChar w:fldCharType="begin"/>
        </w:r>
        <w:r w:rsidR="00590D90">
          <w:rPr>
            <w:webHidden/>
          </w:rPr>
          <w:instrText xml:space="preserve"> PAGEREF _Toc485126536 \h </w:instrText>
        </w:r>
        <w:r w:rsidR="00590D90">
          <w:rPr>
            <w:webHidden/>
          </w:rPr>
        </w:r>
        <w:r w:rsidR="00590D90">
          <w:rPr>
            <w:webHidden/>
          </w:rPr>
          <w:fldChar w:fldCharType="separate"/>
        </w:r>
        <w:r w:rsidR="00590D90">
          <w:rPr>
            <w:webHidden/>
          </w:rPr>
          <w:t>31</w:t>
        </w:r>
        <w:r w:rsidR="00590D90">
          <w:rPr>
            <w:webHidden/>
          </w:rPr>
          <w:fldChar w:fldCharType="end"/>
        </w:r>
      </w:hyperlink>
    </w:p>
    <w:p w14:paraId="20410F68" w14:textId="6DD7EB1B" w:rsidR="00590D90" w:rsidRDefault="00272F76">
      <w:pPr>
        <w:pStyle w:val="TOC1"/>
        <w:rPr>
          <w:rFonts w:asciiTheme="minorHAnsi" w:eastAsiaTheme="minorEastAsia" w:hAnsiTheme="minorHAnsi" w:cstheme="minorBidi"/>
          <w:b w:val="0"/>
          <w:noProof/>
          <w:sz w:val="22"/>
        </w:rPr>
      </w:pPr>
      <w:hyperlink w:anchor="_Toc485126537" w:history="1">
        <w:r w:rsidR="00590D90" w:rsidRPr="009B7687">
          <w:rPr>
            <w:rStyle w:val="Hyperlink"/>
            <w:noProof/>
          </w:rPr>
          <w:t>3. Data Sources</w:t>
        </w:r>
        <w:r w:rsidR="00590D90">
          <w:rPr>
            <w:noProof/>
            <w:webHidden/>
          </w:rPr>
          <w:tab/>
        </w:r>
        <w:r w:rsidR="00590D90">
          <w:rPr>
            <w:noProof/>
            <w:webHidden/>
          </w:rPr>
          <w:fldChar w:fldCharType="begin"/>
        </w:r>
        <w:r w:rsidR="00590D90">
          <w:rPr>
            <w:noProof/>
            <w:webHidden/>
          </w:rPr>
          <w:instrText xml:space="preserve"> PAGEREF _Toc485126537 \h </w:instrText>
        </w:r>
        <w:r w:rsidR="00590D90">
          <w:rPr>
            <w:noProof/>
            <w:webHidden/>
          </w:rPr>
        </w:r>
        <w:r w:rsidR="00590D90">
          <w:rPr>
            <w:noProof/>
            <w:webHidden/>
          </w:rPr>
          <w:fldChar w:fldCharType="separate"/>
        </w:r>
        <w:r w:rsidR="00590D90">
          <w:rPr>
            <w:noProof/>
            <w:webHidden/>
          </w:rPr>
          <w:t>33</w:t>
        </w:r>
        <w:r w:rsidR="00590D90">
          <w:rPr>
            <w:noProof/>
            <w:webHidden/>
          </w:rPr>
          <w:fldChar w:fldCharType="end"/>
        </w:r>
      </w:hyperlink>
    </w:p>
    <w:p w14:paraId="7AF8C253" w14:textId="65781FA7" w:rsidR="00590D90" w:rsidRDefault="00272F76">
      <w:pPr>
        <w:pStyle w:val="TOC2"/>
        <w:rPr>
          <w:rFonts w:asciiTheme="minorHAnsi" w:eastAsiaTheme="minorEastAsia" w:hAnsiTheme="minorHAnsi" w:cstheme="minorBidi"/>
          <w:sz w:val="22"/>
          <w:szCs w:val="22"/>
        </w:rPr>
      </w:pPr>
      <w:hyperlink w:anchor="_Toc485126538" w:history="1">
        <w:r w:rsidR="00590D90" w:rsidRPr="009B7687">
          <w:rPr>
            <w:rStyle w:val="Hyperlink"/>
          </w:rPr>
          <w:t>3.1 Global Inputs</w:t>
        </w:r>
        <w:r w:rsidR="00590D90">
          <w:rPr>
            <w:webHidden/>
          </w:rPr>
          <w:tab/>
        </w:r>
        <w:r w:rsidR="00590D90">
          <w:rPr>
            <w:webHidden/>
          </w:rPr>
          <w:fldChar w:fldCharType="begin"/>
        </w:r>
        <w:r w:rsidR="00590D90">
          <w:rPr>
            <w:webHidden/>
          </w:rPr>
          <w:instrText xml:space="preserve"> PAGEREF _Toc485126538 \h </w:instrText>
        </w:r>
        <w:r w:rsidR="00590D90">
          <w:rPr>
            <w:webHidden/>
          </w:rPr>
        </w:r>
        <w:r w:rsidR="00590D90">
          <w:rPr>
            <w:webHidden/>
          </w:rPr>
          <w:fldChar w:fldCharType="separate"/>
        </w:r>
        <w:r w:rsidR="00590D90">
          <w:rPr>
            <w:webHidden/>
          </w:rPr>
          <w:t>33</w:t>
        </w:r>
        <w:r w:rsidR="00590D90">
          <w:rPr>
            <w:webHidden/>
          </w:rPr>
          <w:fldChar w:fldCharType="end"/>
        </w:r>
      </w:hyperlink>
    </w:p>
    <w:p w14:paraId="3443D72D" w14:textId="6B55D3A6" w:rsidR="00590D90" w:rsidRDefault="00272F76">
      <w:pPr>
        <w:pStyle w:val="TOC3"/>
        <w:rPr>
          <w:rFonts w:asciiTheme="minorHAnsi" w:eastAsiaTheme="minorEastAsia" w:hAnsiTheme="minorHAnsi" w:cstheme="minorBidi"/>
          <w:sz w:val="22"/>
          <w:szCs w:val="22"/>
        </w:rPr>
      </w:pPr>
      <w:hyperlink w:anchor="_Toc485126539" w:history="1">
        <w:r w:rsidR="00590D90" w:rsidRPr="009B7687">
          <w:rPr>
            <w:rStyle w:val="Hyperlink"/>
          </w:rPr>
          <w:t>3.1.1 Retail Rates and Sales Forecasts</w:t>
        </w:r>
        <w:r w:rsidR="00590D90">
          <w:rPr>
            <w:webHidden/>
          </w:rPr>
          <w:tab/>
        </w:r>
        <w:r w:rsidR="00590D90">
          <w:rPr>
            <w:webHidden/>
          </w:rPr>
          <w:fldChar w:fldCharType="begin"/>
        </w:r>
        <w:r w:rsidR="00590D90">
          <w:rPr>
            <w:webHidden/>
          </w:rPr>
          <w:instrText xml:space="preserve"> PAGEREF _Toc485126539 \h </w:instrText>
        </w:r>
        <w:r w:rsidR="00590D90">
          <w:rPr>
            <w:webHidden/>
          </w:rPr>
        </w:r>
        <w:r w:rsidR="00590D90">
          <w:rPr>
            <w:webHidden/>
          </w:rPr>
          <w:fldChar w:fldCharType="separate"/>
        </w:r>
        <w:r w:rsidR="00590D90">
          <w:rPr>
            <w:webHidden/>
          </w:rPr>
          <w:t>33</w:t>
        </w:r>
        <w:r w:rsidR="00590D90">
          <w:rPr>
            <w:webHidden/>
          </w:rPr>
          <w:fldChar w:fldCharType="end"/>
        </w:r>
      </w:hyperlink>
    </w:p>
    <w:p w14:paraId="29A297EA" w14:textId="4809F44D" w:rsidR="00590D90" w:rsidRDefault="00272F76">
      <w:pPr>
        <w:pStyle w:val="TOC3"/>
        <w:rPr>
          <w:rFonts w:asciiTheme="minorHAnsi" w:eastAsiaTheme="minorEastAsia" w:hAnsiTheme="minorHAnsi" w:cstheme="minorBidi"/>
          <w:sz w:val="22"/>
          <w:szCs w:val="22"/>
        </w:rPr>
      </w:pPr>
      <w:hyperlink w:anchor="_Toc485126540" w:history="1">
        <w:r w:rsidR="00590D90" w:rsidRPr="009B7687">
          <w:rPr>
            <w:rStyle w:val="Hyperlink"/>
          </w:rPr>
          <w:t>3.1.2 Building Stocks</w:t>
        </w:r>
        <w:r w:rsidR="00590D90">
          <w:rPr>
            <w:webHidden/>
          </w:rPr>
          <w:tab/>
        </w:r>
        <w:r w:rsidR="00590D90">
          <w:rPr>
            <w:webHidden/>
          </w:rPr>
          <w:fldChar w:fldCharType="begin"/>
        </w:r>
        <w:r w:rsidR="00590D90">
          <w:rPr>
            <w:webHidden/>
          </w:rPr>
          <w:instrText xml:space="preserve"> PAGEREF _Toc485126540 \h </w:instrText>
        </w:r>
        <w:r w:rsidR="00590D90">
          <w:rPr>
            <w:webHidden/>
          </w:rPr>
        </w:r>
        <w:r w:rsidR="00590D90">
          <w:rPr>
            <w:webHidden/>
          </w:rPr>
          <w:fldChar w:fldCharType="separate"/>
        </w:r>
        <w:r w:rsidR="00590D90">
          <w:rPr>
            <w:webHidden/>
          </w:rPr>
          <w:t>34</w:t>
        </w:r>
        <w:r w:rsidR="00590D90">
          <w:rPr>
            <w:webHidden/>
          </w:rPr>
          <w:fldChar w:fldCharType="end"/>
        </w:r>
      </w:hyperlink>
    </w:p>
    <w:p w14:paraId="5DAAB92F" w14:textId="4D7C9C16" w:rsidR="00590D90" w:rsidRDefault="00272F76">
      <w:pPr>
        <w:pStyle w:val="TOC3"/>
        <w:rPr>
          <w:rFonts w:asciiTheme="minorHAnsi" w:eastAsiaTheme="minorEastAsia" w:hAnsiTheme="minorHAnsi" w:cstheme="minorBidi"/>
          <w:sz w:val="22"/>
          <w:szCs w:val="22"/>
        </w:rPr>
      </w:pPr>
      <w:hyperlink w:anchor="_Toc485126541" w:history="1">
        <w:r w:rsidR="00590D90" w:rsidRPr="009B7687">
          <w:rPr>
            <w:rStyle w:val="Hyperlink"/>
          </w:rPr>
          <w:t>3.1.3 Historic Rebate Program Activity</w:t>
        </w:r>
        <w:r w:rsidR="00590D90">
          <w:rPr>
            <w:webHidden/>
          </w:rPr>
          <w:tab/>
        </w:r>
        <w:r w:rsidR="00590D90">
          <w:rPr>
            <w:webHidden/>
          </w:rPr>
          <w:fldChar w:fldCharType="begin"/>
        </w:r>
        <w:r w:rsidR="00590D90">
          <w:rPr>
            <w:webHidden/>
          </w:rPr>
          <w:instrText xml:space="preserve"> PAGEREF _Toc485126541 \h </w:instrText>
        </w:r>
        <w:r w:rsidR="00590D90">
          <w:rPr>
            <w:webHidden/>
          </w:rPr>
        </w:r>
        <w:r w:rsidR="00590D90">
          <w:rPr>
            <w:webHidden/>
          </w:rPr>
          <w:fldChar w:fldCharType="separate"/>
        </w:r>
        <w:r w:rsidR="00590D90">
          <w:rPr>
            <w:webHidden/>
          </w:rPr>
          <w:t>35</w:t>
        </w:r>
        <w:r w:rsidR="00590D90">
          <w:rPr>
            <w:webHidden/>
          </w:rPr>
          <w:fldChar w:fldCharType="end"/>
        </w:r>
      </w:hyperlink>
    </w:p>
    <w:p w14:paraId="798F1D5B" w14:textId="467EF799" w:rsidR="00590D90" w:rsidRDefault="00272F76">
      <w:pPr>
        <w:pStyle w:val="TOC3"/>
        <w:rPr>
          <w:rFonts w:asciiTheme="minorHAnsi" w:eastAsiaTheme="minorEastAsia" w:hAnsiTheme="minorHAnsi" w:cstheme="minorBidi"/>
          <w:sz w:val="22"/>
          <w:szCs w:val="22"/>
        </w:rPr>
      </w:pPr>
      <w:hyperlink w:anchor="_Toc485126542" w:history="1">
        <w:r w:rsidR="00590D90" w:rsidRPr="009B7687">
          <w:rPr>
            <w:rStyle w:val="Hyperlink"/>
          </w:rPr>
          <w:t>3.1.4 Non-Incentive Program Costs</w:t>
        </w:r>
        <w:r w:rsidR="00590D90">
          <w:rPr>
            <w:webHidden/>
          </w:rPr>
          <w:tab/>
        </w:r>
        <w:r w:rsidR="00590D90">
          <w:rPr>
            <w:webHidden/>
          </w:rPr>
          <w:fldChar w:fldCharType="begin"/>
        </w:r>
        <w:r w:rsidR="00590D90">
          <w:rPr>
            <w:webHidden/>
          </w:rPr>
          <w:instrText xml:space="preserve"> PAGEREF _Toc485126542 \h </w:instrText>
        </w:r>
        <w:r w:rsidR="00590D90">
          <w:rPr>
            <w:webHidden/>
          </w:rPr>
        </w:r>
        <w:r w:rsidR="00590D90">
          <w:rPr>
            <w:webHidden/>
          </w:rPr>
          <w:fldChar w:fldCharType="separate"/>
        </w:r>
        <w:r w:rsidR="00590D90">
          <w:rPr>
            <w:webHidden/>
          </w:rPr>
          <w:t>36</w:t>
        </w:r>
        <w:r w:rsidR="00590D90">
          <w:rPr>
            <w:webHidden/>
          </w:rPr>
          <w:fldChar w:fldCharType="end"/>
        </w:r>
      </w:hyperlink>
    </w:p>
    <w:p w14:paraId="026631BC" w14:textId="05FD86A7" w:rsidR="00590D90" w:rsidRDefault="00272F76">
      <w:pPr>
        <w:pStyle w:val="TOC3"/>
        <w:rPr>
          <w:rFonts w:asciiTheme="minorHAnsi" w:eastAsiaTheme="minorEastAsia" w:hAnsiTheme="minorHAnsi" w:cstheme="minorBidi"/>
          <w:sz w:val="22"/>
          <w:szCs w:val="22"/>
        </w:rPr>
      </w:pPr>
      <w:hyperlink w:anchor="_Toc485126543" w:history="1">
        <w:r w:rsidR="00590D90" w:rsidRPr="009B7687">
          <w:rPr>
            <w:rStyle w:val="Hyperlink"/>
          </w:rPr>
          <w:t>3.1.5 Avoided Costs</w:t>
        </w:r>
        <w:r w:rsidR="00590D90">
          <w:rPr>
            <w:webHidden/>
          </w:rPr>
          <w:tab/>
        </w:r>
        <w:r w:rsidR="00590D90">
          <w:rPr>
            <w:webHidden/>
          </w:rPr>
          <w:fldChar w:fldCharType="begin"/>
        </w:r>
        <w:r w:rsidR="00590D90">
          <w:rPr>
            <w:webHidden/>
          </w:rPr>
          <w:instrText xml:space="preserve"> PAGEREF _Toc485126543 \h </w:instrText>
        </w:r>
        <w:r w:rsidR="00590D90">
          <w:rPr>
            <w:webHidden/>
          </w:rPr>
        </w:r>
        <w:r w:rsidR="00590D90">
          <w:rPr>
            <w:webHidden/>
          </w:rPr>
          <w:fldChar w:fldCharType="separate"/>
        </w:r>
        <w:r w:rsidR="00590D90">
          <w:rPr>
            <w:webHidden/>
          </w:rPr>
          <w:t>37</w:t>
        </w:r>
        <w:r w:rsidR="00590D90">
          <w:rPr>
            <w:webHidden/>
          </w:rPr>
          <w:fldChar w:fldCharType="end"/>
        </w:r>
      </w:hyperlink>
    </w:p>
    <w:p w14:paraId="258EAE93" w14:textId="23428881" w:rsidR="00590D90" w:rsidRDefault="00272F76">
      <w:pPr>
        <w:pStyle w:val="TOC2"/>
        <w:rPr>
          <w:rFonts w:asciiTheme="minorHAnsi" w:eastAsiaTheme="minorEastAsia" w:hAnsiTheme="minorHAnsi" w:cstheme="minorBidi"/>
          <w:sz w:val="22"/>
          <w:szCs w:val="22"/>
        </w:rPr>
      </w:pPr>
      <w:hyperlink w:anchor="_Toc485126544" w:history="1">
        <w:r w:rsidR="00590D90" w:rsidRPr="009B7687">
          <w:rPr>
            <w:rStyle w:val="Hyperlink"/>
          </w:rPr>
          <w:t>3.2 Residential and Commercial Technology Characterization</w:t>
        </w:r>
        <w:r w:rsidR="00590D90">
          <w:rPr>
            <w:webHidden/>
          </w:rPr>
          <w:tab/>
        </w:r>
        <w:r w:rsidR="00590D90">
          <w:rPr>
            <w:webHidden/>
          </w:rPr>
          <w:fldChar w:fldCharType="begin"/>
        </w:r>
        <w:r w:rsidR="00590D90">
          <w:rPr>
            <w:webHidden/>
          </w:rPr>
          <w:instrText xml:space="preserve"> PAGEREF _Toc485126544 \h </w:instrText>
        </w:r>
        <w:r w:rsidR="00590D90">
          <w:rPr>
            <w:webHidden/>
          </w:rPr>
        </w:r>
        <w:r w:rsidR="00590D90">
          <w:rPr>
            <w:webHidden/>
          </w:rPr>
          <w:fldChar w:fldCharType="separate"/>
        </w:r>
        <w:r w:rsidR="00590D90">
          <w:rPr>
            <w:webHidden/>
          </w:rPr>
          <w:t>39</w:t>
        </w:r>
        <w:r w:rsidR="00590D90">
          <w:rPr>
            <w:webHidden/>
          </w:rPr>
          <w:fldChar w:fldCharType="end"/>
        </w:r>
      </w:hyperlink>
    </w:p>
    <w:p w14:paraId="6DCBF67F" w14:textId="61039AA9" w:rsidR="00590D90" w:rsidRDefault="00272F76">
      <w:pPr>
        <w:pStyle w:val="TOC3"/>
        <w:rPr>
          <w:rFonts w:asciiTheme="minorHAnsi" w:eastAsiaTheme="minorEastAsia" w:hAnsiTheme="minorHAnsi" w:cstheme="minorBidi"/>
          <w:sz w:val="22"/>
          <w:szCs w:val="22"/>
        </w:rPr>
      </w:pPr>
      <w:hyperlink w:anchor="_Toc485126545" w:history="1">
        <w:r w:rsidR="00590D90" w:rsidRPr="009B7687">
          <w:rPr>
            <w:rStyle w:val="Hyperlink"/>
          </w:rPr>
          <w:t>3.2.1 Technology Selection Process</w:t>
        </w:r>
        <w:r w:rsidR="00590D90">
          <w:rPr>
            <w:webHidden/>
          </w:rPr>
          <w:tab/>
        </w:r>
        <w:r w:rsidR="00590D90">
          <w:rPr>
            <w:webHidden/>
          </w:rPr>
          <w:fldChar w:fldCharType="begin"/>
        </w:r>
        <w:r w:rsidR="00590D90">
          <w:rPr>
            <w:webHidden/>
          </w:rPr>
          <w:instrText xml:space="preserve"> PAGEREF _Toc485126545 \h </w:instrText>
        </w:r>
        <w:r w:rsidR="00590D90">
          <w:rPr>
            <w:webHidden/>
          </w:rPr>
        </w:r>
        <w:r w:rsidR="00590D90">
          <w:rPr>
            <w:webHidden/>
          </w:rPr>
          <w:fldChar w:fldCharType="separate"/>
        </w:r>
        <w:r w:rsidR="00590D90">
          <w:rPr>
            <w:webHidden/>
          </w:rPr>
          <w:t>39</w:t>
        </w:r>
        <w:r w:rsidR="00590D90">
          <w:rPr>
            <w:webHidden/>
          </w:rPr>
          <w:fldChar w:fldCharType="end"/>
        </w:r>
      </w:hyperlink>
    </w:p>
    <w:p w14:paraId="44BC66B7" w14:textId="501689BC" w:rsidR="00590D90" w:rsidRDefault="00272F76">
      <w:pPr>
        <w:pStyle w:val="TOC3"/>
        <w:rPr>
          <w:rFonts w:asciiTheme="minorHAnsi" w:eastAsiaTheme="minorEastAsia" w:hAnsiTheme="minorHAnsi" w:cstheme="minorBidi"/>
          <w:sz w:val="22"/>
          <w:szCs w:val="22"/>
        </w:rPr>
      </w:pPr>
      <w:hyperlink w:anchor="_Toc485126546" w:history="1">
        <w:r w:rsidR="00590D90" w:rsidRPr="009B7687">
          <w:rPr>
            <w:rStyle w:val="Hyperlink"/>
          </w:rPr>
          <w:t>3.2.2 Comparison with Measure Characterization in the 2015 Study</w:t>
        </w:r>
        <w:r w:rsidR="00590D90">
          <w:rPr>
            <w:webHidden/>
          </w:rPr>
          <w:tab/>
        </w:r>
        <w:r w:rsidR="00590D90">
          <w:rPr>
            <w:webHidden/>
          </w:rPr>
          <w:fldChar w:fldCharType="begin"/>
        </w:r>
        <w:r w:rsidR="00590D90">
          <w:rPr>
            <w:webHidden/>
          </w:rPr>
          <w:instrText xml:space="preserve"> PAGEREF _Toc485126546 \h </w:instrText>
        </w:r>
        <w:r w:rsidR="00590D90">
          <w:rPr>
            <w:webHidden/>
          </w:rPr>
        </w:r>
        <w:r w:rsidR="00590D90">
          <w:rPr>
            <w:webHidden/>
          </w:rPr>
          <w:fldChar w:fldCharType="separate"/>
        </w:r>
        <w:r w:rsidR="00590D90">
          <w:rPr>
            <w:webHidden/>
          </w:rPr>
          <w:t>42</w:t>
        </w:r>
        <w:r w:rsidR="00590D90">
          <w:rPr>
            <w:webHidden/>
          </w:rPr>
          <w:fldChar w:fldCharType="end"/>
        </w:r>
      </w:hyperlink>
    </w:p>
    <w:p w14:paraId="0ABD48A2" w14:textId="0A4BBCE6" w:rsidR="00590D90" w:rsidRDefault="00272F76">
      <w:pPr>
        <w:pStyle w:val="TOC2"/>
        <w:rPr>
          <w:rFonts w:asciiTheme="minorHAnsi" w:eastAsiaTheme="minorEastAsia" w:hAnsiTheme="minorHAnsi" w:cstheme="minorBidi"/>
          <w:sz w:val="22"/>
          <w:szCs w:val="22"/>
        </w:rPr>
      </w:pPr>
      <w:hyperlink w:anchor="_Toc485126547" w:history="1">
        <w:r w:rsidR="00590D90" w:rsidRPr="009B7687">
          <w:rPr>
            <w:rStyle w:val="Hyperlink"/>
          </w:rPr>
          <w:t>3.3 Technology Characterization</w:t>
        </w:r>
        <w:r w:rsidR="00590D90">
          <w:rPr>
            <w:webHidden/>
          </w:rPr>
          <w:tab/>
        </w:r>
        <w:r w:rsidR="00590D90">
          <w:rPr>
            <w:webHidden/>
          </w:rPr>
          <w:fldChar w:fldCharType="begin"/>
        </w:r>
        <w:r w:rsidR="00590D90">
          <w:rPr>
            <w:webHidden/>
          </w:rPr>
          <w:instrText xml:space="preserve"> PAGEREF _Toc485126547 \h </w:instrText>
        </w:r>
        <w:r w:rsidR="00590D90">
          <w:rPr>
            <w:webHidden/>
          </w:rPr>
        </w:r>
        <w:r w:rsidR="00590D90">
          <w:rPr>
            <w:webHidden/>
          </w:rPr>
          <w:fldChar w:fldCharType="separate"/>
        </w:r>
        <w:r w:rsidR="00590D90">
          <w:rPr>
            <w:webHidden/>
          </w:rPr>
          <w:t>44</w:t>
        </w:r>
        <w:r w:rsidR="00590D90">
          <w:rPr>
            <w:webHidden/>
          </w:rPr>
          <w:fldChar w:fldCharType="end"/>
        </w:r>
      </w:hyperlink>
    </w:p>
    <w:p w14:paraId="1A9833A3" w14:textId="798A3B65" w:rsidR="00590D90" w:rsidRDefault="00272F76">
      <w:pPr>
        <w:pStyle w:val="TOC3"/>
        <w:rPr>
          <w:rFonts w:asciiTheme="minorHAnsi" w:eastAsiaTheme="minorEastAsia" w:hAnsiTheme="minorHAnsi" w:cstheme="minorBidi"/>
          <w:sz w:val="22"/>
          <w:szCs w:val="22"/>
        </w:rPr>
      </w:pPr>
      <w:hyperlink w:anchor="_Toc485126548" w:history="1">
        <w:r w:rsidR="00590D90" w:rsidRPr="009B7687">
          <w:rPr>
            <w:rStyle w:val="Hyperlink"/>
          </w:rPr>
          <w:t>3.3.1 Energy Use</w:t>
        </w:r>
        <w:r w:rsidR="00590D90">
          <w:rPr>
            <w:webHidden/>
          </w:rPr>
          <w:tab/>
        </w:r>
        <w:r w:rsidR="00590D90">
          <w:rPr>
            <w:webHidden/>
          </w:rPr>
          <w:fldChar w:fldCharType="begin"/>
        </w:r>
        <w:r w:rsidR="00590D90">
          <w:rPr>
            <w:webHidden/>
          </w:rPr>
          <w:instrText xml:space="preserve"> PAGEREF _Toc485126548 \h </w:instrText>
        </w:r>
        <w:r w:rsidR="00590D90">
          <w:rPr>
            <w:webHidden/>
          </w:rPr>
        </w:r>
        <w:r w:rsidR="00590D90">
          <w:rPr>
            <w:webHidden/>
          </w:rPr>
          <w:fldChar w:fldCharType="separate"/>
        </w:r>
        <w:r w:rsidR="00590D90">
          <w:rPr>
            <w:webHidden/>
          </w:rPr>
          <w:t>45</w:t>
        </w:r>
        <w:r w:rsidR="00590D90">
          <w:rPr>
            <w:webHidden/>
          </w:rPr>
          <w:fldChar w:fldCharType="end"/>
        </w:r>
      </w:hyperlink>
    </w:p>
    <w:p w14:paraId="5C01C450" w14:textId="207EC433" w:rsidR="00590D90" w:rsidRDefault="00272F76">
      <w:pPr>
        <w:pStyle w:val="TOC3"/>
        <w:rPr>
          <w:rFonts w:asciiTheme="minorHAnsi" w:eastAsiaTheme="minorEastAsia" w:hAnsiTheme="minorHAnsi" w:cstheme="minorBidi"/>
          <w:sz w:val="22"/>
          <w:szCs w:val="22"/>
        </w:rPr>
      </w:pPr>
      <w:hyperlink w:anchor="_Toc485126549" w:history="1">
        <w:r w:rsidR="00590D90" w:rsidRPr="009B7687">
          <w:rPr>
            <w:rStyle w:val="Hyperlink"/>
          </w:rPr>
          <w:t>3.3.2 Technology Costs</w:t>
        </w:r>
        <w:r w:rsidR="00590D90">
          <w:rPr>
            <w:webHidden/>
          </w:rPr>
          <w:tab/>
        </w:r>
        <w:r w:rsidR="00590D90">
          <w:rPr>
            <w:webHidden/>
          </w:rPr>
          <w:fldChar w:fldCharType="begin"/>
        </w:r>
        <w:r w:rsidR="00590D90">
          <w:rPr>
            <w:webHidden/>
          </w:rPr>
          <w:instrText xml:space="preserve"> PAGEREF _Toc485126549 \h </w:instrText>
        </w:r>
        <w:r w:rsidR="00590D90">
          <w:rPr>
            <w:webHidden/>
          </w:rPr>
        </w:r>
        <w:r w:rsidR="00590D90">
          <w:rPr>
            <w:webHidden/>
          </w:rPr>
          <w:fldChar w:fldCharType="separate"/>
        </w:r>
        <w:r w:rsidR="00590D90">
          <w:rPr>
            <w:webHidden/>
          </w:rPr>
          <w:t>47</w:t>
        </w:r>
        <w:r w:rsidR="00590D90">
          <w:rPr>
            <w:webHidden/>
          </w:rPr>
          <w:fldChar w:fldCharType="end"/>
        </w:r>
      </w:hyperlink>
    </w:p>
    <w:p w14:paraId="4AD51192" w14:textId="25F120CF" w:rsidR="00590D90" w:rsidRDefault="00272F76">
      <w:pPr>
        <w:pStyle w:val="TOC3"/>
        <w:rPr>
          <w:rFonts w:asciiTheme="minorHAnsi" w:eastAsiaTheme="minorEastAsia" w:hAnsiTheme="minorHAnsi" w:cstheme="minorBidi"/>
          <w:sz w:val="22"/>
          <w:szCs w:val="22"/>
        </w:rPr>
      </w:pPr>
      <w:hyperlink w:anchor="_Toc485126550" w:history="1">
        <w:r w:rsidR="00590D90" w:rsidRPr="009B7687">
          <w:rPr>
            <w:rStyle w:val="Hyperlink"/>
          </w:rPr>
          <w:t>3.3.3 Market Information: Density and Saturation Values</w:t>
        </w:r>
        <w:r w:rsidR="00590D90">
          <w:rPr>
            <w:webHidden/>
          </w:rPr>
          <w:tab/>
        </w:r>
        <w:r w:rsidR="00590D90">
          <w:rPr>
            <w:webHidden/>
          </w:rPr>
          <w:fldChar w:fldCharType="begin"/>
        </w:r>
        <w:r w:rsidR="00590D90">
          <w:rPr>
            <w:webHidden/>
          </w:rPr>
          <w:instrText xml:space="preserve"> PAGEREF _Toc485126550 \h </w:instrText>
        </w:r>
        <w:r w:rsidR="00590D90">
          <w:rPr>
            <w:webHidden/>
          </w:rPr>
        </w:r>
        <w:r w:rsidR="00590D90">
          <w:rPr>
            <w:webHidden/>
          </w:rPr>
          <w:fldChar w:fldCharType="separate"/>
        </w:r>
        <w:r w:rsidR="00590D90">
          <w:rPr>
            <w:webHidden/>
          </w:rPr>
          <w:t>49</w:t>
        </w:r>
        <w:r w:rsidR="00590D90">
          <w:rPr>
            <w:webHidden/>
          </w:rPr>
          <w:fldChar w:fldCharType="end"/>
        </w:r>
      </w:hyperlink>
    </w:p>
    <w:p w14:paraId="6B0FE614" w14:textId="67314CAC" w:rsidR="00590D90" w:rsidRDefault="00272F76">
      <w:pPr>
        <w:pStyle w:val="TOC2"/>
        <w:rPr>
          <w:rFonts w:asciiTheme="minorHAnsi" w:eastAsiaTheme="minorEastAsia" w:hAnsiTheme="minorHAnsi" w:cstheme="minorBidi"/>
          <w:sz w:val="22"/>
          <w:szCs w:val="22"/>
        </w:rPr>
      </w:pPr>
      <w:hyperlink w:anchor="_Toc485126551" w:history="1">
        <w:r w:rsidR="00590D90" w:rsidRPr="009B7687">
          <w:rPr>
            <w:rStyle w:val="Hyperlink"/>
          </w:rPr>
          <w:t>3.4 Agriculture, Industrial, Mining, and Street-lighting (AIMS) Technology Characterization</w:t>
        </w:r>
        <w:r w:rsidR="00590D90">
          <w:rPr>
            <w:webHidden/>
          </w:rPr>
          <w:tab/>
        </w:r>
        <w:r w:rsidR="00590D90">
          <w:rPr>
            <w:webHidden/>
          </w:rPr>
          <w:fldChar w:fldCharType="begin"/>
        </w:r>
        <w:r w:rsidR="00590D90">
          <w:rPr>
            <w:webHidden/>
          </w:rPr>
          <w:instrText xml:space="preserve"> PAGEREF _Toc485126551 \h </w:instrText>
        </w:r>
        <w:r w:rsidR="00590D90">
          <w:rPr>
            <w:webHidden/>
          </w:rPr>
        </w:r>
        <w:r w:rsidR="00590D90">
          <w:rPr>
            <w:webHidden/>
          </w:rPr>
          <w:fldChar w:fldCharType="separate"/>
        </w:r>
        <w:r w:rsidR="00590D90">
          <w:rPr>
            <w:webHidden/>
          </w:rPr>
          <w:t>52</w:t>
        </w:r>
        <w:r w:rsidR="00590D90">
          <w:rPr>
            <w:webHidden/>
          </w:rPr>
          <w:fldChar w:fldCharType="end"/>
        </w:r>
      </w:hyperlink>
    </w:p>
    <w:p w14:paraId="5BFA7783" w14:textId="3E86C3EA" w:rsidR="00590D90" w:rsidRDefault="00272F76">
      <w:pPr>
        <w:pStyle w:val="TOC3"/>
        <w:rPr>
          <w:rFonts w:asciiTheme="minorHAnsi" w:eastAsiaTheme="minorEastAsia" w:hAnsiTheme="minorHAnsi" w:cstheme="minorBidi"/>
          <w:sz w:val="22"/>
          <w:szCs w:val="22"/>
        </w:rPr>
      </w:pPr>
      <w:hyperlink w:anchor="_Toc485126552" w:history="1">
        <w:r w:rsidR="00590D90" w:rsidRPr="009B7687">
          <w:rPr>
            <w:rStyle w:val="Hyperlink"/>
          </w:rPr>
          <w:t>3.4.1 Agriculture and Industrial Sectors</w:t>
        </w:r>
        <w:r w:rsidR="00590D90">
          <w:rPr>
            <w:webHidden/>
          </w:rPr>
          <w:tab/>
        </w:r>
        <w:r w:rsidR="00590D90">
          <w:rPr>
            <w:webHidden/>
          </w:rPr>
          <w:fldChar w:fldCharType="begin"/>
        </w:r>
        <w:r w:rsidR="00590D90">
          <w:rPr>
            <w:webHidden/>
          </w:rPr>
          <w:instrText xml:space="preserve"> PAGEREF _Toc485126552 \h </w:instrText>
        </w:r>
        <w:r w:rsidR="00590D90">
          <w:rPr>
            <w:webHidden/>
          </w:rPr>
        </w:r>
        <w:r w:rsidR="00590D90">
          <w:rPr>
            <w:webHidden/>
          </w:rPr>
          <w:fldChar w:fldCharType="separate"/>
        </w:r>
        <w:r w:rsidR="00590D90">
          <w:rPr>
            <w:webHidden/>
          </w:rPr>
          <w:t>52</w:t>
        </w:r>
        <w:r w:rsidR="00590D90">
          <w:rPr>
            <w:webHidden/>
          </w:rPr>
          <w:fldChar w:fldCharType="end"/>
        </w:r>
      </w:hyperlink>
    </w:p>
    <w:p w14:paraId="32C7CC4F" w14:textId="4598C274" w:rsidR="00590D90" w:rsidRDefault="00272F76">
      <w:pPr>
        <w:pStyle w:val="TOC3"/>
        <w:rPr>
          <w:rFonts w:asciiTheme="minorHAnsi" w:eastAsiaTheme="minorEastAsia" w:hAnsiTheme="minorHAnsi" w:cstheme="minorBidi"/>
          <w:sz w:val="22"/>
          <w:szCs w:val="22"/>
        </w:rPr>
      </w:pPr>
      <w:hyperlink w:anchor="_Toc485126553" w:history="1">
        <w:r w:rsidR="00590D90" w:rsidRPr="009B7687">
          <w:rPr>
            <w:rStyle w:val="Hyperlink"/>
          </w:rPr>
          <w:t>3.4.2 Mining Sector</w:t>
        </w:r>
        <w:r w:rsidR="00590D90">
          <w:rPr>
            <w:webHidden/>
          </w:rPr>
          <w:tab/>
        </w:r>
        <w:r w:rsidR="00590D90">
          <w:rPr>
            <w:webHidden/>
          </w:rPr>
          <w:fldChar w:fldCharType="begin"/>
        </w:r>
        <w:r w:rsidR="00590D90">
          <w:rPr>
            <w:webHidden/>
          </w:rPr>
          <w:instrText xml:space="preserve"> PAGEREF _Toc485126553 \h </w:instrText>
        </w:r>
        <w:r w:rsidR="00590D90">
          <w:rPr>
            <w:webHidden/>
          </w:rPr>
        </w:r>
        <w:r w:rsidR="00590D90">
          <w:rPr>
            <w:webHidden/>
          </w:rPr>
          <w:fldChar w:fldCharType="separate"/>
        </w:r>
        <w:r w:rsidR="00590D90">
          <w:rPr>
            <w:webHidden/>
          </w:rPr>
          <w:t>56</w:t>
        </w:r>
        <w:r w:rsidR="00590D90">
          <w:rPr>
            <w:webHidden/>
          </w:rPr>
          <w:fldChar w:fldCharType="end"/>
        </w:r>
      </w:hyperlink>
    </w:p>
    <w:p w14:paraId="35F5C5DF" w14:textId="7A0C2327" w:rsidR="00590D90" w:rsidRDefault="00272F76">
      <w:pPr>
        <w:pStyle w:val="TOC3"/>
        <w:rPr>
          <w:rFonts w:asciiTheme="minorHAnsi" w:eastAsiaTheme="minorEastAsia" w:hAnsiTheme="minorHAnsi" w:cstheme="minorBidi"/>
          <w:sz w:val="22"/>
          <w:szCs w:val="22"/>
        </w:rPr>
      </w:pPr>
      <w:hyperlink w:anchor="_Toc485126554" w:history="1">
        <w:r w:rsidR="00590D90" w:rsidRPr="009B7687">
          <w:rPr>
            <w:rStyle w:val="Hyperlink"/>
          </w:rPr>
          <w:t>3.4.3 Street Lighting Sector</w:t>
        </w:r>
        <w:r w:rsidR="00590D90">
          <w:rPr>
            <w:webHidden/>
          </w:rPr>
          <w:tab/>
        </w:r>
        <w:r w:rsidR="00590D90">
          <w:rPr>
            <w:webHidden/>
          </w:rPr>
          <w:fldChar w:fldCharType="begin"/>
        </w:r>
        <w:r w:rsidR="00590D90">
          <w:rPr>
            <w:webHidden/>
          </w:rPr>
          <w:instrText xml:space="preserve"> PAGEREF _Toc485126554 \h </w:instrText>
        </w:r>
        <w:r w:rsidR="00590D90">
          <w:rPr>
            <w:webHidden/>
          </w:rPr>
        </w:r>
        <w:r w:rsidR="00590D90">
          <w:rPr>
            <w:webHidden/>
          </w:rPr>
          <w:fldChar w:fldCharType="separate"/>
        </w:r>
        <w:r w:rsidR="00590D90">
          <w:rPr>
            <w:webHidden/>
          </w:rPr>
          <w:t>56</w:t>
        </w:r>
        <w:r w:rsidR="00590D90">
          <w:rPr>
            <w:webHidden/>
          </w:rPr>
          <w:fldChar w:fldCharType="end"/>
        </w:r>
      </w:hyperlink>
    </w:p>
    <w:p w14:paraId="30B4C751" w14:textId="15A57856" w:rsidR="00590D90" w:rsidRDefault="00272F76">
      <w:pPr>
        <w:pStyle w:val="TOC2"/>
        <w:rPr>
          <w:rFonts w:asciiTheme="minorHAnsi" w:eastAsiaTheme="minorEastAsia" w:hAnsiTheme="minorHAnsi" w:cstheme="minorBidi"/>
          <w:sz w:val="22"/>
          <w:szCs w:val="22"/>
        </w:rPr>
      </w:pPr>
      <w:hyperlink w:anchor="_Toc485126555" w:history="1">
        <w:r w:rsidR="00590D90" w:rsidRPr="009B7687">
          <w:rPr>
            <w:rStyle w:val="Hyperlink"/>
          </w:rPr>
          <w:t>3.5 Industrial and Agriculture Custom Technologies Data Sources</w:t>
        </w:r>
        <w:r w:rsidR="00590D90">
          <w:rPr>
            <w:webHidden/>
          </w:rPr>
          <w:tab/>
        </w:r>
        <w:r w:rsidR="00590D90">
          <w:rPr>
            <w:webHidden/>
          </w:rPr>
          <w:fldChar w:fldCharType="begin"/>
        </w:r>
        <w:r w:rsidR="00590D90">
          <w:rPr>
            <w:webHidden/>
          </w:rPr>
          <w:instrText xml:space="preserve"> PAGEREF _Toc485126555 \h </w:instrText>
        </w:r>
        <w:r w:rsidR="00590D90">
          <w:rPr>
            <w:webHidden/>
          </w:rPr>
        </w:r>
        <w:r w:rsidR="00590D90">
          <w:rPr>
            <w:webHidden/>
          </w:rPr>
          <w:fldChar w:fldCharType="separate"/>
        </w:r>
        <w:r w:rsidR="00590D90">
          <w:rPr>
            <w:webHidden/>
          </w:rPr>
          <w:t>57</w:t>
        </w:r>
        <w:r w:rsidR="00590D90">
          <w:rPr>
            <w:webHidden/>
          </w:rPr>
          <w:fldChar w:fldCharType="end"/>
        </w:r>
      </w:hyperlink>
    </w:p>
    <w:p w14:paraId="224F36F5" w14:textId="4E86D93D" w:rsidR="00590D90" w:rsidRDefault="00272F76">
      <w:pPr>
        <w:pStyle w:val="TOC3"/>
        <w:rPr>
          <w:rFonts w:asciiTheme="minorHAnsi" w:eastAsiaTheme="minorEastAsia" w:hAnsiTheme="minorHAnsi" w:cstheme="minorBidi"/>
          <w:sz w:val="22"/>
          <w:szCs w:val="22"/>
        </w:rPr>
      </w:pPr>
      <w:hyperlink w:anchor="_Toc485126556" w:history="1">
        <w:r w:rsidR="00590D90" w:rsidRPr="009B7687">
          <w:rPr>
            <w:rStyle w:val="Hyperlink"/>
          </w:rPr>
          <w:t>3.5.1 Generic Custom Measures</w:t>
        </w:r>
        <w:r w:rsidR="00590D90">
          <w:rPr>
            <w:webHidden/>
          </w:rPr>
          <w:tab/>
        </w:r>
        <w:r w:rsidR="00590D90">
          <w:rPr>
            <w:webHidden/>
          </w:rPr>
          <w:fldChar w:fldCharType="begin"/>
        </w:r>
        <w:r w:rsidR="00590D90">
          <w:rPr>
            <w:webHidden/>
          </w:rPr>
          <w:instrText xml:space="preserve"> PAGEREF _Toc485126556 \h </w:instrText>
        </w:r>
        <w:r w:rsidR="00590D90">
          <w:rPr>
            <w:webHidden/>
          </w:rPr>
        </w:r>
        <w:r w:rsidR="00590D90">
          <w:rPr>
            <w:webHidden/>
          </w:rPr>
          <w:fldChar w:fldCharType="separate"/>
        </w:r>
        <w:r w:rsidR="00590D90">
          <w:rPr>
            <w:webHidden/>
          </w:rPr>
          <w:t>57</w:t>
        </w:r>
        <w:r w:rsidR="00590D90">
          <w:rPr>
            <w:webHidden/>
          </w:rPr>
          <w:fldChar w:fldCharType="end"/>
        </w:r>
      </w:hyperlink>
    </w:p>
    <w:p w14:paraId="53FC2840" w14:textId="1D8E7907" w:rsidR="00590D90" w:rsidRDefault="00272F76">
      <w:pPr>
        <w:pStyle w:val="TOC3"/>
        <w:rPr>
          <w:rFonts w:asciiTheme="minorHAnsi" w:eastAsiaTheme="minorEastAsia" w:hAnsiTheme="minorHAnsi" w:cstheme="minorBidi"/>
          <w:sz w:val="22"/>
          <w:szCs w:val="22"/>
        </w:rPr>
      </w:pPr>
      <w:hyperlink w:anchor="_Toc485126557" w:history="1">
        <w:r w:rsidR="00590D90" w:rsidRPr="009B7687">
          <w:rPr>
            <w:rStyle w:val="Hyperlink"/>
          </w:rPr>
          <w:t>3.5.2 Emerging AIMS Technologies</w:t>
        </w:r>
        <w:r w:rsidR="00590D90">
          <w:rPr>
            <w:webHidden/>
          </w:rPr>
          <w:tab/>
        </w:r>
        <w:r w:rsidR="00590D90">
          <w:rPr>
            <w:webHidden/>
          </w:rPr>
          <w:fldChar w:fldCharType="begin"/>
        </w:r>
        <w:r w:rsidR="00590D90">
          <w:rPr>
            <w:webHidden/>
          </w:rPr>
          <w:instrText xml:space="preserve"> PAGEREF _Toc485126557 \h </w:instrText>
        </w:r>
        <w:r w:rsidR="00590D90">
          <w:rPr>
            <w:webHidden/>
          </w:rPr>
        </w:r>
        <w:r w:rsidR="00590D90">
          <w:rPr>
            <w:webHidden/>
          </w:rPr>
          <w:fldChar w:fldCharType="separate"/>
        </w:r>
        <w:r w:rsidR="00590D90">
          <w:rPr>
            <w:webHidden/>
          </w:rPr>
          <w:t>58</w:t>
        </w:r>
        <w:r w:rsidR="00590D90">
          <w:rPr>
            <w:webHidden/>
          </w:rPr>
          <w:fldChar w:fldCharType="end"/>
        </w:r>
      </w:hyperlink>
    </w:p>
    <w:p w14:paraId="0BA0F186" w14:textId="491D47F3" w:rsidR="00590D90" w:rsidRDefault="00272F76">
      <w:pPr>
        <w:pStyle w:val="TOC2"/>
        <w:rPr>
          <w:rFonts w:asciiTheme="minorHAnsi" w:eastAsiaTheme="minorEastAsia" w:hAnsiTheme="minorHAnsi" w:cstheme="minorBidi"/>
          <w:sz w:val="22"/>
          <w:szCs w:val="22"/>
        </w:rPr>
      </w:pPr>
      <w:hyperlink w:anchor="_Toc485126558" w:history="1">
        <w:r w:rsidR="00590D90" w:rsidRPr="009B7687">
          <w:rPr>
            <w:rStyle w:val="Hyperlink"/>
          </w:rPr>
          <w:t>3.6 Whole Building Initiatives</w:t>
        </w:r>
        <w:r w:rsidR="00590D90">
          <w:rPr>
            <w:webHidden/>
          </w:rPr>
          <w:tab/>
        </w:r>
        <w:r w:rsidR="00590D90">
          <w:rPr>
            <w:webHidden/>
          </w:rPr>
          <w:fldChar w:fldCharType="begin"/>
        </w:r>
        <w:r w:rsidR="00590D90">
          <w:rPr>
            <w:webHidden/>
          </w:rPr>
          <w:instrText xml:space="preserve"> PAGEREF _Toc485126558 \h </w:instrText>
        </w:r>
        <w:r w:rsidR="00590D90">
          <w:rPr>
            <w:webHidden/>
          </w:rPr>
        </w:r>
        <w:r w:rsidR="00590D90">
          <w:rPr>
            <w:webHidden/>
          </w:rPr>
          <w:fldChar w:fldCharType="separate"/>
        </w:r>
        <w:r w:rsidR="00590D90">
          <w:rPr>
            <w:webHidden/>
          </w:rPr>
          <w:t>59</w:t>
        </w:r>
        <w:r w:rsidR="00590D90">
          <w:rPr>
            <w:webHidden/>
          </w:rPr>
          <w:fldChar w:fldCharType="end"/>
        </w:r>
      </w:hyperlink>
    </w:p>
    <w:p w14:paraId="385E6617" w14:textId="2FAD9CC3" w:rsidR="00590D90" w:rsidRDefault="00272F76">
      <w:pPr>
        <w:pStyle w:val="TOC3"/>
        <w:rPr>
          <w:rFonts w:asciiTheme="minorHAnsi" w:eastAsiaTheme="minorEastAsia" w:hAnsiTheme="minorHAnsi" w:cstheme="minorBidi"/>
          <w:sz w:val="22"/>
          <w:szCs w:val="22"/>
        </w:rPr>
      </w:pPr>
      <w:hyperlink w:anchor="_Toc485126559" w:history="1">
        <w:r w:rsidR="00590D90" w:rsidRPr="009B7687">
          <w:rPr>
            <w:rStyle w:val="Hyperlink"/>
          </w:rPr>
          <w:t>3.6.1 New Construction</w:t>
        </w:r>
        <w:r w:rsidR="00590D90">
          <w:rPr>
            <w:webHidden/>
          </w:rPr>
          <w:tab/>
        </w:r>
        <w:r w:rsidR="00590D90">
          <w:rPr>
            <w:webHidden/>
          </w:rPr>
          <w:fldChar w:fldCharType="begin"/>
        </w:r>
        <w:r w:rsidR="00590D90">
          <w:rPr>
            <w:webHidden/>
          </w:rPr>
          <w:instrText xml:space="preserve"> PAGEREF _Toc485126559 \h </w:instrText>
        </w:r>
        <w:r w:rsidR="00590D90">
          <w:rPr>
            <w:webHidden/>
          </w:rPr>
        </w:r>
        <w:r w:rsidR="00590D90">
          <w:rPr>
            <w:webHidden/>
          </w:rPr>
          <w:fldChar w:fldCharType="separate"/>
        </w:r>
        <w:r w:rsidR="00590D90">
          <w:rPr>
            <w:webHidden/>
          </w:rPr>
          <w:t>60</w:t>
        </w:r>
        <w:r w:rsidR="00590D90">
          <w:rPr>
            <w:webHidden/>
          </w:rPr>
          <w:fldChar w:fldCharType="end"/>
        </w:r>
      </w:hyperlink>
    </w:p>
    <w:p w14:paraId="187F53FA" w14:textId="1E2F659C" w:rsidR="00590D90" w:rsidRDefault="00272F76">
      <w:pPr>
        <w:pStyle w:val="TOC3"/>
        <w:rPr>
          <w:rFonts w:asciiTheme="minorHAnsi" w:eastAsiaTheme="minorEastAsia" w:hAnsiTheme="minorHAnsi" w:cstheme="minorBidi"/>
          <w:sz w:val="22"/>
          <w:szCs w:val="22"/>
        </w:rPr>
      </w:pPr>
      <w:hyperlink w:anchor="_Toc485126560" w:history="1">
        <w:r w:rsidR="00590D90" w:rsidRPr="009B7687">
          <w:rPr>
            <w:rStyle w:val="Hyperlink"/>
          </w:rPr>
          <w:t>3.6.2 Retrofit</w:t>
        </w:r>
        <w:r w:rsidR="00590D90">
          <w:rPr>
            <w:webHidden/>
          </w:rPr>
          <w:tab/>
        </w:r>
        <w:r w:rsidR="00590D90">
          <w:rPr>
            <w:webHidden/>
          </w:rPr>
          <w:fldChar w:fldCharType="begin"/>
        </w:r>
        <w:r w:rsidR="00590D90">
          <w:rPr>
            <w:webHidden/>
          </w:rPr>
          <w:instrText xml:space="preserve"> PAGEREF _Toc485126560 \h </w:instrText>
        </w:r>
        <w:r w:rsidR="00590D90">
          <w:rPr>
            <w:webHidden/>
          </w:rPr>
        </w:r>
        <w:r w:rsidR="00590D90">
          <w:rPr>
            <w:webHidden/>
          </w:rPr>
          <w:fldChar w:fldCharType="separate"/>
        </w:r>
        <w:r w:rsidR="00590D90">
          <w:rPr>
            <w:webHidden/>
          </w:rPr>
          <w:t>62</w:t>
        </w:r>
        <w:r w:rsidR="00590D90">
          <w:rPr>
            <w:webHidden/>
          </w:rPr>
          <w:fldChar w:fldCharType="end"/>
        </w:r>
      </w:hyperlink>
    </w:p>
    <w:p w14:paraId="67C56C91" w14:textId="25A9D1C5" w:rsidR="00590D90" w:rsidRDefault="00272F76">
      <w:pPr>
        <w:pStyle w:val="TOC2"/>
        <w:rPr>
          <w:rFonts w:asciiTheme="minorHAnsi" w:eastAsiaTheme="minorEastAsia" w:hAnsiTheme="minorHAnsi" w:cstheme="minorBidi"/>
          <w:sz w:val="22"/>
          <w:szCs w:val="22"/>
        </w:rPr>
      </w:pPr>
      <w:hyperlink w:anchor="_Toc485126561" w:history="1">
        <w:r w:rsidR="00590D90" w:rsidRPr="009B7687">
          <w:rPr>
            <w:rStyle w:val="Hyperlink"/>
          </w:rPr>
          <w:t>3.7 Codes and Standards</w:t>
        </w:r>
        <w:r w:rsidR="00590D90">
          <w:rPr>
            <w:webHidden/>
          </w:rPr>
          <w:tab/>
        </w:r>
        <w:r w:rsidR="00590D90">
          <w:rPr>
            <w:webHidden/>
          </w:rPr>
          <w:fldChar w:fldCharType="begin"/>
        </w:r>
        <w:r w:rsidR="00590D90">
          <w:rPr>
            <w:webHidden/>
          </w:rPr>
          <w:instrText xml:space="preserve"> PAGEREF _Toc485126561 \h </w:instrText>
        </w:r>
        <w:r w:rsidR="00590D90">
          <w:rPr>
            <w:webHidden/>
          </w:rPr>
        </w:r>
        <w:r w:rsidR="00590D90">
          <w:rPr>
            <w:webHidden/>
          </w:rPr>
          <w:fldChar w:fldCharType="separate"/>
        </w:r>
        <w:r w:rsidR="00590D90">
          <w:rPr>
            <w:webHidden/>
          </w:rPr>
          <w:t>64</w:t>
        </w:r>
        <w:r w:rsidR="00590D90">
          <w:rPr>
            <w:webHidden/>
          </w:rPr>
          <w:fldChar w:fldCharType="end"/>
        </w:r>
      </w:hyperlink>
    </w:p>
    <w:p w14:paraId="1BE2F336" w14:textId="708C2E51" w:rsidR="00590D90" w:rsidRDefault="00272F76">
      <w:pPr>
        <w:pStyle w:val="TOC2"/>
        <w:rPr>
          <w:rFonts w:asciiTheme="minorHAnsi" w:eastAsiaTheme="minorEastAsia" w:hAnsiTheme="minorHAnsi" w:cstheme="minorBidi"/>
          <w:sz w:val="22"/>
          <w:szCs w:val="22"/>
        </w:rPr>
      </w:pPr>
      <w:hyperlink w:anchor="_Toc485126562" w:history="1">
        <w:r w:rsidR="00590D90" w:rsidRPr="009B7687">
          <w:rPr>
            <w:rStyle w:val="Hyperlink"/>
          </w:rPr>
          <w:t>3.8 Behavior, Retrocommissioning, and Operational (BROs) Energy Efficiency</w:t>
        </w:r>
        <w:r w:rsidR="00590D90">
          <w:rPr>
            <w:webHidden/>
          </w:rPr>
          <w:tab/>
        </w:r>
        <w:r w:rsidR="00590D90">
          <w:rPr>
            <w:webHidden/>
          </w:rPr>
          <w:fldChar w:fldCharType="begin"/>
        </w:r>
        <w:r w:rsidR="00590D90">
          <w:rPr>
            <w:webHidden/>
          </w:rPr>
          <w:instrText xml:space="preserve"> PAGEREF _Toc485126562 \h </w:instrText>
        </w:r>
        <w:r w:rsidR="00590D90">
          <w:rPr>
            <w:webHidden/>
          </w:rPr>
        </w:r>
        <w:r w:rsidR="00590D90">
          <w:rPr>
            <w:webHidden/>
          </w:rPr>
          <w:fldChar w:fldCharType="separate"/>
        </w:r>
        <w:r w:rsidR="00590D90">
          <w:rPr>
            <w:webHidden/>
          </w:rPr>
          <w:t>66</w:t>
        </w:r>
        <w:r w:rsidR="00590D90">
          <w:rPr>
            <w:webHidden/>
          </w:rPr>
          <w:fldChar w:fldCharType="end"/>
        </w:r>
      </w:hyperlink>
    </w:p>
    <w:p w14:paraId="6C990DBF" w14:textId="58495519" w:rsidR="00590D90" w:rsidRDefault="00272F76">
      <w:pPr>
        <w:pStyle w:val="TOC3"/>
        <w:rPr>
          <w:rFonts w:asciiTheme="minorHAnsi" w:eastAsiaTheme="minorEastAsia" w:hAnsiTheme="minorHAnsi" w:cstheme="minorBidi"/>
          <w:sz w:val="22"/>
          <w:szCs w:val="22"/>
        </w:rPr>
      </w:pPr>
      <w:hyperlink w:anchor="_Toc485126563" w:history="1">
        <w:r w:rsidR="00590D90" w:rsidRPr="009B7687">
          <w:rPr>
            <w:rStyle w:val="Hyperlink"/>
          </w:rPr>
          <w:t>3.8.1 Stakeholder Input</w:t>
        </w:r>
        <w:r w:rsidR="00590D90">
          <w:rPr>
            <w:webHidden/>
          </w:rPr>
          <w:tab/>
        </w:r>
        <w:r w:rsidR="00590D90">
          <w:rPr>
            <w:webHidden/>
          </w:rPr>
          <w:fldChar w:fldCharType="begin"/>
        </w:r>
        <w:r w:rsidR="00590D90">
          <w:rPr>
            <w:webHidden/>
          </w:rPr>
          <w:instrText xml:space="preserve"> PAGEREF _Toc485126563 \h </w:instrText>
        </w:r>
        <w:r w:rsidR="00590D90">
          <w:rPr>
            <w:webHidden/>
          </w:rPr>
        </w:r>
        <w:r w:rsidR="00590D90">
          <w:rPr>
            <w:webHidden/>
          </w:rPr>
          <w:fldChar w:fldCharType="separate"/>
        </w:r>
        <w:r w:rsidR="00590D90">
          <w:rPr>
            <w:webHidden/>
          </w:rPr>
          <w:t>71</w:t>
        </w:r>
        <w:r w:rsidR="00590D90">
          <w:rPr>
            <w:webHidden/>
          </w:rPr>
          <w:fldChar w:fldCharType="end"/>
        </w:r>
      </w:hyperlink>
    </w:p>
    <w:p w14:paraId="46B13BE4" w14:textId="337E9747" w:rsidR="00590D90" w:rsidRDefault="00272F76">
      <w:pPr>
        <w:pStyle w:val="TOC3"/>
        <w:rPr>
          <w:rFonts w:asciiTheme="minorHAnsi" w:eastAsiaTheme="minorEastAsia" w:hAnsiTheme="minorHAnsi" w:cstheme="minorBidi"/>
          <w:sz w:val="22"/>
          <w:szCs w:val="22"/>
        </w:rPr>
      </w:pPr>
      <w:hyperlink w:anchor="_Toc485126564" w:history="1">
        <w:r w:rsidR="00590D90" w:rsidRPr="009B7687">
          <w:rPr>
            <w:rStyle w:val="Hyperlink"/>
          </w:rPr>
          <w:t>3.8.2 Data Rigor</w:t>
        </w:r>
        <w:r w:rsidR="00590D90">
          <w:rPr>
            <w:webHidden/>
          </w:rPr>
          <w:tab/>
        </w:r>
        <w:r w:rsidR="00590D90">
          <w:rPr>
            <w:webHidden/>
          </w:rPr>
          <w:fldChar w:fldCharType="begin"/>
        </w:r>
        <w:r w:rsidR="00590D90">
          <w:rPr>
            <w:webHidden/>
          </w:rPr>
          <w:instrText xml:space="preserve"> PAGEREF _Toc485126564 \h </w:instrText>
        </w:r>
        <w:r w:rsidR="00590D90">
          <w:rPr>
            <w:webHidden/>
          </w:rPr>
        </w:r>
        <w:r w:rsidR="00590D90">
          <w:rPr>
            <w:webHidden/>
          </w:rPr>
          <w:fldChar w:fldCharType="separate"/>
        </w:r>
        <w:r w:rsidR="00590D90">
          <w:rPr>
            <w:webHidden/>
          </w:rPr>
          <w:t>72</w:t>
        </w:r>
        <w:r w:rsidR="00590D90">
          <w:rPr>
            <w:webHidden/>
          </w:rPr>
          <w:fldChar w:fldCharType="end"/>
        </w:r>
      </w:hyperlink>
    </w:p>
    <w:p w14:paraId="18537C10" w14:textId="5289ACA8" w:rsidR="00590D90" w:rsidRDefault="00272F76">
      <w:pPr>
        <w:pStyle w:val="TOC2"/>
        <w:rPr>
          <w:rFonts w:asciiTheme="minorHAnsi" w:eastAsiaTheme="minorEastAsia" w:hAnsiTheme="minorHAnsi" w:cstheme="minorBidi"/>
          <w:sz w:val="22"/>
          <w:szCs w:val="22"/>
        </w:rPr>
      </w:pPr>
      <w:hyperlink w:anchor="_Toc485126565" w:history="1">
        <w:r w:rsidR="00590D90" w:rsidRPr="009B7687">
          <w:rPr>
            <w:rStyle w:val="Hyperlink"/>
          </w:rPr>
          <w:t>3.9 Low Income Programs</w:t>
        </w:r>
        <w:r w:rsidR="00590D90">
          <w:rPr>
            <w:webHidden/>
          </w:rPr>
          <w:tab/>
        </w:r>
        <w:r w:rsidR="00590D90">
          <w:rPr>
            <w:webHidden/>
          </w:rPr>
          <w:fldChar w:fldCharType="begin"/>
        </w:r>
        <w:r w:rsidR="00590D90">
          <w:rPr>
            <w:webHidden/>
          </w:rPr>
          <w:instrText xml:space="preserve"> PAGEREF _Toc485126565 \h </w:instrText>
        </w:r>
        <w:r w:rsidR="00590D90">
          <w:rPr>
            <w:webHidden/>
          </w:rPr>
        </w:r>
        <w:r w:rsidR="00590D90">
          <w:rPr>
            <w:webHidden/>
          </w:rPr>
          <w:fldChar w:fldCharType="separate"/>
        </w:r>
        <w:r w:rsidR="00590D90">
          <w:rPr>
            <w:webHidden/>
          </w:rPr>
          <w:t>73</w:t>
        </w:r>
        <w:r w:rsidR="00590D90">
          <w:rPr>
            <w:webHidden/>
          </w:rPr>
          <w:fldChar w:fldCharType="end"/>
        </w:r>
      </w:hyperlink>
    </w:p>
    <w:p w14:paraId="55CB2A4F" w14:textId="658F5A24" w:rsidR="00590D90" w:rsidRDefault="00272F76">
      <w:pPr>
        <w:pStyle w:val="TOC3"/>
        <w:rPr>
          <w:rFonts w:asciiTheme="minorHAnsi" w:eastAsiaTheme="minorEastAsia" w:hAnsiTheme="minorHAnsi" w:cstheme="minorBidi"/>
          <w:sz w:val="22"/>
          <w:szCs w:val="22"/>
        </w:rPr>
      </w:pPr>
      <w:hyperlink w:anchor="_Toc485126566" w:history="1">
        <w:r w:rsidR="00590D90" w:rsidRPr="009B7687">
          <w:rPr>
            <w:rStyle w:val="Hyperlink"/>
          </w:rPr>
          <w:t>3.9.1 Households Treated</w:t>
        </w:r>
        <w:r w:rsidR="00590D90">
          <w:rPr>
            <w:webHidden/>
          </w:rPr>
          <w:tab/>
        </w:r>
        <w:r w:rsidR="00590D90">
          <w:rPr>
            <w:webHidden/>
          </w:rPr>
          <w:fldChar w:fldCharType="begin"/>
        </w:r>
        <w:r w:rsidR="00590D90">
          <w:rPr>
            <w:webHidden/>
          </w:rPr>
          <w:instrText xml:space="preserve"> PAGEREF _Toc485126566 \h </w:instrText>
        </w:r>
        <w:r w:rsidR="00590D90">
          <w:rPr>
            <w:webHidden/>
          </w:rPr>
        </w:r>
        <w:r w:rsidR="00590D90">
          <w:rPr>
            <w:webHidden/>
          </w:rPr>
          <w:fldChar w:fldCharType="separate"/>
        </w:r>
        <w:r w:rsidR="00590D90">
          <w:rPr>
            <w:webHidden/>
          </w:rPr>
          <w:t>73</w:t>
        </w:r>
        <w:r w:rsidR="00590D90">
          <w:rPr>
            <w:webHidden/>
          </w:rPr>
          <w:fldChar w:fldCharType="end"/>
        </w:r>
      </w:hyperlink>
    </w:p>
    <w:p w14:paraId="6E22F0E3" w14:textId="00EFE20B" w:rsidR="00590D90" w:rsidRDefault="00272F76">
      <w:pPr>
        <w:pStyle w:val="TOC3"/>
        <w:rPr>
          <w:rFonts w:asciiTheme="minorHAnsi" w:eastAsiaTheme="minorEastAsia" w:hAnsiTheme="minorHAnsi" w:cstheme="minorBidi"/>
          <w:sz w:val="22"/>
          <w:szCs w:val="22"/>
        </w:rPr>
      </w:pPr>
      <w:hyperlink w:anchor="_Toc485126567" w:history="1">
        <w:r w:rsidR="00590D90" w:rsidRPr="009B7687">
          <w:rPr>
            <w:rStyle w:val="Hyperlink"/>
          </w:rPr>
          <w:t>3.9.2 Unit Energy Savings</w:t>
        </w:r>
        <w:r w:rsidR="00590D90">
          <w:rPr>
            <w:webHidden/>
          </w:rPr>
          <w:tab/>
        </w:r>
        <w:r w:rsidR="00590D90">
          <w:rPr>
            <w:webHidden/>
          </w:rPr>
          <w:fldChar w:fldCharType="begin"/>
        </w:r>
        <w:r w:rsidR="00590D90">
          <w:rPr>
            <w:webHidden/>
          </w:rPr>
          <w:instrText xml:space="preserve"> PAGEREF _Toc485126567 \h </w:instrText>
        </w:r>
        <w:r w:rsidR="00590D90">
          <w:rPr>
            <w:webHidden/>
          </w:rPr>
        </w:r>
        <w:r w:rsidR="00590D90">
          <w:rPr>
            <w:webHidden/>
          </w:rPr>
          <w:fldChar w:fldCharType="separate"/>
        </w:r>
        <w:r w:rsidR="00590D90">
          <w:rPr>
            <w:webHidden/>
          </w:rPr>
          <w:t>74</w:t>
        </w:r>
        <w:r w:rsidR="00590D90">
          <w:rPr>
            <w:webHidden/>
          </w:rPr>
          <w:fldChar w:fldCharType="end"/>
        </w:r>
      </w:hyperlink>
    </w:p>
    <w:p w14:paraId="4D802CA6" w14:textId="6A9AE869" w:rsidR="00590D90" w:rsidRDefault="00272F76">
      <w:pPr>
        <w:pStyle w:val="TOC2"/>
        <w:rPr>
          <w:rFonts w:asciiTheme="minorHAnsi" w:eastAsiaTheme="minorEastAsia" w:hAnsiTheme="minorHAnsi" w:cstheme="minorBidi"/>
          <w:sz w:val="22"/>
          <w:szCs w:val="22"/>
        </w:rPr>
      </w:pPr>
      <w:hyperlink w:anchor="_Toc485126568" w:history="1">
        <w:r w:rsidR="00590D90" w:rsidRPr="009B7687">
          <w:rPr>
            <w:rStyle w:val="Hyperlink"/>
          </w:rPr>
          <w:t>3.10 Energy Efficiency Financing</w:t>
        </w:r>
        <w:r w:rsidR="00590D90">
          <w:rPr>
            <w:webHidden/>
          </w:rPr>
          <w:tab/>
        </w:r>
        <w:r w:rsidR="00590D90">
          <w:rPr>
            <w:webHidden/>
          </w:rPr>
          <w:fldChar w:fldCharType="begin"/>
        </w:r>
        <w:r w:rsidR="00590D90">
          <w:rPr>
            <w:webHidden/>
          </w:rPr>
          <w:instrText xml:space="preserve"> PAGEREF _Toc485126568 \h </w:instrText>
        </w:r>
        <w:r w:rsidR="00590D90">
          <w:rPr>
            <w:webHidden/>
          </w:rPr>
        </w:r>
        <w:r w:rsidR="00590D90">
          <w:rPr>
            <w:webHidden/>
          </w:rPr>
          <w:fldChar w:fldCharType="separate"/>
        </w:r>
        <w:r w:rsidR="00590D90">
          <w:rPr>
            <w:webHidden/>
          </w:rPr>
          <w:t>74</w:t>
        </w:r>
        <w:r w:rsidR="00590D90">
          <w:rPr>
            <w:webHidden/>
          </w:rPr>
          <w:fldChar w:fldCharType="end"/>
        </w:r>
      </w:hyperlink>
    </w:p>
    <w:p w14:paraId="493DC3A1" w14:textId="329D6056" w:rsidR="00590D90" w:rsidRDefault="00272F76">
      <w:pPr>
        <w:pStyle w:val="TOC3"/>
        <w:rPr>
          <w:rFonts w:asciiTheme="minorHAnsi" w:eastAsiaTheme="minorEastAsia" w:hAnsiTheme="minorHAnsi" w:cstheme="minorBidi"/>
          <w:sz w:val="22"/>
          <w:szCs w:val="22"/>
        </w:rPr>
      </w:pPr>
      <w:hyperlink w:anchor="_Toc485126569" w:history="1">
        <w:r w:rsidR="00590D90" w:rsidRPr="009B7687">
          <w:rPr>
            <w:rStyle w:val="Hyperlink"/>
          </w:rPr>
          <w:t>3.10.1 Residential Inputs</w:t>
        </w:r>
        <w:r w:rsidR="00590D90">
          <w:rPr>
            <w:webHidden/>
          </w:rPr>
          <w:tab/>
        </w:r>
        <w:r w:rsidR="00590D90">
          <w:rPr>
            <w:webHidden/>
          </w:rPr>
          <w:fldChar w:fldCharType="begin"/>
        </w:r>
        <w:r w:rsidR="00590D90">
          <w:rPr>
            <w:webHidden/>
          </w:rPr>
          <w:instrText xml:space="preserve"> PAGEREF _Toc485126569 \h </w:instrText>
        </w:r>
        <w:r w:rsidR="00590D90">
          <w:rPr>
            <w:webHidden/>
          </w:rPr>
        </w:r>
        <w:r w:rsidR="00590D90">
          <w:rPr>
            <w:webHidden/>
          </w:rPr>
          <w:fldChar w:fldCharType="separate"/>
        </w:r>
        <w:r w:rsidR="00590D90">
          <w:rPr>
            <w:webHidden/>
          </w:rPr>
          <w:t>74</w:t>
        </w:r>
        <w:r w:rsidR="00590D90">
          <w:rPr>
            <w:webHidden/>
          </w:rPr>
          <w:fldChar w:fldCharType="end"/>
        </w:r>
      </w:hyperlink>
    </w:p>
    <w:p w14:paraId="6186E3D5" w14:textId="1EC21C04" w:rsidR="00590D90" w:rsidRDefault="00272F76">
      <w:pPr>
        <w:pStyle w:val="TOC3"/>
        <w:rPr>
          <w:rFonts w:asciiTheme="minorHAnsi" w:eastAsiaTheme="minorEastAsia" w:hAnsiTheme="minorHAnsi" w:cstheme="minorBidi"/>
          <w:sz w:val="22"/>
          <w:szCs w:val="22"/>
        </w:rPr>
      </w:pPr>
      <w:hyperlink w:anchor="_Toc485126570" w:history="1">
        <w:r w:rsidR="00590D90" w:rsidRPr="009B7687">
          <w:rPr>
            <w:rStyle w:val="Hyperlink"/>
          </w:rPr>
          <w:t>3.10.2 Commercial Inputs</w:t>
        </w:r>
        <w:r w:rsidR="00590D90">
          <w:rPr>
            <w:webHidden/>
          </w:rPr>
          <w:tab/>
        </w:r>
        <w:r w:rsidR="00590D90">
          <w:rPr>
            <w:webHidden/>
          </w:rPr>
          <w:fldChar w:fldCharType="begin"/>
        </w:r>
        <w:r w:rsidR="00590D90">
          <w:rPr>
            <w:webHidden/>
          </w:rPr>
          <w:instrText xml:space="preserve"> PAGEREF _Toc485126570 \h </w:instrText>
        </w:r>
        <w:r w:rsidR="00590D90">
          <w:rPr>
            <w:webHidden/>
          </w:rPr>
        </w:r>
        <w:r w:rsidR="00590D90">
          <w:rPr>
            <w:webHidden/>
          </w:rPr>
          <w:fldChar w:fldCharType="separate"/>
        </w:r>
        <w:r w:rsidR="00590D90">
          <w:rPr>
            <w:webHidden/>
          </w:rPr>
          <w:t>76</w:t>
        </w:r>
        <w:r w:rsidR="00590D90">
          <w:rPr>
            <w:webHidden/>
          </w:rPr>
          <w:fldChar w:fldCharType="end"/>
        </w:r>
      </w:hyperlink>
    </w:p>
    <w:p w14:paraId="0EDF553F" w14:textId="07A3DC1B" w:rsidR="00590D90" w:rsidRDefault="00272F76">
      <w:pPr>
        <w:pStyle w:val="TOC1"/>
        <w:rPr>
          <w:rFonts w:asciiTheme="minorHAnsi" w:eastAsiaTheme="minorEastAsia" w:hAnsiTheme="minorHAnsi" w:cstheme="minorBidi"/>
          <w:b w:val="0"/>
          <w:noProof/>
          <w:sz w:val="22"/>
        </w:rPr>
      </w:pPr>
      <w:hyperlink w:anchor="_Toc485126571" w:history="1">
        <w:r w:rsidR="00590D90" w:rsidRPr="009B7687">
          <w:rPr>
            <w:rStyle w:val="Hyperlink"/>
            <w:noProof/>
          </w:rPr>
          <w:t>4. 2018 Study Results</w:t>
        </w:r>
        <w:r w:rsidR="00590D90">
          <w:rPr>
            <w:noProof/>
            <w:webHidden/>
          </w:rPr>
          <w:tab/>
        </w:r>
        <w:r w:rsidR="00590D90">
          <w:rPr>
            <w:noProof/>
            <w:webHidden/>
          </w:rPr>
          <w:fldChar w:fldCharType="begin"/>
        </w:r>
        <w:r w:rsidR="00590D90">
          <w:rPr>
            <w:noProof/>
            <w:webHidden/>
          </w:rPr>
          <w:instrText xml:space="preserve"> PAGEREF _Toc485126571 \h </w:instrText>
        </w:r>
        <w:r w:rsidR="00590D90">
          <w:rPr>
            <w:noProof/>
            <w:webHidden/>
          </w:rPr>
        </w:r>
        <w:r w:rsidR="00590D90">
          <w:rPr>
            <w:noProof/>
            <w:webHidden/>
          </w:rPr>
          <w:fldChar w:fldCharType="separate"/>
        </w:r>
        <w:r w:rsidR="00590D90">
          <w:rPr>
            <w:noProof/>
            <w:webHidden/>
          </w:rPr>
          <w:t>78</w:t>
        </w:r>
        <w:r w:rsidR="00590D90">
          <w:rPr>
            <w:noProof/>
            <w:webHidden/>
          </w:rPr>
          <w:fldChar w:fldCharType="end"/>
        </w:r>
      </w:hyperlink>
    </w:p>
    <w:p w14:paraId="28D616D3" w14:textId="2AB54F87" w:rsidR="00590D90" w:rsidRDefault="00272F76">
      <w:pPr>
        <w:pStyle w:val="TOC2"/>
        <w:rPr>
          <w:rFonts w:asciiTheme="minorHAnsi" w:eastAsiaTheme="minorEastAsia" w:hAnsiTheme="minorHAnsi" w:cstheme="minorBidi"/>
          <w:sz w:val="22"/>
          <w:szCs w:val="22"/>
        </w:rPr>
      </w:pPr>
      <w:hyperlink w:anchor="_Toc485126572" w:history="1">
        <w:r w:rsidR="00590D90" w:rsidRPr="009B7687">
          <w:rPr>
            <w:rStyle w:val="Hyperlink"/>
          </w:rPr>
          <w:t>4.1 Statewide Potential</w:t>
        </w:r>
        <w:r w:rsidR="00590D90">
          <w:rPr>
            <w:webHidden/>
          </w:rPr>
          <w:tab/>
        </w:r>
        <w:r w:rsidR="00590D90">
          <w:rPr>
            <w:webHidden/>
          </w:rPr>
          <w:fldChar w:fldCharType="begin"/>
        </w:r>
        <w:r w:rsidR="00590D90">
          <w:rPr>
            <w:webHidden/>
          </w:rPr>
          <w:instrText xml:space="preserve"> PAGEREF _Toc485126572 \h </w:instrText>
        </w:r>
        <w:r w:rsidR="00590D90">
          <w:rPr>
            <w:webHidden/>
          </w:rPr>
        </w:r>
        <w:r w:rsidR="00590D90">
          <w:rPr>
            <w:webHidden/>
          </w:rPr>
          <w:fldChar w:fldCharType="separate"/>
        </w:r>
        <w:r w:rsidR="00590D90">
          <w:rPr>
            <w:webHidden/>
          </w:rPr>
          <w:t>78</w:t>
        </w:r>
        <w:r w:rsidR="00590D90">
          <w:rPr>
            <w:webHidden/>
          </w:rPr>
          <w:fldChar w:fldCharType="end"/>
        </w:r>
      </w:hyperlink>
    </w:p>
    <w:p w14:paraId="38365453" w14:textId="27E693DA" w:rsidR="00590D90" w:rsidRDefault="00272F76">
      <w:pPr>
        <w:pStyle w:val="TOC3"/>
        <w:rPr>
          <w:rFonts w:asciiTheme="minorHAnsi" w:eastAsiaTheme="minorEastAsia" w:hAnsiTheme="minorHAnsi" w:cstheme="minorBidi"/>
          <w:sz w:val="22"/>
          <w:szCs w:val="22"/>
        </w:rPr>
      </w:pPr>
      <w:hyperlink w:anchor="_Toc485126573" w:history="1">
        <w:r w:rsidR="00590D90" w:rsidRPr="009B7687">
          <w:rPr>
            <w:rStyle w:val="Hyperlink"/>
          </w:rPr>
          <w:t>4.1.1 Scenario Comparisons</w:t>
        </w:r>
        <w:r w:rsidR="00590D90">
          <w:rPr>
            <w:webHidden/>
          </w:rPr>
          <w:tab/>
        </w:r>
        <w:r w:rsidR="00590D90">
          <w:rPr>
            <w:webHidden/>
          </w:rPr>
          <w:fldChar w:fldCharType="begin"/>
        </w:r>
        <w:r w:rsidR="00590D90">
          <w:rPr>
            <w:webHidden/>
          </w:rPr>
          <w:instrText xml:space="preserve"> PAGEREF _Toc485126573 \h </w:instrText>
        </w:r>
        <w:r w:rsidR="00590D90">
          <w:rPr>
            <w:webHidden/>
          </w:rPr>
        </w:r>
        <w:r w:rsidR="00590D90">
          <w:rPr>
            <w:webHidden/>
          </w:rPr>
          <w:fldChar w:fldCharType="separate"/>
        </w:r>
        <w:r w:rsidR="00590D90">
          <w:rPr>
            <w:webHidden/>
          </w:rPr>
          <w:t>78</w:t>
        </w:r>
        <w:r w:rsidR="00590D90">
          <w:rPr>
            <w:webHidden/>
          </w:rPr>
          <w:fldChar w:fldCharType="end"/>
        </w:r>
      </w:hyperlink>
    </w:p>
    <w:p w14:paraId="174DCC6C" w14:textId="1647985C" w:rsidR="00590D90" w:rsidRDefault="00272F76">
      <w:pPr>
        <w:pStyle w:val="TOC3"/>
        <w:rPr>
          <w:rFonts w:asciiTheme="minorHAnsi" w:eastAsiaTheme="minorEastAsia" w:hAnsiTheme="minorHAnsi" w:cstheme="minorBidi"/>
          <w:sz w:val="22"/>
          <w:szCs w:val="22"/>
        </w:rPr>
      </w:pPr>
      <w:hyperlink w:anchor="_Toc485126574" w:history="1">
        <w:r w:rsidR="00590D90" w:rsidRPr="009B7687">
          <w:rPr>
            <w:rStyle w:val="Hyperlink"/>
          </w:rPr>
          <w:t>4.1.2 TRC Reference Scenario Details</w:t>
        </w:r>
        <w:r w:rsidR="00590D90">
          <w:rPr>
            <w:webHidden/>
          </w:rPr>
          <w:tab/>
        </w:r>
        <w:r w:rsidR="00590D90">
          <w:rPr>
            <w:webHidden/>
          </w:rPr>
          <w:fldChar w:fldCharType="begin"/>
        </w:r>
        <w:r w:rsidR="00590D90">
          <w:rPr>
            <w:webHidden/>
          </w:rPr>
          <w:instrText xml:space="preserve"> PAGEREF _Toc485126574 \h </w:instrText>
        </w:r>
        <w:r w:rsidR="00590D90">
          <w:rPr>
            <w:webHidden/>
          </w:rPr>
        </w:r>
        <w:r w:rsidR="00590D90">
          <w:rPr>
            <w:webHidden/>
          </w:rPr>
          <w:fldChar w:fldCharType="separate"/>
        </w:r>
        <w:r w:rsidR="00590D90">
          <w:rPr>
            <w:webHidden/>
          </w:rPr>
          <w:t>88</w:t>
        </w:r>
        <w:r w:rsidR="00590D90">
          <w:rPr>
            <w:webHidden/>
          </w:rPr>
          <w:fldChar w:fldCharType="end"/>
        </w:r>
      </w:hyperlink>
    </w:p>
    <w:p w14:paraId="1EA7FDAA" w14:textId="5998FB20" w:rsidR="00590D90" w:rsidRDefault="00272F76">
      <w:pPr>
        <w:pStyle w:val="TOC3"/>
        <w:rPr>
          <w:rFonts w:asciiTheme="minorHAnsi" w:eastAsiaTheme="minorEastAsia" w:hAnsiTheme="minorHAnsi" w:cstheme="minorBidi"/>
          <w:sz w:val="22"/>
          <w:szCs w:val="22"/>
        </w:rPr>
      </w:pPr>
      <w:hyperlink w:anchor="_Toc485126575" w:history="1">
        <w:r w:rsidR="00590D90" w:rsidRPr="009B7687">
          <w:rPr>
            <w:rStyle w:val="Hyperlink"/>
          </w:rPr>
          <w:t>4.1.3 C&amp;S Savings</w:t>
        </w:r>
        <w:r w:rsidR="00590D90">
          <w:rPr>
            <w:webHidden/>
          </w:rPr>
          <w:tab/>
        </w:r>
        <w:r w:rsidR="00590D90">
          <w:rPr>
            <w:webHidden/>
          </w:rPr>
          <w:fldChar w:fldCharType="begin"/>
        </w:r>
        <w:r w:rsidR="00590D90">
          <w:rPr>
            <w:webHidden/>
          </w:rPr>
          <w:instrText xml:space="preserve"> PAGEREF _Toc485126575 \h </w:instrText>
        </w:r>
        <w:r w:rsidR="00590D90">
          <w:rPr>
            <w:webHidden/>
          </w:rPr>
        </w:r>
        <w:r w:rsidR="00590D90">
          <w:rPr>
            <w:webHidden/>
          </w:rPr>
          <w:fldChar w:fldCharType="separate"/>
        </w:r>
        <w:r w:rsidR="00590D90">
          <w:rPr>
            <w:webHidden/>
          </w:rPr>
          <w:t>102</w:t>
        </w:r>
        <w:r w:rsidR="00590D90">
          <w:rPr>
            <w:webHidden/>
          </w:rPr>
          <w:fldChar w:fldCharType="end"/>
        </w:r>
      </w:hyperlink>
    </w:p>
    <w:p w14:paraId="2DBB1F9A" w14:textId="1D90238D" w:rsidR="00590D90" w:rsidRDefault="00272F76">
      <w:pPr>
        <w:pStyle w:val="TOC2"/>
        <w:rPr>
          <w:rFonts w:asciiTheme="minorHAnsi" w:eastAsiaTheme="minorEastAsia" w:hAnsiTheme="minorHAnsi" w:cstheme="minorBidi"/>
          <w:sz w:val="22"/>
          <w:szCs w:val="22"/>
        </w:rPr>
      </w:pPr>
      <w:hyperlink w:anchor="_Toc485126576" w:history="1">
        <w:r w:rsidR="00590D90" w:rsidRPr="009B7687">
          <w:rPr>
            <w:rStyle w:val="Hyperlink"/>
          </w:rPr>
          <w:t>4.2 Detailed Study Results</w:t>
        </w:r>
        <w:r w:rsidR="00590D90">
          <w:rPr>
            <w:webHidden/>
          </w:rPr>
          <w:tab/>
        </w:r>
        <w:r w:rsidR="00590D90">
          <w:rPr>
            <w:webHidden/>
          </w:rPr>
          <w:fldChar w:fldCharType="begin"/>
        </w:r>
        <w:r w:rsidR="00590D90">
          <w:rPr>
            <w:webHidden/>
          </w:rPr>
          <w:instrText xml:space="preserve"> PAGEREF _Toc485126576 \h </w:instrText>
        </w:r>
        <w:r w:rsidR="00590D90">
          <w:rPr>
            <w:webHidden/>
          </w:rPr>
        </w:r>
        <w:r w:rsidR="00590D90">
          <w:rPr>
            <w:webHidden/>
          </w:rPr>
          <w:fldChar w:fldCharType="separate"/>
        </w:r>
        <w:r w:rsidR="00590D90">
          <w:rPr>
            <w:webHidden/>
          </w:rPr>
          <w:t>104</w:t>
        </w:r>
        <w:r w:rsidR="00590D90">
          <w:rPr>
            <w:webHidden/>
          </w:rPr>
          <w:fldChar w:fldCharType="end"/>
        </w:r>
      </w:hyperlink>
    </w:p>
    <w:p w14:paraId="7EB81D4D" w14:textId="3F206128" w:rsidR="00590D90" w:rsidRDefault="00272F76">
      <w:pPr>
        <w:pStyle w:val="TOC1"/>
        <w:rPr>
          <w:rFonts w:asciiTheme="minorHAnsi" w:eastAsiaTheme="minorEastAsia" w:hAnsiTheme="minorHAnsi" w:cstheme="minorBidi"/>
          <w:b w:val="0"/>
          <w:noProof/>
          <w:sz w:val="22"/>
        </w:rPr>
      </w:pPr>
      <w:hyperlink w:anchor="_Toc485126577" w:history="1">
        <w:r w:rsidR="00590D90" w:rsidRPr="009B7687">
          <w:rPr>
            <w:rStyle w:val="Hyperlink"/>
            <w:noProof/>
          </w:rPr>
          <w:t>5. Comparision to 2015 Study</w:t>
        </w:r>
        <w:r w:rsidR="00590D90">
          <w:rPr>
            <w:noProof/>
            <w:webHidden/>
          </w:rPr>
          <w:tab/>
        </w:r>
        <w:r w:rsidR="00590D90">
          <w:rPr>
            <w:noProof/>
            <w:webHidden/>
          </w:rPr>
          <w:fldChar w:fldCharType="begin"/>
        </w:r>
        <w:r w:rsidR="00590D90">
          <w:rPr>
            <w:noProof/>
            <w:webHidden/>
          </w:rPr>
          <w:instrText xml:space="preserve"> PAGEREF _Toc485126577 \h </w:instrText>
        </w:r>
        <w:r w:rsidR="00590D90">
          <w:rPr>
            <w:noProof/>
            <w:webHidden/>
          </w:rPr>
        </w:r>
        <w:r w:rsidR="00590D90">
          <w:rPr>
            <w:noProof/>
            <w:webHidden/>
          </w:rPr>
          <w:fldChar w:fldCharType="separate"/>
        </w:r>
        <w:r w:rsidR="00590D90">
          <w:rPr>
            <w:noProof/>
            <w:webHidden/>
          </w:rPr>
          <w:t>108</w:t>
        </w:r>
        <w:r w:rsidR="00590D90">
          <w:rPr>
            <w:noProof/>
            <w:webHidden/>
          </w:rPr>
          <w:fldChar w:fldCharType="end"/>
        </w:r>
      </w:hyperlink>
    </w:p>
    <w:p w14:paraId="78490250" w14:textId="5DB367EF" w:rsidR="00590D90" w:rsidRDefault="00272F76">
      <w:pPr>
        <w:pStyle w:val="TOC1"/>
        <w:rPr>
          <w:rFonts w:asciiTheme="minorHAnsi" w:eastAsiaTheme="minorEastAsia" w:hAnsiTheme="minorHAnsi" w:cstheme="minorBidi"/>
          <w:b w:val="0"/>
          <w:noProof/>
          <w:sz w:val="22"/>
        </w:rPr>
      </w:pPr>
      <w:hyperlink w:anchor="_Toc485126578" w:history="1">
        <w:r w:rsidR="00590D90" w:rsidRPr="009B7687">
          <w:rPr>
            <w:rStyle w:val="Hyperlink"/>
            <w:noProof/>
          </w:rPr>
          <w:t>Appendix A. Calibration</w:t>
        </w:r>
        <w:r w:rsidR="00590D90">
          <w:rPr>
            <w:noProof/>
            <w:webHidden/>
          </w:rPr>
          <w:tab/>
        </w:r>
        <w:r w:rsidR="00590D90">
          <w:rPr>
            <w:noProof/>
            <w:webHidden/>
          </w:rPr>
          <w:fldChar w:fldCharType="begin"/>
        </w:r>
        <w:r w:rsidR="00590D90">
          <w:rPr>
            <w:noProof/>
            <w:webHidden/>
          </w:rPr>
          <w:instrText xml:space="preserve"> PAGEREF _Toc485126578 \h </w:instrText>
        </w:r>
        <w:r w:rsidR="00590D90">
          <w:rPr>
            <w:noProof/>
            <w:webHidden/>
          </w:rPr>
        </w:r>
        <w:r w:rsidR="00590D90">
          <w:rPr>
            <w:noProof/>
            <w:webHidden/>
          </w:rPr>
          <w:fldChar w:fldCharType="separate"/>
        </w:r>
        <w:r w:rsidR="00590D90">
          <w:rPr>
            <w:noProof/>
            <w:webHidden/>
          </w:rPr>
          <w:t>A-1</w:t>
        </w:r>
        <w:r w:rsidR="00590D90">
          <w:rPr>
            <w:noProof/>
            <w:webHidden/>
          </w:rPr>
          <w:fldChar w:fldCharType="end"/>
        </w:r>
      </w:hyperlink>
    </w:p>
    <w:p w14:paraId="23EAB445" w14:textId="5401AA85" w:rsidR="00590D90" w:rsidRDefault="00272F76">
      <w:pPr>
        <w:pStyle w:val="TOC2"/>
        <w:rPr>
          <w:rFonts w:asciiTheme="minorHAnsi" w:eastAsiaTheme="minorEastAsia" w:hAnsiTheme="minorHAnsi" w:cstheme="minorBidi"/>
          <w:sz w:val="22"/>
          <w:szCs w:val="22"/>
        </w:rPr>
      </w:pPr>
      <w:hyperlink w:anchor="_Toc485126579" w:history="1">
        <w:r w:rsidR="00590D90" w:rsidRPr="009B7687">
          <w:rPr>
            <w:rStyle w:val="Hyperlink"/>
          </w:rPr>
          <w:t>A.1 Overview</w:t>
        </w:r>
        <w:r w:rsidR="00590D90">
          <w:rPr>
            <w:webHidden/>
          </w:rPr>
          <w:tab/>
        </w:r>
        <w:r w:rsidR="00590D90">
          <w:rPr>
            <w:webHidden/>
          </w:rPr>
          <w:fldChar w:fldCharType="begin"/>
        </w:r>
        <w:r w:rsidR="00590D90">
          <w:rPr>
            <w:webHidden/>
          </w:rPr>
          <w:instrText xml:space="preserve"> PAGEREF _Toc485126579 \h </w:instrText>
        </w:r>
        <w:r w:rsidR="00590D90">
          <w:rPr>
            <w:webHidden/>
          </w:rPr>
        </w:r>
        <w:r w:rsidR="00590D90">
          <w:rPr>
            <w:webHidden/>
          </w:rPr>
          <w:fldChar w:fldCharType="separate"/>
        </w:r>
        <w:r w:rsidR="00590D90">
          <w:rPr>
            <w:webHidden/>
          </w:rPr>
          <w:t>A-1</w:t>
        </w:r>
        <w:r w:rsidR="00590D90">
          <w:rPr>
            <w:webHidden/>
          </w:rPr>
          <w:fldChar w:fldCharType="end"/>
        </w:r>
      </w:hyperlink>
    </w:p>
    <w:p w14:paraId="7E12829F" w14:textId="17DDBCB0" w:rsidR="00590D90" w:rsidRDefault="00272F76">
      <w:pPr>
        <w:pStyle w:val="TOC2"/>
        <w:rPr>
          <w:rFonts w:asciiTheme="minorHAnsi" w:eastAsiaTheme="minorEastAsia" w:hAnsiTheme="minorHAnsi" w:cstheme="minorBidi"/>
          <w:sz w:val="22"/>
          <w:szCs w:val="22"/>
        </w:rPr>
      </w:pPr>
      <w:hyperlink w:anchor="_Toc485126580" w:history="1">
        <w:r w:rsidR="00590D90" w:rsidRPr="009B7687">
          <w:rPr>
            <w:rStyle w:val="Hyperlink"/>
          </w:rPr>
          <w:t>A.2 Necessity of Calibration</w:t>
        </w:r>
        <w:r w:rsidR="00590D90">
          <w:rPr>
            <w:webHidden/>
          </w:rPr>
          <w:tab/>
        </w:r>
        <w:r w:rsidR="00590D90">
          <w:rPr>
            <w:webHidden/>
          </w:rPr>
          <w:fldChar w:fldCharType="begin"/>
        </w:r>
        <w:r w:rsidR="00590D90">
          <w:rPr>
            <w:webHidden/>
          </w:rPr>
          <w:instrText xml:space="preserve"> PAGEREF _Toc485126580 \h </w:instrText>
        </w:r>
        <w:r w:rsidR="00590D90">
          <w:rPr>
            <w:webHidden/>
          </w:rPr>
        </w:r>
        <w:r w:rsidR="00590D90">
          <w:rPr>
            <w:webHidden/>
          </w:rPr>
          <w:fldChar w:fldCharType="separate"/>
        </w:r>
        <w:r w:rsidR="00590D90">
          <w:rPr>
            <w:webHidden/>
          </w:rPr>
          <w:t>A-1</w:t>
        </w:r>
        <w:r w:rsidR="00590D90">
          <w:rPr>
            <w:webHidden/>
          </w:rPr>
          <w:fldChar w:fldCharType="end"/>
        </w:r>
      </w:hyperlink>
    </w:p>
    <w:p w14:paraId="2729F983" w14:textId="5E773C39" w:rsidR="00590D90" w:rsidRDefault="00272F76">
      <w:pPr>
        <w:pStyle w:val="TOC2"/>
        <w:rPr>
          <w:rFonts w:asciiTheme="minorHAnsi" w:eastAsiaTheme="minorEastAsia" w:hAnsiTheme="minorHAnsi" w:cstheme="minorBidi"/>
          <w:sz w:val="22"/>
          <w:szCs w:val="22"/>
        </w:rPr>
      </w:pPr>
      <w:hyperlink w:anchor="_Toc485126581" w:history="1">
        <w:r w:rsidR="00590D90" w:rsidRPr="009B7687">
          <w:rPr>
            <w:rStyle w:val="Hyperlink"/>
          </w:rPr>
          <w:t>A.3 Interpreting Calibration</w:t>
        </w:r>
        <w:r w:rsidR="00590D90">
          <w:rPr>
            <w:webHidden/>
          </w:rPr>
          <w:tab/>
        </w:r>
        <w:r w:rsidR="00590D90">
          <w:rPr>
            <w:webHidden/>
          </w:rPr>
          <w:fldChar w:fldCharType="begin"/>
        </w:r>
        <w:r w:rsidR="00590D90">
          <w:rPr>
            <w:webHidden/>
          </w:rPr>
          <w:instrText xml:space="preserve"> PAGEREF _Toc485126581 \h </w:instrText>
        </w:r>
        <w:r w:rsidR="00590D90">
          <w:rPr>
            <w:webHidden/>
          </w:rPr>
        </w:r>
        <w:r w:rsidR="00590D90">
          <w:rPr>
            <w:webHidden/>
          </w:rPr>
          <w:fldChar w:fldCharType="separate"/>
        </w:r>
        <w:r w:rsidR="00590D90">
          <w:rPr>
            <w:webHidden/>
          </w:rPr>
          <w:t>A-3</w:t>
        </w:r>
        <w:r w:rsidR="00590D90">
          <w:rPr>
            <w:webHidden/>
          </w:rPr>
          <w:fldChar w:fldCharType="end"/>
        </w:r>
      </w:hyperlink>
    </w:p>
    <w:p w14:paraId="1055D1DD" w14:textId="16262E0D" w:rsidR="00590D90" w:rsidRDefault="00272F76">
      <w:pPr>
        <w:pStyle w:val="TOC2"/>
        <w:rPr>
          <w:rFonts w:asciiTheme="minorHAnsi" w:eastAsiaTheme="minorEastAsia" w:hAnsiTheme="minorHAnsi" w:cstheme="minorBidi"/>
          <w:sz w:val="22"/>
          <w:szCs w:val="22"/>
        </w:rPr>
      </w:pPr>
      <w:hyperlink w:anchor="_Toc485126582" w:history="1">
        <w:r w:rsidR="00590D90" w:rsidRPr="009B7687">
          <w:rPr>
            <w:rStyle w:val="Hyperlink"/>
          </w:rPr>
          <w:t>A.4 Implementing Calibration</w:t>
        </w:r>
        <w:r w:rsidR="00590D90">
          <w:rPr>
            <w:webHidden/>
          </w:rPr>
          <w:tab/>
        </w:r>
        <w:r w:rsidR="00590D90">
          <w:rPr>
            <w:webHidden/>
          </w:rPr>
          <w:fldChar w:fldCharType="begin"/>
        </w:r>
        <w:r w:rsidR="00590D90">
          <w:rPr>
            <w:webHidden/>
          </w:rPr>
          <w:instrText xml:space="preserve"> PAGEREF _Toc485126582 \h </w:instrText>
        </w:r>
        <w:r w:rsidR="00590D90">
          <w:rPr>
            <w:webHidden/>
          </w:rPr>
        </w:r>
        <w:r w:rsidR="00590D90">
          <w:rPr>
            <w:webHidden/>
          </w:rPr>
          <w:fldChar w:fldCharType="separate"/>
        </w:r>
        <w:r w:rsidR="00590D90">
          <w:rPr>
            <w:webHidden/>
          </w:rPr>
          <w:t>A-4</w:t>
        </w:r>
        <w:r w:rsidR="00590D90">
          <w:rPr>
            <w:webHidden/>
          </w:rPr>
          <w:fldChar w:fldCharType="end"/>
        </w:r>
      </w:hyperlink>
    </w:p>
    <w:p w14:paraId="4760B266" w14:textId="5361960A" w:rsidR="00590D90" w:rsidRDefault="00272F76">
      <w:pPr>
        <w:pStyle w:val="TOC1"/>
        <w:rPr>
          <w:rFonts w:asciiTheme="minorHAnsi" w:eastAsiaTheme="minorEastAsia" w:hAnsiTheme="minorHAnsi" w:cstheme="minorBidi"/>
          <w:b w:val="0"/>
          <w:noProof/>
          <w:sz w:val="22"/>
        </w:rPr>
      </w:pPr>
      <w:hyperlink w:anchor="_Toc485126583" w:history="1">
        <w:r w:rsidR="00590D90" w:rsidRPr="009B7687">
          <w:rPr>
            <w:rStyle w:val="Hyperlink"/>
            <w:noProof/>
          </w:rPr>
          <w:t>Appendix B. BROS</w:t>
        </w:r>
        <w:r w:rsidR="00590D90">
          <w:rPr>
            <w:noProof/>
            <w:webHidden/>
          </w:rPr>
          <w:tab/>
        </w:r>
        <w:r w:rsidR="00590D90">
          <w:rPr>
            <w:noProof/>
            <w:webHidden/>
          </w:rPr>
          <w:fldChar w:fldCharType="begin"/>
        </w:r>
        <w:r w:rsidR="00590D90">
          <w:rPr>
            <w:noProof/>
            <w:webHidden/>
          </w:rPr>
          <w:instrText xml:space="preserve"> PAGEREF _Toc485126583 \h </w:instrText>
        </w:r>
        <w:r w:rsidR="00590D90">
          <w:rPr>
            <w:noProof/>
            <w:webHidden/>
          </w:rPr>
        </w:r>
        <w:r w:rsidR="00590D90">
          <w:rPr>
            <w:noProof/>
            <w:webHidden/>
          </w:rPr>
          <w:fldChar w:fldCharType="separate"/>
        </w:r>
        <w:r w:rsidR="00590D90">
          <w:rPr>
            <w:noProof/>
            <w:webHidden/>
          </w:rPr>
          <w:t>B-1</w:t>
        </w:r>
        <w:r w:rsidR="00590D90">
          <w:rPr>
            <w:noProof/>
            <w:webHidden/>
          </w:rPr>
          <w:fldChar w:fldCharType="end"/>
        </w:r>
      </w:hyperlink>
    </w:p>
    <w:p w14:paraId="63A8C5D9" w14:textId="424007B8" w:rsidR="00590D90" w:rsidRDefault="00272F76">
      <w:pPr>
        <w:pStyle w:val="TOC2"/>
        <w:rPr>
          <w:rFonts w:asciiTheme="minorHAnsi" w:eastAsiaTheme="minorEastAsia" w:hAnsiTheme="minorHAnsi" w:cstheme="minorBidi"/>
          <w:sz w:val="22"/>
          <w:szCs w:val="22"/>
        </w:rPr>
      </w:pPr>
      <w:hyperlink w:anchor="_Toc485126584" w:history="1">
        <w:r w:rsidR="00590D90" w:rsidRPr="009B7687">
          <w:rPr>
            <w:rStyle w:val="Hyperlink"/>
          </w:rPr>
          <w:t>B.1 Residential - Home Energy Reports</w:t>
        </w:r>
        <w:r w:rsidR="00590D90">
          <w:rPr>
            <w:webHidden/>
          </w:rPr>
          <w:tab/>
        </w:r>
        <w:r w:rsidR="00590D90">
          <w:rPr>
            <w:webHidden/>
          </w:rPr>
          <w:fldChar w:fldCharType="begin"/>
        </w:r>
        <w:r w:rsidR="00590D90">
          <w:rPr>
            <w:webHidden/>
          </w:rPr>
          <w:instrText xml:space="preserve"> PAGEREF _Toc485126584 \h </w:instrText>
        </w:r>
        <w:r w:rsidR="00590D90">
          <w:rPr>
            <w:webHidden/>
          </w:rPr>
        </w:r>
        <w:r w:rsidR="00590D90">
          <w:rPr>
            <w:webHidden/>
          </w:rPr>
          <w:fldChar w:fldCharType="separate"/>
        </w:r>
        <w:r w:rsidR="00590D90">
          <w:rPr>
            <w:webHidden/>
          </w:rPr>
          <w:t>B-1</w:t>
        </w:r>
        <w:r w:rsidR="00590D90">
          <w:rPr>
            <w:webHidden/>
          </w:rPr>
          <w:fldChar w:fldCharType="end"/>
        </w:r>
      </w:hyperlink>
    </w:p>
    <w:p w14:paraId="5CBB0B05" w14:textId="093B4699" w:rsidR="00590D90" w:rsidRDefault="00272F76">
      <w:pPr>
        <w:pStyle w:val="TOC2"/>
        <w:rPr>
          <w:rFonts w:asciiTheme="minorHAnsi" w:eastAsiaTheme="minorEastAsia" w:hAnsiTheme="minorHAnsi" w:cstheme="minorBidi"/>
          <w:sz w:val="22"/>
          <w:szCs w:val="22"/>
        </w:rPr>
      </w:pPr>
      <w:hyperlink w:anchor="_Toc485126585" w:history="1">
        <w:r w:rsidR="00590D90" w:rsidRPr="009B7687">
          <w:rPr>
            <w:rStyle w:val="Hyperlink"/>
          </w:rPr>
          <w:t>B.2 Residential - Real-Time Feedback: In Home Displays and Online Portals</w:t>
        </w:r>
        <w:r w:rsidR="00590D90">
          <w:rPr>
            <w:webHidden/>
          </w:rPr>
          <w:tab/>
        </w:r>
        <w:r w:rsidR="00590D90">
          <w:rPr>
            <w:webHidden/>
          </w:rPr>
          <w:fldChar w:fldCharType="begin"/>
        </w:r>
        <w:r w:rsidR="00590D90">
          <w:rPr>
            <w:webHidden/>
          </w:rPr>
          <w:instrText xml:space="preserve"> PAGEREF _Toc485126585 \h </w:instrText>
        </w:r>
        <w:r w:rsidR="00590D90">
          <w:rPr>
            <w:webHidden/>
          </w:rPr>
        </w:r>
        <w:r w:rsidR="00590D90">
          <w:rPr>
            <w:webHidden/>
          </w:rPr>
          <w:fldChar w:fldCharType="separate"/>
        </w:r>
        <w:r w:rsidR="00590D90">
          <w:rPr>
            <w:webHidden/>
          </w:rPr>
          <w:t>B-3</w:t>
        </w:r>
        <w:r w:rsidR="00590D90">
          <w:rPr>
            <w:webHidden/>
          </w:rPr>
          <w:fldChar w:fldCharType="end"/>
        </w:r>
      </w:hyperlink>
    </w:p>
    <w:p w14:paraId="0EA29BF5" w14:textId="484E71DF" w:rsidR="00590D90" w:rsidRDefault="00272F76">
      <w:pPr>
        <w:pStyle w:val="TOC2"/>
        <w:rPr>
          <w:rFonts w:asciiTheme="minorHAnsi" w:eastAsiaTheme="minorEastAsia" w:hAnsiTheme="minorHAnsi" w:cstheme="minorBidi"/>
          <w:sz w:val="22"/>
          <w:szCs w:val="22"/>
        </w:rPr>
      </w:pPr>
      <w:hyperlink w:anchor="_Toc485126586" w:history="1">
        <w:r w:rsidR="00590D90" w:rsidRPr="009B7687">
          <w:rPr>
            <w:rStyle w:val="Hyperlink"/>
          </w:rPr>
          <w:t>B.3 Residential - Competitions: Large and Small</w:t>
        </w:r>
        <w:r w:rsidR="00590D90">
          <w:rPr>
            <w:webHidden/>
          </w:rPr>
          <w:tab/>
        </w:r>
        <w:r w:rsidR="00590D90">
          <w:rPr>
            <w:webHidden/>
          </w:rPr>
          <w:fldChar w:fldCharType="begin"/>
        </w:r>
        <w:r w:rsidR="00590D90">
          <w:rPr>
            <w:webHidden/>
          </w:rPr>
          <w:instrText xml:space="preserve"> PAGEREF _Toc485126586 \h </w:instrText>
        </w:r>
        <w:r w:rsidR="00590D90">
          <w:rPr>
            <w:webHidden/>
          </w:rPr>
        </w:r>
        <w:r w:rsidR="00590D90">
          <w:rPr>
            <w:webHidden/>
          </w:rPr>
          <w:fldChar w:fldCharType="separate"/>
        </w:r>
        <w:r w:rsidR="00590D90">
          <w:rPr>
            <w:webHidden/>
          </w:rPr>
          <w:t>B-6</w:t>
        </w:r>
        <w:r w:rsidR="00590D90">
          <w:rPr>
            <w:webHidden/>
          </w:rPr>
          <w:fldChar w:fldCharType="end"/>
        </w:r>
      </w:hyperlink>
    </w:p>
    <w:p w14:paraId="0F45B104" w14:textId="14C3C37C" w:rsidR="00590D90" w:rsidRDefault="00272F76">
      <w:pPr>
        <w:pStyle w:val="TOC2"/>
        <w:rPr>
          <w:rFonts w:asciiTheme="minorHAnsi" w:eastAsiaTheme="minorEastAsia" w:hAnsiTheme="minorHAnsi" w:cstheme="minorBidi"/>
          <w:sz w:val="22"/>
          <w:szCs w:val="22"/>
        </w:rPr>
      </w:pPr>
      <w:hyperlink w:anchor="_Toc485126587" w:history="1">
        <w:r w:rsidR="00590D90" w:rsidRPr="009B7687">
          <w:rPr>
            <w:rStyle w:val="Hyperlink"/>
          </w:rPr>
          <w:t>B.4 Commercial - Strategic Energy Management</w:t>
        </w:r>
        <w:r w:rsidR="00590D90">
          <w:rPr>
            <w:webHidden/>
          </w:rPr>
          <w:tab/>
        </w:r>
        <w:r w:rsidR="00590D90">
          <w:rPr>
            <w:webHidden/>
          </w:rPr>
          <w:fldChar w:fldCharType="begin"/>
        </w:r>
        <w:r w:rsidR="00590D90">
          <w:rPr>
            <w:webHidden/>
          </w:rPr>
          <w:instrText xml:space="preserve"> PAGEREF _Toc485126587 \h </w:instrText>
        </w:r>
        <w:r w:rsidR="00590D90">
          <w:rPr>
            <w:webHidden/>
          </w:rPr>
        </w:r>
        <w:r w:rsidR="00590D90">
          <w:rPr>
            <w:webHidden/>
          </w:rPr>
          <w:fldChar w:fldCharType="separate"/>
        </w:r>
        <w:r w:rsidR="00590D90">
          <w:rPr>
            <w:webHidden/>
          </w:rPr>
          <w:t>B-9</w:t>
        </w:r>
        <w:r w:rsidR="00590D90">
          <w:rPr>
            <w:webHidden/>
          </w:rPr>
          <w:fldChar w:fldCharType="end"/>
        </w:r>
      </w:hyperlink>
    </w:p>
    <w:p w14:paraId="7FA4A3F7" w14:textId="405E4B56" w:rsidR="00590D90" w:rsidRDefault="00272F76">
      <w:pPr>
        <w:pStyle w:val="TOC2"/>
        <w:rPr>
          <w:rFonts w:asciiTheme="minorHAnsi" w:eastAsiaTheme="minorEastAsia" w:hAnsiTheme="minorHAnsi" w:cstheme="minorBidi"/>
          <w:sz w:val="22"/>
          <w:szCs w:val="22"/>
        </w:rPr>
      </w:pPr>
      <w:hyperlink w:anchor="_Toc485126588" w:history="1">
        <w:r w:rsidR="00590D90" w:rsidRPr="009B7687">
          <w:rPr>
            <w:rStyle w:val="Hyperlink"/>
          </w:rPr>
          <w:t>B.5 Commercial - Building Operator Certification</w:t>
        </w:r>
        <w:r w:rsidR="00590D90">
          <w:rPr>
            <w:webHidden/>
          </w:rPr>
          <w:tab/>
        </w:r>
        <w:r w:rsidR="00590D90">
          <w:rPr>
            <w:webHidden/>
          </w:rPr>
          <w:fldChar w:fldCharType="begin"/>
        </w:r>
        <w:r w:rsidR="00590D90">
          <w:rPr>
            <w:webHidden/>
          </w:rPr>
          <w:instrText xml:space="preserve"> PAGEREF _Toc485126588 \h </w:instrText>
        </w:r>
        <w:r w:rsidR="00590D90">
          <w:rPr>
            <w:webHidden/>
          </w:rPr>
        </w:r>
        <w:r w:rsidR="00590D90">
          <w:rPr>
            <w:webHidden/>
          </w:rPr>
          <w:fldChar w:fldCharType="separate"/>
        </w:r>
        <w:r w:rsidR="00590D90">
          <w:rPr>
            <w:webHidden/>
          </w:rPr>
          <w:t>B-11</w:t>
        </w:r>
        <w:r w:rsidR="00590D90">
          <w:rPr>
            <w:webHidden/>
          </w:rPr>
          <w:fldChar w:fldCharType="end"/>
        </w:r>
      </w:hyperlink>
    </w:p>
    <w:p w14:paraId="6A333FCD" w14:textId="3B3E4D72" w:rsidR="00590D90" w:rsidRDefault="00272F76">
      <w:pPr>
        <w:pStyle w:val="TOC2"/>
        <w:rPr>
          <w:rFonts w:asciiTheme="minorHAnsi" w:eastAsiaTheme="minorEastAsia" w:hAnsiTheme="minorHAnsi" w:cstheme="minorBidi"/>
          <w:sz w:val="22"/>
          <w:szCs w:val="22"/>
        </w:rPr>
      </w:pPr>
      <w:hyperlink w:anchor="_Toc485126589" w:history="1">
        <w:r w:rsidR="00590D90" w:rsidRPr="009B7687">
          <w:rPr>
            <w:rStyle w:val="Hyperlink"/>
          </w:rPr>
          <w:t>B.6 Commercial - Building Energy and Information Management Systems</w:t>
        </w:r>
        <w:r w:rsidR="00590D90">
          <w:rPr>
            <w:webHidden/>
          </w:rPr>
          <w:tab/>
        </w:r>
        <w:r w:rsidR="00590D90">
          <w:rPr>
            <w:webHidden/>
          </w:rPr>
          <w:fldChar w:fldCharType="begin"/>
        </w:r>
        <w:r w:rsidR="00590D90">
          <w:rPr>
            <w:webHidden/>
          </w:rPr>
          <w:instrText xml:space="preserve"> PAGEREF _Toc485126589 \h </w:instrText>
        </w:r>
        <w:r w:rsidR="00590D90">
          <w:rPr>
            <w:webHidden/>
          </w:rPr>
        </w:r>
        <w:r w:rsidR="00590D90">
          <w:rPr>
            <w:webHidden/>
          </w:rPr>
          <w:fldChar w:fldCharType="separate"/>
        </w:r>
        <w:r w:rsidR="00590D90">
          <w:rPr>
            <w:webHidden/>
          </w:rPr>
          <w:t>B-13</w:t>
        </w:r>
        <w:r w:rsidR="00590D90">
          <w:rPr>
            <w:webHidden/>
          </w:rPr>
          <w:fldChar w:fldCharType="end"/>
        </w:r>
      </w:hyperlink>
    </w:p>
    <w:p w14:paraId="4B238C17" w14:textId="03B48431" w:rsidR="00590D90" w:rsidRDefault="00272F76">
      <w:pPr>
        <w:pStyle w:val="TOC2"/>
        <w:rPr>
          <w:rFonts w:asciiTheme="minorHAnsi" w:eastAsiaTheme="minorEastAsia" w:hAnsiTheme="minorHAnsi" w:cstheme="minorBidi"/>
          <w:sz w:val="22"/>
          <w:szCs w:val="22"/>
        </w:rPr>
      </w:pPr>
      <w:hyperlink w:anchor="_Toc485126590" w:history="1">
        <w:r w:rsidR="00590D90" w:rsidRPr="009B7687">
          <w:rPr>
            <w:rStyle w:val="Hyperlink"/>
          </w:rPr>
          <w:t>B.7 Commercial - Business Energy Reports</w:t>
        </w:r>
        <w:r w:rsidR="00590D90">
          <w:rPr>
            <w:webHidden/>
          </w:rPr>
          <w:tab/>
        </w:r>
        <w:r w:rsidR="00590D90">
          <w:rPr>
            <w:webHidden/>
          </w:rPr>
          <w:fldChar w:fldCharType="begin"/>
        </w:r>
        <w:r w:rsidR="00590D90">
          <w:rPr>
            <w:webHidden/>
          </w:rPr>
          <w:instrText xml:space="preserve"> PAGEREF _Toc485126590 \h </w:instrText>
        </w:r>
        <w:r w:rsidR="00590D90">
          <w:rPr>
            <w:webHidden/>
          </w:rPr>
        </w:r>
        <w:r w:rsidR="00590D90">
          <w:rPr>
            <w:webHidden/>
          </w:rPr>
          <w:fldChar w:fldCharType="separate"/>
        </w:r>
        <w:r w:rsidR="00590D90">
          <w:rPr>
            <w:webHidden/>
          </w:rPr>
          <w:t>B-14</w:t>
        </w:r>
        <w:r w:rsidR="00590D90">
          <w:rPr>
            <w:webHidden/>
          </w:rPr>
          <w:fldChar w:fldCharType="end"/>
        </w:r>
      </w:hyperlink>
    </w:p>
    <w:p w14:paraId="2DC2286C" w14:textId="4BD8A527" w:rsidR="00590D90" w:rsidRDefault="00272F76">
      <w:pPr>
        <w:pStyle w:val="TOC2"/>
        <w:rPr>
          <w:rFonts w:asciiTheme="minorHAnsi" w:eastAsiaTheme="minorEastAsia" w:hAnsiTheme="minorHAnsi" w:cstheme="minorBidi"/>
          <w:sz w:val="22"/>
          <w:szCs w:val="22"/>
        </w:rPr>
      </w:pPr>
      <w:hyperlink w:anchor="_Toc485126591" w:history="1">
        <w:r w:rsidR="00590D90" w:rsidRPr="009B7687">
          <w:rPr>
            <w:rStyle w:val="Hyperlink"/>
          </w:rPr>
          <w:t>B.8 Commercial - Benchmarking</w:t>
        </w:r>
        <w:r w:rsidR="00590D90">
          <w:rPr>
            <w:webHidden/>
          </w:rPr>
          <w:tab/>
        </w:r>
        <w:r w:rsidR="00590D90">
          <w:rPr>
            <w:webHidden/>
          </w:rPr>
          <w:fldChar w:fldCharType="begin"/>
        </w:r>
        <w:r w:rsidR="00590D90">
          <w:rPr>
            <w:webHidden/>
          </w:rPr>
          <w:instrText xml:space="preserve"> PAGEREF _Toc485126591 \h </w:instrText>
        </w:r>
        <w:r w:rsidR="00590D90">
          <w:rPr>
            <w:webHidden/>
          </w:rPr>
        </w:r>
        <w:r w:rsidR="00590D90">
          <w:rPr>
            <w:webHidden/>
          </w:rPr>
          <w:fldChar w:fldCharType="separate"/>
        </w:r>
        <w:r w:rsidR="00590D90">
          <w:rPr>
            <w:webHidden/>
          </w:rPr>
          <w:t>B-16</w:t>
        </w:r>
        <w:r w:rsidR="00590D90">
          <w:rPr>
            <w:webHidden/>
          </w:rPr>
          <w:fldChar w:fldCharType="end"/>
        </w:r>
      </w:hyperlink>
    </w:p>
    <w:p w14:paraId="0C957774" w14:textId="0F4F0C72" w:rsidR="00590D90" w:rsidRDefault="00272F76">
      <w:pPr>
        <w:pStyle w:val="TOC2"/>
        <w:rPr>
          <w:rFonts w:asciiTheme="minorHAnsi" w:eastAsiaTheme="minorEastAsia" w:hAnsiTheme="minorHAnsi" w:cstheme="minorBidi"/>
          <w:sz w:val="22"/>
          <w:szCs w:val="22"/>
        </w:rPr>
      </w:pPr>
      <w:hyperlink w:anchor="_Toc485126592" w:history="1">
        <w:r w:rsidR="00590D90" w:rsidRPr="009B7687">
          <w:rPr>
            <w:rStyle w:val="Hyperlink"/>
          </w:rPr>
          <w:t>B.9 Commercial - Competitions</w:t>
        </w:r>
        <w:r w:rsidR="00590D90">
          <w:rPr>
            <w:webHidden/>
          </w:rPr>
          <w:tab/>
        </w:r>
        <w:r w:rsidR="00590D90">
          <w:rPr>
            <w:webHidden/>
          </w:rPr>
          <w:fldChar w:fldCharType="begin"/>
        </w:r>
        <w:r w:rsidR="00590D90">
          <w:rPr>
            <w:webHidden/>
          </w:rPr>
          <w:instrText xml:space="preserve"> PAGEREF _Toc485126592 \h </w:instrText>
        </w:r>
        <w:r w:rsidR="00590D90">
          <w:rPr>
            <w:webHidden/>
          </w:rPr>
        </w:r>
        <w:r w:rsidR="00590D90">
          <w:rPr>
            <w:webHidden/>
          </w:rPr>
          <w:fldChar w:fldCharType="separate"/>
        </w:r>
        <w:r w:rsidR="00590D90">
          <w:rPr>
            <w:webHidden/>
          </w:rPr>
          <w:t>B-18</w:t>
        </w:r>
        <w:r w:rsidR="00590D90">
          <w:rPr>
            <w:webHidden/>
          </w:rPr>
          <w:fldChar w:fldCharType="end"/>
        </w:r>
      </w:hyperlink>
    </w:p>
    <w:p w14:paraId="5D1443CD" w14:textId="06B718E3" w:rsidR="00590D90" w:rsidRDefault="00272F76">
      <w:pPr>
        <w:pStyle w:val="TOC2"/>
        <w:rPr>
          <w:rFonts w:asciiTheme="minorHAnsi" w:eastAsiaTheme="minorEastAsia" w:hAnsiTheme="minorHAnsi" w:cstheme="minorBidi"/>
          <w:sz w:val="22"/>
          <w:szCs w:val="22"/>
        </w:rPr>
      </w:pPr>
      <w:hyperlink w:anchor="_Toc485126593" w:history="1">
        <w:r w:rsidR="00590D90" w:rsidRPr="009B7687">
          <w:rPr>
            <w:rStyle w:val="Hyperlink"/>
          </w:rPr>
          <w:t>B.10 Commercial - Retrocommissioning</w:t>
        </w:r>
        <w:r w:rsidR="00590D90">
          <w:rPr>
            <w:webHidden/>
          </w:rPr>
          <w:tab/>
        </w:r>
        <w:r w:rsidR="00590D90">
          <w:rPr>
            <w:webHidden/>
          </w:rPr>
          <w:fldChar w:fldCharType="begin"/>
        </w:r>
        <w:r w:rsidR="00590D90">
          <w:rPr>
            <w:webHidden/>
          </w:rPr>
          <w:instrText xml:space="preserve"> PAGEREF _Toc485126593 \h </w:instrText>
        </w:r>
        <w:r w:rsidR="00590D90">
          <w:rPr>
            <w:webHidden/>
          </w:rPr>
        </w:r>
        <w:r w:rsidR="00590D90">
          <w:rPr>
            <w:webHidden/>
          </w:rPr>
          <w:fldChar w:fldCharType="separate"/>
        </w:r>
        <w:r w:rsidR="00590D90">
          <w:rPr>
            <w:webHidden/>
          </w:rPr>
          <w:t>B-20</w:t>
        </w:r>
        <w:r w:rsidR="00590D90">
          <w:rPr>
            <w:webHidden/>
          </w:rPr>
          <w:fldChar w:fldCharType="end"/>
        </w:r>
      </w:hyperlink>
    </w:p>
    <w:p w14:paraId="6D7A052F" w14:textId="40CD6C23" w:rsidR="00590D90" w:rsidRDefault="00272F76">
      <w:pPr>
        <w:pStyle w:val="TOC2"/>
        <w:rPr>
          <w:rFonts w:asciiTheme="minorHAnsi" w:eastAsiaTheme="minorEastAsia" w:hAnsiTheme="minorHAnsi" w:cstheme="minorBidi"/>
          <w:sz w:val="22"/>
          <w:szCs w:val="22"/>
        </w:rPr>
      </w:pPr>
      <w:hyperlink w:anchor="_Toc485126594" w:history="1">
        <w:r w:rsidR="00590D90" w:rsidRPr="009B7687">
          <w:rPr>
            <w:rStyle w:val="Hyperlink"/>
          </w:rPr>
          <w:t>B.11 Industrial/Agriculture - Strategic Energy Management</w:t>
        </w:r>
        <w:r w:rsidR="00590D90">
          <w:rPr>
            <w:webHidden/>
          </w:rPr>
          <w:tab/>
        </w:r>
        <w:r w:rsidR="00590D90">
          <w:rPr>
            <w:webHidden/>
          </w:rPr>
          <w:fldChar w:fldCharType="begin"/>
        </w:r>
        <w:r w:rsidR="00590D90">
          <w:rPr>
            <w:webHidden/>
          </w:rPr>
          <w:instrText xml:space="preserve"> PAGEREF _Toc485126594 \h </w:instrText>
        </w:r>
        <w:r w:rsidR="00590D90">
          <w:rPr>
            <w:webHidden/>
          </w:rPr>
        </w:r>
        <w:r w:rsidR="00590D90">
          <w:rPr>
            <w:webHidden/>
          </w:rPr>
          <w:fldChar w:fldCharType="separate"/>
        </w:r>
        <w:r w:rsidR="00590D90">
          <w:rPr>
            <w:webHidden/>
          </w:rPr>
          <w:t>B-22</w:t>
        </w:r>
        <w:r w:rsidR="00590D90">
          <w:rPr>
            <w:webHidden/>
          </w:rPr>
          <w:fldChar w:fldCharType="end"/>
        </w:r>
      </w:hyperlink>
    </w:p>
    <w:p w14:paraId="7D25C39F" w14:textId="6F2A136B" w:rsidR="00590D90" w:rsidRDefault="00272F76">
      <w:pPr>
        <w:pStyle w:val="TOC2"/>
        <w:rPr>
          <w:rFonts w:asciiTheme="minorHAnsi" w:eastAsiaTheme="minorEastAsia" w:hAnsiTheme="minorHAnsi" w:cstheme="minorBidi"/>
          <w:sz w:val="22"/>
          <w:szCs w:val="22"/>
        </w:rPr>
      </w:pPr>
      <w:hyperlink w:anchor="_Toc485126595" w:history="1">
        <w:r w:rsidR="00590D90" w:rsidRPr="009B7687">
          <w:rPr>
            <w:rStyle w:val="Hyperlink"/>
          </w:rPr>
          <w:t>B.12 Other Data Sources and References</w:t>
        </w:r>
        <w:r w:rsidR="00590D90">
          <w:rPr>
            <w:webHidden/>
          </w:rPr>
          <w:tab/>
        </w:r>
        <w:r w:rsidR="00590D90">
          <w:rPr>
            <w:webHidden/>
          </w:rPr>
          <w:fldChar w:fldCharType="begin"/>
        </w:r>
        <w:r w:rsidR="00590D90">
          <w:rPr>
            <w:webHidden/>
          </w:rPr>
          <w:instrText xml:space="preserve"> PAGEREF _Toc485126595 \h </w:instrText>
        </w:r>
        <w:r w:rsidR="00590D90">
          <w:rPr>
            <w:webHidden/>
          </w:rPr>
        </w:r>
        <w:r w:rsidR="00590D90">
          <w:rPr>
            <w:webHidden/>
          </w:rPr>
          <w:fldChar w:fldCharType="separate"/>
        </w:r>
        <w:r w:rsidR="00590D90">
          <w:rPr>
            <w:webHidden/>
          </w:rPr>
          <w:t>B-27</w:t>
        </w:r>
        <w:r w:rsidR="00590D90">
          <w:rPr>
            <w:webHidden/>
          </w:rPr>
          <w:fldChar w:fldCharType="end"/>
        </w:r>
      </w:hyperlink>
    </w:p>
    <w:p w14:paraId="2CCEAC2A" w14:textId="067CB855" w:rsidR="00590D90" w:rsidRDefault="00272F76">
      <w:pPr>
        <w:pStyle w:val="TOC1"/>
        <w:rPr>
          <w:rFonts w:asciiTheme="minorHAnsi" w:eastAsiaTheme="minorEastAsia" w:hAnsiTheme="minorHAnsi" w:cstheme="minorBidi"/>
          <w:b w:val="0"/>
          <w:noProof/>
          <w:sz w:val="22"/>
        </w:rPr>
      </w:pPr>
      <w:hyperlink w:anchor="_Toc485126596" w:history="1">
        <w:r w:rsidR="00590D90" w:rsidRPr="009B7687">
          <w:rPr>
            <w:rStyle w:val="Hyperlink"/>
            <w:noProof/>
          </w:rPr>
          <w:t>Appendix C. AIMS Sectors</w:t>
        </w:r>
        <w:r w:rsidR="00590D90">
          <w:rPr>
            <w:noProof/>
            <w:webHidden/>
          </w:rPr>
          <w:tab/>
        </w:r>
        <w:r w:rsidR="00590D90">
          <w:rPr>
            <w:noProof/>
            <w:webHidden/>
          </w:rPr>
          <w:fldChar w:fldCharType="begin"/>
        </w:r>
        <w:r w:rsidR="00590D90">
          <w:rPr>
            <w:noProof/>
            <w:webHidden/>
          </w:rPr>
          <w:instrText xml:space="preserve"> PAGEREF _Toc485126596 \h </w:instrText>
        </w:r>
        <w:r w:rsidR="00590D90">
          <w:rPr>
            <w:noProof/>
            <w:webHidden/>
          </w:rPr>
        </w:r>
        <w:r w:rsidR="00590D90">
          <w:rPr>
            <w:noProof/>
            <w:webHidden/>
          </w:rPr>
          <w:fldChar w:fldCharType="separate"/>
        </w:r>
        <w:r w:rsidR="00590D90">
          <w:rPr>
            <w:noProof/>
            <w:webHidden/>
          </w:rPr>
          <w:t>C-1</w:t>
        </w:r>
        <w:r w:rsidR="00590D90">
          <w:rPr>
            <w:noProof/>
            <w:webHidden/>
          </w:rPr>
          <w:fldChar w:fldCharType="end"/>
        </w:r>
      </w:hyperlink>
    </w:p>
    <w:p w14:paraId="0FAF9569" w14:textId="4C540F56" w:rsidR="00590D90" w:rsidRDefault="00272F76">
      <w:pPr>
        <w:pStyle w:val="TOC2"/>
        <w:rPr>
          <w:rFonts w:asciiTheme="minorHAnsi" w:eastAsiaTheme="minorEastAsia" w:hAnsiTheme="minorHAnsi" w:cstheme="minorBidi"/>
          <w:sz w:val="22"/>
          <w:szCs w:val="22"/>
        </w:rPr>
      </w:pPr>
      <w:hyperlink w:anchor="_Toc485126597" w:history="1">
        <w:r w:rsidR="00590D90" w:rsidRPr="009B7687">
          <w:rPr>
            <w:rStyle w:val="Hyperlink"/>
          </w:rPr>
          <w:t>C.1 Industrial</w:t>
        </w:r>
        <w:r w:rsidR="00590D90">
          <w:rPr>
            <w:webHidden/>
          </w:rPr>
          <w:tab/>
        </w:r>
        <w:r w:rsidR="00590D90">
          <w:rPr>
            <w:webHidden/>
          </w:rPr>
          <w:fldChar w:fldCharType="begin"/>
        </w:r>
        <w:r w:rsidR="00590D90">
          <w:rPr>
            <w:webHidden/>
          </w:rPr>
          <w:instrText xml:space="preserve"> PAGEREF _Toc485126597 \h </w:instrText>
        </w:r>
        <w:r w:rsidR="00590D90">
          <w:rPr>
            <w:webHidden/>
          </w:rPr>
        </w:r>
        <w:r w:rsidR="00590D90">
          <w:rPr>
            <w:webHidden/>
          </w:rPr>
          <w:fldChar w:fldCharType="separate"/>
        </w:r>
        <w:r w:rsidR="00590D90">
          <w:rPr>
            <w:webHidden/>
          </w:rPr>
          <w:t>C-1</w:t>
        </w:r>
        <w:r w:rsidR="00590D90">
          <w:rPr>
            <w:webHidden/>
          </w:rPr>
          <w:fldChar w:fldCharType="end"/>
        </w:r>
      </w:hyperlink>
    </w:p>
    <w:p w14:paraId="5E03A1ED" w14:textId="1B4E64DD" w:rsidR="00590D90" w:rsidRDefault="00272F76">
      <w:pPr>
        <w:pStyle w:val="TOC2"/>
        <w:rPr>
          <w:rFonts w:asciiTheme="minorHAnsi" w:eastAsiaTheme="minorEastAsia" w:hAnsiTheme="minorHAnsi" w:cstheme="minorBidi"/>
          <w:sz w:val="22"/>
          <w:szCs w:val="22"/>
        </w:rPr>
      </w:pPr>
      <w:hyperlink w:anchor="_Toc485126598" w:history="1">
        <w:r w:rsidR="00590D90" w:rsidRPr="009B7687">
          <w:rPr>
            <w:rStyle w:val="Hyperlink"/>
          </w:rPr>
          <w:t>C.2 Agriculture</w:t>
        </w:r>
        <w:r w:rsidR="00590D90">
          <w:rPr>
            <w:webHidden/>
          </w:rPr>
          <w:tab/>
        </w:r>
        <w:r w:rsidR="00590D90">
          <w:rPr>
            <w:webHidden/>
          </w:rPr>
          <w:fldChar w:fldCharType="begin"/>
        </w:r>
        <w:r w:rsidR="00590D90">
          <w:rPr>
            <w:webHidden/>
          </w:rPr>
          <w:instrText xml:space="preserve"> PAGEREF _Toc485126598 \h </w:instrText>
        </w:r>
        <w:r w:rsidR="00590D90">
          <w:rPr>
            <w:webHidden/>
          </w:rPr>
        </w:r>
        <w:r w:rsidR="00590D90">
          <w:rPr>
            <w:webHidden/>
          </w:rPr>
          <w:fldChar w:fldCharType="separate"/>
        </w:r>
        <w:r w:rsidR="00590D90">
          <w:rPr>
            <w:webHidden/>
          </w:rPr>
          <w:t>C-2</w:t>
        </w:r>
        <w:r w:rsidR="00590D90">
          <w:rPr>
            <w:webHidden/>
          </w:rPr>
          <w:fldChar w:fldCharType="end"/>
        </w:r>
      </w:hyperlink>
    </w:p>
    <w:p w14:paraId="4C67F78F" w14:textId="7036F21F" w:rsidR="00590D90" w:rsidRDefault="00272F76">
      <w:pPr>
        <w:pStyle w:val="TOC1"/>
        <w:rPr>
          <w:rFonts w:asciiTheme="minorHAnsi" w:eastAsiaTheme="minorEastAsia" w:hAnsiTheme="minorHAnsi" w:cstheme="minorBidi"/>
          <w:b w:val="0"/>
          <w:noProof/>
          <w:sz w:val="22"/>
        </w:rPr>
      </w:pPr>
      <w:hyperlink w:anchor="_Toc485126599" w:history="1">
        <w:r w:rsidR="00590D90" w:rsidRPr="009B7687">
          <w:rPr>
            <w:rStyle w:val="Hyperlink"/>
            <w:noProof/>
          </w:rPr>
          <w:t>Appendix D. Codes &amp; Standards</w:t>
        </w:r>
        <w:r w:rsidR="00590D90">
          <w:rPr>
            <w:noProof/>
            <w:webHidden/>
          </w:rPr>
          <w:tab/>
        </w:r>
        <w:r w:rsidR="00590D90">
          <w:rPr>
            <w:noProof/>
            <w:webHidden/>
          </w:rPr>
          <w:fldChar w:fldCharType="begin"/>
        </w:r>
        <w:r w:rsidR="00590D90">
          <w:rPr>
            <w:noProof/>
            <w:webHidden/>
          </w:rPr>
          <w:instrText xml:space="preserve"> PAGEREF _Toc485126599 \h </w:instrText>
        </w:r>
        <w:r w:rsidR="00590D90">
          <w:rPr>
            <w:noProof/>
            <w:webHidden/>
          </w:rPr>
        </w:r>
        <w:r w:rsidR="00590D90">
          <w:rPr>
            <w:noProof/>
            <w:webHidden/>
          </w:rPr>
          <w:fldChar w:fldCharType="separate"/>
        </w:r>
        <w:r w:rsidR="00590D90">
          <w:rPr>
            <w:noProof/>
            <w:webHidden/>
          </w:rPr>
          <w:t>D-1</w:t>
        </w:r>
        <w:r w:rsidR="00590D90">
          <w:rPr>
            <w:noProof/>
            <w:webHidden/>
          </w:rPr>
          <w:fldChar w:fldCharType="end"/>
        </w:r>
      </w:hyperlink>
    </w:p>
    <w:p w14:paraId="4B910975" w14:textId="1D5B8216" w:rsidR="00590D90" w:rsidRDefault="00272F76">
      <w:pPr>
        <w:pStyle w:val="TOC1"/>
        <w:rPr>
          <w:rFonts w:asciiTheme="minorHAnsi" w:eastAsiaTheme="minorEastAsia" w:hAnsiTheme="minorHAnsi" w:cstheme="minorBidi"/>
          <w:b w:val="0"/>
          <w:noProof/>
          <w:sz w:val="22"/>
        </w:rPr>
      </w:pPr>
      <w:hyperlink w:anchor="_Toc485126600" w:history="1">
        <w:r w:rsidR="00590D90" w:rsidRPr="009B7687">
          <w:rPr>
            <w:rStyle w:val="Hyperlink"/>
            <w:noProof/>
          </w:rPr>
          <w:t>Appendix E. Ind/Ag Generic Custom &amp; Emerging Technologies</w:t>
        </w:r>
        <w:r w:rsidR="00590D90">
          <w:rPr>
            <w:noProof/>
            <w:webHidden/>
          </w:rPr>
          <w:tab/>
        </w:r>
        <w:r w:rsidR="00590D90">
          <w:rPr>
            <w:noProof/>
            <w:webHidden/>
          </w:rPr>
          <w:fldChar w:fldCharType="begin"/>
        </w:r>
        <w:r w:rsidR="00590D90">
          <w:rPr>
            <w:noProof/>
            <w:webHidden/>
          </w:rPr>
          <w:instrText xml:space="preserve"> PAGEREF _Toc485126600 \h </w:instrText>
        </w:r>
        <w:r w:rsidR="00590D90">
          <w:rPr>
            <w:noProof/>
            <w:webHidden/>
          </w:rPr>
        </w:r>
        <w:r w:rsidR="00590D90">
          <w:rPr>
            <w:noProof/>
            <w:webHidden/>
          </w:rPr>
          <w:fldChar w:fldCharType="separate"/>
        </w:r>
        <w:r w:rsidR="00590D90">
          <w:rPr>
            <w:noProof/>
            <w:webHidden/>
          </w:rPr>
          <w:t>E-1</w:t>
        </w:r>
        <w:r w:rsidR="00590D90">
          <w:rPr>
            <w:noProof/>
            <w:webHidden/>
          </w:rPr>
          <w:fldChar w:fldCharType="end"/>
        </w:r>
      </w:hyperlink>
    </w:p>
    <w:p w14:paraId="1624A58C" w14:textId="3FDF41A0" w:rsidR="00590D90" w:rsidRDefault="00272F76">
      <w:pPr>
        <w:pStyle w:val="TOC2"/>
        <w:rPr>
          <w:rFonts w:asciiTheme="minorHAnsi" w:eastAsiaTheme="minorEastAsia" w:hAnsiTheme="minorHAnsi" w:cstheme="minorBidi"/>
          <w:sz w:val="22"/>
          <w:szCs w:val="22"/>
        </w:rPr>
      </w:pPr>
      <w:hyperlink w:anchor="_Toc485126601" w:history="1">
        <w:r w:rsidR="00590D90" w:rsidRPr="009B7687">
          <w:rPr>
            <w:rStyle w:val="Hyperlink"/>
          </w:rPr>
          <w:t>E.1 Ind/Ag Generic Custom Measure Forecast Methodology</w:t>
        </w:r>
        <w:r w:rsidR="00590D90">
          <w:rPr>
            <w:webHidden/>
          </w:rPr>
          <w:tab/>
        </w:r>
        <w:r w:rsidR="00590D90">
          <w:rPr>
            <w:webHidden/>
          </w:rPr>
          <w:fldChar w:fldCharType="begin"/>
        </w:r>
        <w:r w:rsidR="00590D90">
          <w:rPr>
            <w:webHidden/>
          </w:rPr>
          <w:instrText xml:space="preserve"> PAGEREF _Toc485126601 \h </w:instrText>
        </w:r>
        <w:r w:rsidR="00590D90">
          <w:rPr>
            <w:webHidden/>
          </w:rPr>
        </w:r>
        <w:r w:rsidR="00590D90">
          <w:rPr>
            <w:webHidden/>
          </w:rPr>
          <w:fldChar w:fldCharType="separate"/>
        </w:r>
        <w:r w:rsidR="00590D90">
          <w:rPr>
            <w:webHidden/>
          </w:rPr>
          <w:t>E-1</w:t>
        </w:r>
        <w:r w:rsidR="00590D90">
          <w:rPr>
            <w:webHidden/>
          </w:rPr>
          <w:fldChar w:fldCharType="end"/>
        </w:r>
      </w:hyperlink>
    </w:p>
    <w:p w14:paraId="16EFAFBF" w14:textId="69D6A09E" w:rsidR="00590D90" w:rsidRDefault="00272F76">
      <w:pPr>
        <w:pStyle w:val="TOC2"/>
        <w:rPr>
          <w:rFonts w:asciiTheme="minorHAnsi" w:eastAsiaTheme="minorEastAsia" w:hAnsiTheme="minorHAnsi" w:cstheme="minorBidi"/>
          <w:sz w:val="22"/>
          <w:szCs w:val="22"/>
        </w:rPr>
      </w:pPr>
      <w:hyperlink w:anchor="_Toc485126602" w:history="1">
        <w:r w:rsidR="00590D90" w:rsidRPr="009B7687">
          <w:rPr>
            <w:rStyle w:val="Hyperlink"/>
          </w:rPr>
          <w:t>E.2 Ind/Ag Emerging Technology Measures</w:t>
        </w:r>
        <w:r w:rsidR="00590D90">
          <w:rPr>
            <w:webHidden/>
          </w:rPr>
          <w:tab/>
        </w:r>
        <w:r w:rsidR="00590D90">
          <w:rPr>
            <w:webHidden/>
          </w:rPr>
          <w:fldChar w:fldCharType="begin"/>
        </w:r>
        <w:r w:rsidR="00590D90">
          <w:rPr>
            <w:webHidden/>
          </w:rPr>
          <w:instrText xml:space="preserve"> PAGEREF _Toc485126602 \h </w:instrText>
        </w:r>
        <w:r w:rsidR="00590D90">
          <w:rPr>
            <w:webHidden/>
          </w:rPr>
        </w:r>
        <w:r w:rsidR="00590D90">
          <w:rPr>
            <w:webHidden/>
          </w:rPr>
          <w:fldChar w:fldCharType="separate"/>
        </w:r>
        <w:r w:rsidR="00590D90">
          <w:rPr>
            <w:webHidden/>
          </w:rPr>
          <w:t>E-3</w:t>
        </w:r>
        <w:r w:rsidR="00590D90">
          <w:rPr>
            <w:webHidden/>
          </w:rPr>
          <w:fldChar w:fldCharType="end"/>
        </w:r>
      </w:hyperlink>
    </w:p>
    <w:p w14:paraId="0435FB98" w14:textId="64ED4A51" w:rsidR="00590D90" w:rsidRDefault="00272F76">
      <w:pPr>
        <w:pStyle w:val="TOC1"/>
        <w:rPr>
          <w:rFonts w:asciiTheme="minorHAnsi" w:eastAsiaTheme="minorEastAsia" w:hAnsiTheme="minorHAnsi" w:cstheme="minorBidi"/>
          <w:b w:val="0"/>
          <w:noProof/>
          <w:sz w:val="22"/>
        </w:rPr>
      </w:pPr>
      <w:hyperlink w:anchor="_Toc485126603" w:history="1">
        <w:r w:rsidR="00590D90" w:rsidRPr="009B7687">
          <w:rPr>
            <w:rStyle w:val="Hyperlink"/>
            <w:noProof/>
          </w:rPr>
          <w:t>Appendix F. Low Income Programs</w:t>
        </w:r>
        <w:r w:rsidR="00590D90">
          <w:rPr>
            <w:noProof/>
            <w:webHidden/>
          </w:rPr>
          <w:tab/>
        </w:r>
        <w:r w:rsidR="00590D90">
          <w:rPr>
            <w:noProof/>
            <w:webHidden/>
          </w:rPr>
          <w:fldChar w:fldCharType="begin"/>
        </w:r>
        <w:r w:rsidR="00590D90">
          <w:rPr>
            <w:noProof/>
            <w:webHidden/>
          </w:rPr>
          <w:instrText xml:space="preserve"> PAGEREF _Toc485126603 \h </w:instrText>
        </w:r>
        <w:r w:rsidR="00590D90">
          <w:rPr>
            <w:noProof/>
            <w:webHidden/>
          </w:rPr>
        </w:r>
        <w:r w:rsidR="00590D90">
          <w:rPr>
            <w:noProof/>
            <w:webHidden/>
          </w:rPr>
          <w:fldChar w:fldCharType="separate"/>
        </w:r>
        <w:r w:rsidR="00590D90">
          <w:rPr>
            <w:noProof/>
            <w:webHidden/>
          </w:rPr>
          <w:t>F-1</w:t>
        </w:r>
        <w:r w:rsidR="00590D90">
          <w:rPr>
            <w:noProof/>
            <w:webHidden/>
          </w:rPr>
          <w:fldChar w:fldCharType="end"/>
        </w:r>
      </w:hyperlink>
    </w:p>
    <w:p w14:paraId="2601BB74" w14:textId="3950F1DC" w:rsidR="00590D90" w:rsidRDefault="00272F76">
      <w:pPr>
        <w:pStyle w:val="TOC2"/>
        <w:rPr>
          <w:rFonts w:asciiTheme="minorHAnsi" w:eastAsiaTheme="minorEastAsia" w:hAnsiTheme="minorHAnsi" w:cstheme="minorBidi"/>
          <w:sz w:val="22"/>
          <w:szCs w:val="22"/>
        </w:rPr>
      </w:pPr>
      <w:hyperlink w:anchor="_Toc485126604" w:history="1">
        <w:r w:rsidR="00590D90" w:rsidRPr="009B7687">
          <w:rPr>
            <w:rStyle w:val="Hyperlink"/>
          </w:rPr>
          <w:t>F.1 PG&amp;E</w:t>
        </w:r>
        <w:r w:rsidR="00590D90">
          <w:rPr>
            <w:webHidden/>
          </w:rPr>
          <w:tab/>
        </w:r>
        <w:r w:rsidR="00590D90">
          <w:rPr>
            <w:webHidden/>
          </w:rPr>
          <w:fldChar w:fldCharType="begin"/>
        </w:r>
        <w:r w:rsidR="00590D90">
          <w:rPr>
            <w:webHidden/>
          </w:rPr>
          <w:instrText xml:space="preserve"> PAGEREF _Toc485126604 \h </w:instrText>
        </w:r>
        <w:r w:rsidR="00590D90">
          <w:rPr>
            <w:webHidden/>
          </w:rPr>
        </w:r>
        <w:r w:rsidR="00590D90">
          <w:rPr>
            <w:webHidden/>
          </w:rPr>
          <w:fldChar w:fldCharType="separate"/>
        </w:r>
        <w:r w:rsidR="00590D90">
          <w:rPr>
            <w:webHidden/>
          </w:rPr>
          <w:t>F-1</w:t>
        </w:r>
        <w:r w:rsidR="00590D90">
          <w:rPr>
            <w:webHidden/>
          </w:rPr>
          <w:fldChar w:fldCharType="end"/>
        </w:r>
      </w:hyperlink>
    </w:p>
    <w:p w14:paraId="2B8124B0" w14:textId="70714C7B" w:rsidR="00590D90" w:rsidRDefault="00272F76">
      <w:pPr>
        <w:pStyle w:val="TOC2"/>
        <w:rPr>
          <w:rFonts w:asciiTheme="minorHAnsi" w:eastAsiaTheme="minorEastAsia" w:hAnsiTheme="minorHAnsi" w:cstheme="minorBidi"/>
          <w:sz w:val="22"/>
          <w:szCs w:val="22"/>
        </w:rPr>
      </w:pPr>
      <w:hyperlink w:anchor="_Toc485126605" w:history="1">
        <w:r w:rsidR="00590D90" w:rsidRPr="009B7687">
          <w:rPr>
            <w:rStyle w:val="Hyperlink"/>
          </w:rPr>
          <w:t>F.2 SCE</w:t>
        </w:r>
        <w:r w:rsidR="00590D90">
          <w:rPr>
            <w:webHidden/>
          </w:rPr>
          <w:tab/>
        </w:r>
        <w:r w:rsidR="00590D90">
          <w:rPr>
            <w:webHidden/>
          </w:rPr>
          <w:fldChar w:fldCharType="begin"/>
        </w:r>
        <w:r w:rsidR="00590D90">
          <w:rPr>
            <w:webHidden/>
          </w:rPr>
          <w:instrText xml:space="preserve"> PAGEREF _Toc485126605 \h </w:instrText>
        </w:r>
        <w:r w:rsidR="00590D90">
          <w:rPr>
            <w:webHidden/>
          </w:rPr>
        </w:r>
        <w:r w:rsidR="00590D90">
          <w:rPr>
            <w:webHidden/>
          </w:rPr>
          <w:fldChar w:fldCharType="separate"/>
        </w:r>
        <w:r w:rsidR="00590D90">
          <w:rPr>
            <w:webHidden/>
          </w:rPr>
          <w:t>F-2</w:t>
        </w:r>
        <w:r w:rsidR="00590D90">
          <w:rPr>
            <w:webHidden/>
          </w:rPr>
          <w:fldChar w:fldCharType="end"/>
        </w:r>
      </w:hyperlink>
    </w:p>
    <w:p w14:paraId="14693BB9" w14:textId="56121F34" w:rsidR="00590D90" w:rsidRDefault="00272F76">
      <w:pPr>
        <w:pStyle w:val="TOC2"/>
        <w:rPr>
          <w:rFonts w:asciiTheme="minorHAnsi" w:eastAsiaTheme="minorEastAsia" w:hAnsiTheme="minorHAnsi" w:cstheme="minorBidi"/>
          <w:sz w:val="22"/>
          <w:szCs w:val="22"/>
        </w:rPr>
      </w:pPr>
      <w:hyperlink w:anchor="_Toc485126606" w:history="1">
        <w:r w:rsidR="00590D90" w:rsidRPr="009B7687">
          <w:rPr>
            <w:rStyle w:val="Hyperlink"/>
          </w:rPr>
          <w:t>F.3 SCG</w:t>
        </w:r>
        <w:r w:rsidR="00590D90">
          <w:rPr>
            <w:webHidden/>
          </w:rPr>
          <w:tab/>
        </w:r>
        <w:r w:rsidR="00590D90">
          <w:rPr>
            <w:webHidden/>
          </w:rPr>
          <w:fldChar w:fldCharType="begin"/>
        </w:r>
        <w:r w:rsidR="00590D90">
          <w:rPr>
            <w:webHidden/>
          </w:rPr>
          <w:instrText xml:space="preserve"> PAGEREF _Toc485126606 \h </w:instrText>
        </w:r>
        <w:r w:rsidR="00590D90">
          <w:rPr>
            <w:webHidden/>
          </w:rPr>
        </w:r>
        <w:r w:rsidR="00590D90">
          <w:rPr>
            <w:webHidden/>
          </w:rPr>
          <w:fldChar w:fldCharType="separate"/>
        </w:r>
        <w:r w:rsidR="00590D90">
          <w:rPr>
            <w:webHidden/>
          </w:rPr>
          <w:t>F-3</w:t>
        </w:r>
        <w:r w:rsidR="00590D90">
          <w:rPr>
            <w:webHidden/>
          </w:rPr>
          <w:fldChar w:fldCharType="end"/>
        </w:r>
      </w:hyperlink>
    </w:p>
    <w:p w14:paraId="2424DC22" w14:textId="092E413B" w:rsidR="00590D90" w:rsidRDefault="00272F76">
      <w:pPr>
        <w:pStyle w:val="TOC2"/>
        <w:rPr>
          <w:rFonts w:asciiTheme="minorHAnsi" w:eastAsiaTheme="minorEastAsia" w:hAnsiTheme="minorHAnsi" w:cstheme="minorBidi"/>
          <w:sz w:val="22"/>
          <w:szCs w:val="22"/>
        </w:rPr>
      </w:pPr>
      <w:hyperlink w:anchor="_Toc485126607" w:history="1">
        <w:r w:rsidR="00590D90" w:rsidRPr="009B7687">
          <w:rPr>
            <w:rStyle w:val="Hyperlink"/>
          </w:rPr>
          <w:t>F.4 SDG&amp;E</w:t>
        </w:r>
        <w:r w:rsidR="00590D90">
          <w:rPr>
            <w:webHidden/>
          </w:rPr>
          <w:tab/>
        </w:r>
        <w:r w:rsidR="00590D90">
          <w:rPr>
            <w:webHidden/>
          </w:rPr>
          <w:fldChar w:fldCharType="begin"/>
        </w:r>
        <w:r w:rsidR="00590D90">
          <w:rPr>
            <w:webHidden/>
          </w:rPr>
          <w:instrText xml:space="preserve"> PAGEREF _Toc485126607 \h </w:instrText>
        </w:r>
        <w:r w:rsidR="00590D90">
          <w:rPr>
            <w:webHidden/>
          </w:rPr>
        </w:r>
        <w:r w:rsidR="00590D90">
          <w:rPr>
            <w:webHidden/>
          </w:rPr>
          <w:fldChar w:fldCharType="separate"/>
        </w:r>
        <w:r w:rsidR="00590D90">
          <w:rPr>
            <w:webHidden/>
          </w:rPr>
          <w:t>F-4</w:t>
        </w:r>
        <w:r w:rsidR="00590D90">
          <w:rPr>
            <w:webHidden/>
          </w:rPr>
          <w:fldChar w:fldCharType="end"/>
        </w:r>
      </w:hyperlink>
    </w:p>
    <w:p w14:paraId="351DD979" w14:textId="6DA29675" w:rsidR="00590D90" w:rsidRDefault="00272F76">
      <w:pPr>
        <w:pStyle w:val="TOC2"/>
        <w:rPr>
          <w:rFonts w:asciiTheme="minorHAnsi" w:eastAsiaTheme="minorEastAsia" w:hAnsiTheme="minorHAnsi" w:cstheme="minorBidi"/>
          <w:sz w:val="22"/>
          <w:szCs w:val="22"/>
        </w:rPr>
      </w:pPr>
      <w:hyperlink w:anchor="_Toc485126608" w:history="1">
        <w:r w:rsidR="00590D90" w:rsidRPr="009B7687">
          <w:rPr>
            <w:rStyle w:val="Hyperlink"/>
          </w:rPr>
          <w:t>F.5 Effective Useful Life</w:t>
        </w:r>
        <w:r w:rsidR="00590D90">
          <w:rPr>
            <w:webHidden/>
          </w:rPr>
          <w:tab/>
        </w:r>
        <w:r w:rsidR="00590D90">
          <w:rPr>
            <w:webHidden/>
          </w:rPr>
          <w:fldChar w:fldCharType="begin"/>
        </w:r>
        <w:r w:rsidR="00590D90">
          <w:rPr>
            <w:webHidden/>
          </w:rPr>
          <w:instrText xml:space="preserve"> PAGEREF _Toc485126608 \h </w:instrText>
        </w:r>
        <w:r w:rsidR="00590D90">
          <w:rPr>
            <w:webHidden/>
          </w:rPr>
        </w:r>
        <w:r w:rsidR="00590D90">
          <w:rPr>
            <w:webHidden/>
          </w:rPr>
          <w:fldChar w:fldCharType="separate"/>
        </w:r>
        <w:r w:rsidR="00590D90">
          <w:rPr>
            <w:webHidden/>
          </w:rPr>
          <w:t>F-5</w:t>
        </w:r>
        <w:r w:rsidR="00590D90">
          <w:rPr>
            <w:webHidden/>
          </w:rPr>
          <w:fldChar w:fldCharType="end"/>
        </w:r>
      </w:hyperlink>
    </w:p>
    <w:p w14:paraId="552CB79F" w14:textId="63DC2293" w:rsidR="00590D90" w:rsidRDefault="00272F76">
      <w:pPr>
        <w:pStyle w:val="TOC1"/>
        <w:rPr>
          <w:rFonts w:asciiTheme="minorHAnsi" w:eastAsiaTheme="minorEastAsia" w:hAnsiTheme="minorHAnsi" w:cstheme="minorBidi"/>
          <w:b w:val="0"/>
          <w:noProof/>
          <w:sz w:val="22"/>
        </w:rPr>
      </w:pPr>
      <w:hyperlink w:anchor="_Toc485126609" w:history="1">
        <w:r w:rsidR="00590D90" w:rsidRPr="009B7687">
          <w:rPr>
            <w:rStyle w:val="Hyperlink"/>
            <w:noProof/>
          </w:rPr>
          <w:t>Appendix G. Detailed Sceanrio Results</w:t>
        </w:r>
        <w:r w:rsidR="00590D90">
          <w:rPr>
            <w:noProof/>
            <w:webHidden/>
          </w:rPr>
          <w:tab/>
        </w:r>
        <w:r w:rsidR="00590D90">
          <w:rPr>
            <w:noProof/>
            <w:webHidden/>
          </w:rPr>
          <w:fldChar w:fldCharType="begin"/>
        </w:r>
        <w:r w:rsidR="00590D90">
          <w:rPr>
            <w:noProof/>
            <w:webHidden/>
          </w:rPr>
          <w:instrText xml:space="preserve"> PAGEREF _Toc485126609 \h </w:instrText>
        </w:r>
        <w:r w:rsidR="00590D90">
          <w:rPr>
            <w:noProof/>
            <w:webHidden/>
          </w:rPr>
        </w:r>
        <w:r w:rsidR="00590D90">
          <w:rPr>
            <w:noProof/>
            <w:webHidden/>
          </w:rPr>
          <w:fldChar w:fldCharType="separate"/>
        </w:r>
        <w:r w:rsidR="00590D90">
          <w:rPr>
            <w:noProof/>
            <w:webHidden/>
          </w:rPr>
          <w:t>G-1</w:t>
        </w:r>
        <w:r w:rsidR="00590D90">
          <w:rPr>
            <w:noProof/>
            <w:webHidden/>
          </w:rPr>
          <w:fldChar w:fldCharType="end"/>
        </w:r>
      </w:hyperlink>
    </w:p>
    <w:p w14:paraId="2F8D1F3C" w14:textId="65A86E66" w:rsidR="00590D90" w:rsidRDefault="00272F76">
      <w:pPr>
        <w:pStyle w:val="TOC2"/>
        <w:rPr>
          <w:rFonts w:asciiTheme="minorHAnsi" w:eastAsiaTheme="minorEastAsia" w:hAnsiTheme="minorHAnsi" w:cstheme="minorBidi"/>
          <w:sz w:val="22"/>
          <w:szCs w:val="22"/>
        </w:rPr>
      </w:pPr>
      <w:hyperlink w:anchor="_Toc485126610" w:history="1">
        <w:r w:rsidR="00590D90" w:rsidRPr="009B7687">
          <w:rPr>
            <w:rStyle w:val="Hyperlink"/>
          </w:rPr>
          <w:t>G.1 PG&amp;E</w:t>
        </w:r>
        <w:r w:rsidR="00590D90">
          <w:rPr>
            <w:webHidden/>
          </w:rPr>
          <w:tab/>
        </w:r>
        <w:r w:rsidR="00590D90">
          <w:rPr>
            <w:webHidden/>
          </w:rPr>
          <w:fldChar w:fldCharType="begin"/>
        </w:r>
        <w:r w:rsidR="00590D90">
          <w:rPr>
            <w:webHidden/>
          </w:rPr>
          <w:instrText xml:space="preserve"> PAGEREF _Toc485126610 \h </w:instrText>
        </w:r>
        <w:r w:rsidR="00590D90">
          <w:rPr>
            <w:webHidden/>
          </w:rPr>
        </w:r>
        <w:r w:rsidR="00590D90">
          <w:rPr>
            <w:webHidden/>
          </w:rPr>
          <w:fldChar w:fldCharType="separate"/>
        </w:r>
        <w:r w:rsidR="00590D90">
          <w:rPr>
            <w:webHidden/>
          </w:rPr>
          <w:t>G-1</w:t>
        </w:r>
        <w:r w:rsidR="00590D90">
          <w:rPr>
            <w:webHidden/>
          </w:rPr>
          <w:fldChar w:fldCharType="end"/>
        </w:r>
      </w:hyperlink>
    </w:p>
    <w:p w14:paraId="53F41DC8" w14:textId="472AE633" w:rsidR="00590D90" w:rsidRDefault="00272F76">
      <w:pPr>
        <w:pStyle w:val="TOC2"/>
        <w:rPr>
          <w:rFonts w:asciiTheme="minorHAnsi" w:eastAsiaTheme="minorEastAsia" w:hAnsiTheme="minorHAnsi" w:cstheme="minorBidi"/>
          <w:sz w:val="22"/>
          <w:szCs w:val="22"/>
        </w:rPr>
      </w:pPr>
      <w:hyperlink w:anchor="_Toc485126611" w:history="1">
        <w:r w:rsidR="00590D90" w:rsidRPr="009B7687">
          <w:rPr>
            <w:rStyle w:val="Hyperlink"/>
          </w:rPr>
          <w:t>G.2 SCE</w:t>
        </w:r>
        <w:r w:rsidR="00590D90">
          <w:rPr>
            <w:webHidden/>
          </w:rPr>
          <w:tab/>
        </w:r>
        <w:r w:rsidR="00590D90">
          <w:rPr>
            <w:webHidden/>
          </w:rPr>
          <w:fldChar w:fldCharType="begin"/>
        </w:r>
        <w:r w:rsidR="00590D90">
          <w:rPr>
            <w:webHidden/>
          </w:rPr>
          <w:instrText xml:space="preserve"> PAGEREF _Toc485126611 \h </w:instrText>
        </w:r>
        <w:r w:rsidR="00590D90">
          <w:rPr>
            <w:webHidden/>
          </w:rPr>
        </w:r>
        <w:r w:rsidR="00590D90">
          <w:rPr>
            <w:webHidden/>
          </w:rPr>
          <w:fldChar w:fldCharType="separate"/>
        </w:r>
        <w:r w:rsidR="00590D90">
          <w:rPr>
            <w:webHidden/>
          </w:rPr>
          <w:t>G-4</w:t>
        </w:r>
        <w:r w:rsidR="00590D90">
          <w:rPr>
            <w:webHidden/>
          </w:rPr>
          <w:fldChar w:fldCharType="end"/>
        </w:r>
      </w:hyperlink>
    </w:p>
    <w:p w14:paraId="57276B74" w14:textId="63807DD2" w:rsidR="00590D90" w:rsidRDefault="00272F76">
      <w:pPr>
        <w:pStyle w:val="TOC2"/>
        <w:rPr>
          <w:rFonts w:asciiTheme="minorHAnsi" w:eastAsiaTheme="minorEastAsia" w:hAnsiTheme="minorHAnsi" w:cstheme="minorBidi"/>
          <w:sz w:val="22"/>
          <w:szCs w:val="22"/>
        </w:rPr>
      </w:pPr>
      <w:hyperlink w:anchor="_Toc485126612" w:history="1">
        <w:r w:rsidR="00590D90" w:rsidRPr="009B7687">
          <w:rPr>
            <w:rStyle w:val="Hyperlink"/>
          </w:rPr>
          <w:t>G.3 SCG</w:t>
        </w:r>
        <w:r w:rsidR="00590D90">
          <w:rPr>
            <w:webHidden/>
          </w:rPr>
          <w:tab/>
        </w:r>
        <w:r w:rsidR="00590D90">
          <w:rPr>
            <w:webHidden/>
          </w:rPr>
          <w:fldChar w:fldCharType="begin"/>
        </w:r>
        <w:r w:rsidR="00590D90">
          <w:rPr>
            <w:webHidden/>
          </w:rPr>
          <w:instrText xml:space="preserve"> PAGEREF _Toc485126612 \h </w:instrText>
        </w:r>
        <w:r w:rsidR="00590D90">
          <w:rPr>
            <w:webHidden/>
          </w:rPr>
        </w:r>
        <w:r w:rsidR="00590D90">
          <w:rPr>
            <w:webHidden/>
          </w:rPr>
          <w:fldChar w:fldCharType="separate"/>
        </w:r>
        <w:r w:rsidR="00590D90">
          <w:rPr>
            <w:webHidden/>
          </w:rPr>
          <w:t>G-7</w:t>
        </w:r>
        <w:r w:rsidR="00590D90">
          <w:rPr>
            <w:webHidden/>
          </w:rPr>
          <w:fldChar w:fldCharType="end"/>
        </w:r>
      </w:hyperlink>
    </w:p>
    <w:p w14:paraId="1E522D44" w14:textId="52624613" w:rsidR="00590D90" w:rsidRDefault="00272F76">
      <w:pPr>
        <w:pStyle w:val="TOC2"/>
        <w:rPr>
          <w:rFonts w:asciiTheme="minorHAnsi" w:eastAsiaTheme="minorEastAsia" w:hAnsiTheme="minorHAnsi" w:cstheme="minorBidi"/>
          <w:sz w:val="22"/>
          <w:szCs w:val="22"/>
        </w:rPr>
      </w:pPr>
      <w:hyperlink w:anchor="_Toc485126613" w:history="1">
        <w:r w:rsidR="00590D90" w:rsidRPr="009B7687">
          <w:rPr>
            <w:rStyle w:val="Hyperlink"/>
          </w:rPr>
          <w:t>G.4 SDG&amp;E</w:t>
        </w:r>
        <w:r w:rsidR="00590D90">
          <w:rPr>
            <w:webHidden/>
          </w:rPr>
          <w:tab/>
        </w:r>
        <w:r w:rsidR="00590D90">
          <w:rPr>
            <w:webHidden/>
          </w:rPr>
          <w:fldChar w:fldCharType="begin"/>
        </w:r>
        <w:r w:rsidR="00590D90">
          <w:rPr>
            <w:webHidden/>
          </w:rPr>
          <w:instrText xml:space="preserve"> PAGEREF _Toc485126613 \h </w:instrText>
        </w:r>
        <w:r w:rsidR="00590D90">
          <w:rPr>
            <w:webHidden/>
          </w:rPr>
        </w:r>
        <w:r w:rsidR="00590D90">
          <w:rPr>
            <w:webHidden/>
          </w:rPr>
          <w:fldChar w:fldCharType="separate"/>
        </w:r>
        <w:r w:rsidR="00590D90">
          <w:rPr>
            <w:webHidden/>
          </w:rPr>
          <w:t>G-8</w:t>
        </w:r>
        <w:r w:rsidR="00590D90">
          <w:rPr>
            <w:webHidden/>
          </w:rPr>
          <w:fldChar w:fldCharType="end"/>
        </w:r>
      </w:hyperlink>
    </w:p>
    <w:p w14:paraId="22A2DD82" w14:textId="4F046D02" w:rsidR="00E3636E" w:rsidRDefault="007B2FBD" w:rsidP="001412F5">
      <w:r>
        <w:rPr>
          <w:b/>
          <w:noProof/>
          <w:snapToGrid w:val="0"/>
          <w:sz w:val="24"/>
        </w:rPr>
        <w:fldChar w:fldCharType="end"/>
      </w:r>
    </w:p>
    <w:p w14:paraId="5D18997E" w14:textId="77777777" w:rsidR="00B9017B" w:rsidRDefault="00B9017B"/>
    <w:p w14:paraId="13C56BBD" w14:textId="77777777" w:rsidR="00681B72" w:rsidRDefault="00681B72" w:rsidP="002D7723"/>
    <w:p w14:paraId="17C2F9E5" w14:textId="77777777" w:rsidR="00CB6DF9" w:rsidRDefault="00CB6DF9" w:rsidP="00CB6DF9">
      <w:pPr>
        <w:pStyle w:val="TOCHeading"/>
      </w:pPr>
      <w:r>
        <w:br w:type="page"/>
      </w:r>
    </w:p>
    <w:p w14:paraId="2DF97D91" w14:textId="77777777" w:rsidR="00BF3438" w:rsidRDefault="00CB6DF9" w:rsidP="002E129B">
      <w:pPr>
        <w:pStyle w:val="Heading7"/>
      </w:pPr>
      <w:bookmarkStart w:id="7" w:name="_Toc482634257"/>
      <w:bookmarkStart w:id="8" w:name="_Toc482626389"/>
      <w:bookmarkStart w:id="9" w:name="_Toc484092460"/>
      <w:bookmarkStart w:id="10" w:name="_Toc484172663"/>
      <w:bookmarkStart w:id="11" w:name="_Toc484183000"/>
      <w:bookmarkStart w:id="12" w:name="_Toc485126509"/>
      <w:r>
        <w:lastRenderedPageBreak/>
        <w:t>List of Figures and Tables</w:t>
      </w:r>
      <w:bookmarkEnd w:id="7"/>
      <w:bookmarkEnd w:id="8"/>
      <w:bookmarkEnd w:id="9"/>
      <w:bookmarkEnd w:id="10"/>
      <w:bookmarkEnd w:id="11"/>
      <w:bookmarkEnd w:id="12"/>
    </w:p>
    <w:p w14:paraId="5752E011" w14:textId="77777777" w:rsidR="00CB6DF9" w:rsidRPr="00957936" w:rsidRDefault="00CB6DF9" w:rsidP="00CB6DF9">
      <w:pPr>
        <w:pStyle w:val="Headerinfo"/>
        <w:rPr>
          <w:b/>
          <w:color w:val="auto"/>
          <w:sz w:val="20"/>
          <w:szCs w:val="20"/>
        </w:rPr>
      </w:pPr>
      <w:r w:rsidRPr="00957936">
        <w:rPr>
          <w:b/>
          <w:color w:val="auto"/>
          <w:sz w:val="20"/>
          <w:szCs w:val="20"/>
        </w:rPr>
        <w:t>Executive Summary Figures</w:t>
      </w:r>
    </w:p>
    <w:p w14:paraId="3ED90D52" w14:textId="35E388A3" w:rsidR="006F57E9" w:rsidRDefault="00A81D9C">
      <w:pPr>
        <w:pStyle w:val="TableofFigures"/>
        <w:rPr>
          <w:rFonts w:asciiTheme="minorHAnsi" w:eastAsiaTheme="minorEastAsia" w:hAnsiTheme="minorHAnsi" w:cstheme="minorBidi"/>
          <w:noProof/>
          <w:sz w:val="22"/>
          <w:szCs w:val="22"/>
        </w:rPr>
      </w:pPr>
      <w:r>
        <w:rPr>
          <w:rFonts w:cs="Arial"/>
          <w:szCs w:val="20"/>
        </w:rPr>
        <w:fldChar w:fldCharType="begin"/>
      </w:r>
      <w:r>
        <w:rPr>
          <w:rFonts w:cs="Arial"/>
          <w:szCs w:val="20"/>
        </w:rPr>
        <w:instrText xml:space="preserve"> TOC \h \z \c "Figure ES-" </w:instrText>
      </w:r>
      <w:r>
        <w:rPr>
          <w:rFonts w:cs="Arial"/>
          <w:szCs w:val="20"/>
        </w:rPr>
        <w:fldChar w:fldCharType="separate"/>
      </w:r>
      <w:hyperlink w:anchor="_Toc485125640" w:history="1">
        <w:r w:rsidR="006F57E9" w:rsidRPr="008D25CF">
          <w:rPr>
            <w:rStyle w:val="Hyperlink"/>
            <w:noProof/>
          </w:rPr>
          <w:t>Figure ES- 1. Statewide Incremental Electric Savings by Scenario</w:t>
        </w:r>
        <w:r w:rsidR="006F57E9">
          <w:rPr>
            <w:noProof/>
            <w:webHidden/>
          </w:rPr>
          <w:tab/>
        </w:r>
        <w:r w:rsidR="006F57E9">
          <w:rPr>
            <w:noProof/>
            <w:webHidden/>
          </w:rPr>
          <w:fldChar w:fldCharType="begin"/>
        </w:r>
        <w:r w:rsidR="006F57E9">
          <w:rPr>
            <w:noProof/>
            <w:webHidden/>
          </w:rPr>
          <w:instrText xml:space="preserve"> PAGEREF _Toc485125640 \h </w:instrText>
        </w:r>
        <w:r w:rsidR="006F57E9">
          <w:rPr>
            <w:noProof/>
            <w:webHidden/>
          </w:rPr>
        </w:r>
        <w:r w:rsidR="006F57E9">
          <w:rPr>
            <w:noProof/>
            <w:webHidden/>
          </w:rPr>
          <w:fldChar w:fldCharType="separate"/>
        </w:r>
        <w:r w:rsidR="006F57E9">
          <w:rPr>
            <w:noProof/>
            <w:webHidden/>
          </w:rPr>
          <w:t>xiv</w:t>
        </w:r>
        <w:r w:rsidR="006F57E9">
          <w:rPr>
            <w:noProof/>
            <w:webHidden/>
          </w:rPr>
          <w:fldChar w:fldCharType="end"/>
        </w:r>
      </w:hyperlink>
    </w:p>
    <w:p w14:paraId="27E0CBD9" w14:textId="71B3DA18" w:rsidR="006F57E9" w:rsidRDefault="00272F76">
      <w:pPr>
        <w:pStyle w:val="TableofFigures"/>
        <w:rPr>
          <w:rFonts w:asciiTheme="minorHAnsi" w:eastAsiaTheme="minorEastAsia" w:hAnsiTheme="minorHAnsi" w:cstheme="minorBidi"/>
          <w:noProof/>
          <w:sz w:val="22"/>
          <w:szCs w:val="22"/>
        </w:rPr>
      </w:pPr>
      <w:hyperlink w:anchor="_Toc485125641" w:history="1">
        <w:r w:rsidR="006F57E9" w:rsidRPr="008D25CF">
          <w:rPr>
            <w:rStyle w:val="Hyperlink"/>
            <w:noProof/>
          </w:rPr>
          <w:t>Figure ES- 2. Statewide Incremental Gas Savings by Scenario</w:t>
        </w:r>
        <w:r w:rsidR="006F57E9">
          <w:rPr>
            <w:noProof/>
            <w:webHidden/>
          </w:rPr>
          <w:tab/>
        </w:r>
        <w:r w:rsidR="006F57E9">
          <w:rPr>
            <w:noProof/>
            <w:webHidden/>
          </w:rPr>
          <w:fldChar w:fldCharType="begin"/>
        </w:r>
        <w:r w:rsidR="006F57E9">
          <w:rPr>
            <w:noProof/>
            <w:webHidden/>
          </w:rPr>
          <w:instrText xml:space="preserve"> PAGEREF _Toc485125641 \h </w:instrText>
        </w:r>
        <w:r w:rsidR="006F57E9">
          <w:rPr>
            <w:noProof/>
            <w:webHidden/>
          </w:rPr>
        </w:r>
        <w:r w:rsidR="006F57E9">
          <w:rPr>
            <w:noProof/>
            <w:webHidden/>
          </w:rPr>
          <w:fldChar w:fldCharType="separate"/>
        </w:r>
        <w:r w:rsidR="006F57E9">
          <w:rPr>
            <w:noProof/>
            <w:webHidden/>
          </w:rPr>
          <w:t>xv</w:t>
        </w:r>
        <w:r w:rsidR="006F57E9">
          <w:rPr>
            <w:noProof/>
            <w:webHidden/>
          </w:rPr>
          <w:fldChar w:fldCharType="end"/>
        </w:r>
      </w:hyperlink>
    </w:p>
    <w:p w14:paraId="75F8FB20" w14:textId="27A4D569" w:rsidR="006F57E9" w:rsidRDefault="00272F76">
      <w:pPr>
        <w:pStyle w:val="TableofFigures"/>
        <w:rPr>
          <w:rFonts w:asciiTheme="minorHAnsi" w:eastAsiaTheme="minorEastAsia" w:hAnsiTheme="minorHAnsi" w:cstheme="minorBidi"/>
          <w:noProof/>
          <w:sz w:val="22"/>
          <w:szCs w:val="22"/>
        </w:rPr>
      </w:pPr>
      <w:hyperlink w:anchor="_Toc485125642" w:history="1">
        <w:r w:rsidR="006F57E9" w:rsidRPr="008D25CF">
          <w:rPr>
            <w:rStyle w:val="Hyperlink"/>
            <w:noProof/>
          </w:rPr>
          <w:t>Figure ES- 3. Incremental Electric Potential Percent Savings</w:t>
        </w:r>
        <w:r w:rsidR="006F57E9">
          <w:rPr>
            <w:noProof/>
            <w:webHidden/>
          </w:rPr>
          <w:tab/>
        </w:r>
        <w:r w:rsidR="006F57E9">
          <w:rPr>
            <w:noProof/>
            <w:webHidden/>
          </w:rPr>
          <w:fldChar w:fldCharType="begin"/>
        </w:r>
        <w:r w:rsidR="006F57E9">
          <w:rPr>
            <w:noProof/>
            <w:webHidden/>
          </w:rPr>
          <w:instrText xml:space="preserve"> PAGEREF _Toc485125642 \h </w:instrText>
        </w:r>
        <w:r w:rsidR="006F57E9">
          <w:rPr>
            <w:noProof/>
            <w:webHidden/>
          </w:rPr>
        </w:r>
        <w:r w:rsidR="006F57E9">
          <w:rPr>
            <w:noProof/>
            <w:webHidden/>
          </w:rPr>
          <w:fldChar w:fldCharType="separate"/>
        </w:r>
        <w:r w:rsidR="006F57E9">
          <w:rPr>
            <w:noProof/>
            <w:webHidden/>
          </w:rPr>
          <w:t>xvi</w:t>
        </w:r>
        <w:r w:rsidR="006F57E9">
          <w:rPr>
            <w:noProof/>
            <w:webHidden/>
          </w:rPr>
          <w:fldChar w:fldCharType="end"/>
        </w:r>
      </w:hyperlink>
    </w:p>
    <w:p w14:paraId="6BC6FCC6" w14:textId="068785C4" w:rsidR="006F57E9" w:rsidRDefault="00272F76">
      <w:pPr>
        <w:pStyle w:val="TableofFigures"/>
        <w:rPr>
          <w:rFonts w:asciiTheme="minorHAnsi" w:eastAsiaTheme="minorEastAsia" w:hAnsiTheme="minorHAnsi" w:cstheme="minorBidi"/>
          <w:noProof/>
          <w:sz w:val="22"/>
          <w:szCs w:val="22"/>
        </w:rPr>
      </w:pPr>
      <w:hyperlink w:anchor="_Toc485125643" w:history="1">
        <w:r w:rsidR="006F57E9" w:rsidRPr="008D25CF">
          <w:rPr>
            <w:rStyle w:val="Hyperlink"/>
            <w:noProof/>
          </w:rPr>
          <w:t>Figure ES- 4. Incremental Gas Potential Percent Savings</w:t>
        </w:r>
        <w:r w:rsidR="006F57E9">
          <w:rPr>
            <w:noProof/>
            <w:webHidden/>
          </w:rPr>
          <w:tab/>
        </w:r>
        <w:r w:rsidR="006F57E9">
          <w:rPr>
            <w:noProof/>
            <w:webHidden/>
          </w:rPr>
          <w:fldChar w:fldCharType="begin"/>
        </w:r>
        <w:r w:rsidR="006F57E9">
          <w:rPr>
            <w:noProof/>
            <w:webHidden/>
          </w:rPr>
          <w:instrText xml:space="preserve"> PAGEREF _Toc485125643 \h </w:instrText>
        </w:r>
        <w:r w:rsidR="006F57E9">
          <w:rPr>
            <w:noProof/>
            <w:webHidden/>
          </w:rPr>
        </w:r>
        <w:r w:rsidR="006F57E9">
          <w:rPr>
            <w:noProof/>
            <w:webHidden/>
          </w:rPr>
          <w:fldChar w:fldCharType="separate"/>
        </w:r>
        <w:r w:rsidR="006F57E9">
          <w:rPr>
            <w:noProof/>
            <w:webHidden/>
          </w:rPr>
          <w:t>xvi</w:t>
        </w:r>
        <w:r w:rsidR="006F57E9">
          <w:rPr>
            <w:noProof/>
            <w:webHidden/>
          </w:rPr>
          <w:fldChar w:fldCharType="end"/>
        </w:r>
      </w:hyperlink>
    </w:p>
    <w:p w14:paraId="4BDC2566" w14:textId="21D20304" w:rsidR="006F57E9" w:rsidRDefault="00272F76">
      <w:pPr>
        <w:pStyle w:val="TableofFigures"/>
        <w:rPr>
          <w:rFonts w:asciiTheme="minorHAnsi" w:eastAsiaTheme="minorEastAsia" w:hAnsiTheme="minorHAnsi" w:cstheme="minorBidi"/>
          <w:noProof/>
          <w:sz w:val="22"/>
          <w:szCs w:val="22"/>
        </w:rPr>
      </w:pPr>
      <w:hyperlink w:anchor="_Toc485125644" w:history="1">
        <w:r w:rsidR="006F57E9" w:rsidRPr="008D25CF">
          <w:rPr>
            <w:rStyle w:val="Hyperlink"/>
            <w:noProof/>
          </w:rPr>
          <w:t>Figure ES- 5. Statewide Incremental Electric Market Potential by Scenario</w:t>
        </w:r>
        <w:r w:rsidR="006F57E9">
          <w:rPr>
            <w:noProof/>
            <w:webHidden/>
          </w:rPr>
          <w:tab/>
        </w:r>
        <w:r w:rsidR="006F57E9">
          <w:rPr>
            <w:noProof/>
            <w:webHidden/>
          </w:rPr>
          <w:fldChar w:fldCharType="begin"/>
        </w:r>
        <w:r w:rsidR="006F57E9">
          <w:rPr>
            <w:noProof/>
            <w:webHidden/>
          </w:rPr>
          <w:instrText xml:space="preserve"> PAGEREF _Toc485125644 \h </w:instrText>
        </w:r>
        <w:r w:rsidR="006F57E9">
          <w:rPr>
            <w:noProof/>
            <w:webHidden/>
          </w:rPr>
        </w:r>
        <w:r w:rsidR="006F57E9">
          <w:rPr>
            <w:noProof/>
            <w:webHidden/>
          </w:rPr>
          <w:fldChar w:fldCharType="separate"/>
        </w:r>
        <w:r w:rsidR="006F57E9">
          <w:rPr>
            <w:noProof/>
            <w:webHidden/>
          </w:rPr>
          <w:t>xvii</w:t>
        </w:r>
        <w:r w:rsidR="006F57E9">
          <w:rPr>
            <w:noProof/>
            <w:webHidden/>
          </w:rPr>
          <w:fldChar w:fldCharType="end"/>
        </w:r>
      </w:hyperlink>
    </w:p>
    <w:p w14:paraId="5793A26E" w14:textId="7BD7B7AF" w:rsidR="006F57E9" w:rsidRDefault="00272F76">
      <w:pPr>
        <w:pStyle w:val="TableofFigures"/>
        <w:rPr>
          <w:rFonts w:asciiTheme="minorHAnsi" w:eastAsiaTheme="minorEastAsia" w:hAnsiTheme="minorHAnsi" w:cstheme="minorBidi"/>
          <w:noProof/>
          <w:sz w:val="22"/>
          <w:szCs w:val="22"/>
        </w:rPr>
      </w:pPr>
      <w:hyperlink w:anchor="_Toc485125645" w:history="1">
        <w:r w:rsidR="006F57E9" w:rsidRPr="008D25CF">
          <w:rPr>
            <w:rStyle w:val="Hyperlink"/>
            <w:noProof/>
          </w:rPr>
          <w:t>Figure ES- 6. Statewide Incremental Gas Market Potential by Scenario</w:t>
        </w:r>
        <w:r w:rsidR="006F57E9">
          <w:rPr>
            <w:noProof/>
            <w:webHidden/>
          </w:rPr>
          <w:tab/>
        </w:r>
        <w:r w:rsidR="006F57E9">
          <w:rPr>
            <w:noProof/>
            <w:webHidden/>
          </w:rPr>
          <w:fldChar w:fldCharType="begin"/>
        </w:r>
        <w:r w:rsidR="006F57E9">
          <w:rPr>
            <w:noProof/>
            <w:webHidden/>
          </w:rPr>
          <w:instrText xml:space="preserve"> PAGEREF _Toc485125645 \h </w:instrText>
        </w:r>
        <w:r w:rsidR="006F57E9">
          <w:rPr>
            <w:noProof/>
            <w:webHidden/>
          </w:rPr>
        </w:r>
        <w:r w:rsidR="006F57E9">
          <w:rPr>
            <w:noProof/>
            <w:webHidden/>
          </w:rPr>
          <w:fldChar w:fldCharType="separate"/>
        </w:r>
        <w:r w:rsidR="006F57E9">
          <w:rPr>
            <w:noProof/>
            <w:webHidden/>
          </w:rPr>
          <w:t>xviii</w:t>
        </w:r>
        <w:r w:rsidR="006F57E9">
          <w:rPr>
            <w:noProof/>
            <w:webHidden/>
          </w:rPr>
          <w:fldChar w:fldCharType="end"/>
        </w:r>
      </w:hyperlink>
    </w:p>
    <w:p w14:paraId="55CB30C6" w14:textId="679788D7" w:rsidR="006F57E9" w:rsidRDefault="00272F76">
      <w:pPr>
        <w:pStyle w:val="TableofFigures"/>
        <w:rPr>
          <w:rFonts w:asciiTheme="minorHAnsi" w:eastAsiaTheme="minorEastAsia" w:hAnsiTheme="minorHAnsi" w:cstheme="minorBidi"/>
          <w:noProof/>
          <w:sz w:val="22"/>
          <w:szCs w:val="22"/>
        </w:rPr>
      </w:pPr>
      <w:hyperlink w:anchor="_Toc485125646" w:history="1">
        <w:r w:rsidR="006F57E9" w:rsidRPr="008D25CF">
          <w:rPr>
            <w:rStyle w:val="Hyperlink"/>
            <w:noProof/>
          </w:rPr>
          <w:t>Figure ES- 7. Statewide Spending by Scenario for IOU Rebate Programs</w:t>
        </w:r>
        <w:r w:rsidR="006F57E9">
          <w:rPr>
            <w:noProof/>
            <w:webHidden/>
          </w:rPr>
          <w:tab/>
        </w:r>
        <w:r w:rsidR="006F57E9">
          <w:rPr>
            <w:noProof/>
            <w:webHidden/>
          </w:rPr>
          <w:fldChar w:fldCharType="begin"/>
        </w:r>
        <w:r w:rsidR="006F57E9">
          <w:rPr>
            <w:noProof/>
            <w:webHidden/>
          </w:rPr>
          <w:instrText xml:space="preserve"> PAGEREF _Toc485125646 \h </w:instrText>
        </w:r>
        <w:r w:rsidR="006F57E9">
          <w:rPr>
            <w:noProof/>
            <w:webHidden/>
          </w:rPr>
        </w:r>
        <w:r w:rsidR="006F57E9">
          <w:rPr>
            <w:noProof/>
            <w:webHidden/>
          </w:rPr>
          <w:fldChar w:fldCharType="separate"/>
        </w:r>
        <w:r w:rsidR="006F57E9">
          <w:rPr>
            <w:noProof/>
            <w:webHidden/>
          </w:rPr>
          <w:t>xviii</w:t>
        </w:r>
        <w:r w:rsidR="006F57E9">
          <w:rPr>
            <w:noProof/>
            <w:webHidden/>
          </w:rPr>
          <w:fldChar w:fldCharType="end"/>
        </w:r>
      </w:hyperlink>
    </w:p>
    <w:p w14:paraId="6F1AFB76" w14:textId="2E38C1C6" w:rsidR="006F57E9" w:rsidRDefault="00272F76">
      <w:pPr>
        <w:pStyle w:val="TableofFigures"/>
        <w:rPr>
          <w:rFonts w:asciiTheme="minorHAnsi" w:eastAsiaTheme="minorEastAsia" w:hAnsiTheme="minorHAnsi" w:cstheme="minorBidi"/>
          <w:noProof/>
          <w:sz w:val="22"/>
          <w:szCs w:val="22"/>
        </w:rPr>
      </w:pPr>
      <w:hyperlink w:anchor="_Toc485125647" w:history="1">
        <w:r w:rsidR="006F57E9" w:rsidRPr="008D25CF">
          <w:rPr>
            <w:rStyle w:val="Hyperlink"/>
            <w:noProof/>
          </w:rPr>
          <w:t>Figure ES- 8. Statewide Incremental Electric Market Potential by Sector</w:t>
        </w:r>
        <w:r w:rsidR="006F57E9">
          <w:rPr>
            <w:noProof/>
            <w:webHidden/>
          </w:rPr>
          <w:tab/>
        </w:r>
        <w:r w:rsidR="006F57E9">
          <w:rPr>
            <w:noProof/>
            <w:webHidden/>
          </w:rPr>
          <w:fldChar w:fldCharType="begin"/>
        </w:r>
        <w:r w:rsidR="006F57E9">
          <w:rPr>
            <w:noProof/>
            <w:webHidden/>
          </w:rPr>
          <w:instrText xml:space="preserve"> PAGEREF _Toc485125647 \h </w:instrText>
        </w:r>
        <w:r w:rsidR="006F57E9">
          <w:rPr>
            <w:noProof/>
            <w:webHidden/>
          </w:rPr>
        </w:r>
        <w:r w:rsidR="006F57E9">
          <w:rPr>
            <w:noProof/>
            <w:webHidden/>
          </w:rPr>
          <w:fldChar w:fldCharType="separate"/>
        </w:r>
        <w:r w:rsidR="006F57E9">
          <w:rPr>
            <w:noProof/>
            <w:webHidden/>
          </w:rPr>
          <w:t>xx</w:t>
        </w:r>
        <w:r w:rsidR="006F57E9">
          <w:rPr>
            <w:noProof/>
            <w:webHidden/>
          </w:rPr>
          <w:fldChar w:fldCharType="end"/>
        </w:r>
      </w:hyperlink>
    </w:p>
    <w:p w14:paraId="792DCE68" w14:textId="3563CD08" w:rsidR="006F57E9" w:rsidRDefault="00272F76">
      <w:pPr>
        <w:pStyle w:val="TableofFigures"/>
        <w:rPr>
          <w:rFonts w:asciiTheme="minorHAnsi" w:eastAsiaTheme="minorEastAsia" w:hAnsiTheme="minorHAnsi" w:cstheme="minorBidi"/>
          <w:noProof/>
          <w:sz w:val="22"/>
          <w:szCs w:val="22"/>
        </w:rPr>
      </w:pPr>
      <w:hyperlink w:anchor="_Toc485125648" w:history="1">
        <w:r w:rsidR="006F57E9" w:rsidRPr="008D25CF">
          <w:rPr>
            <w:rStyle w:val="Hyperlink"/>
            <w:noProof/>
          </w:rPr>
          <w:t>Figure ES- 9. Statewide Incremental Gas Market Potential by Sector</w:t>
        </w:r>
        <w:r w:rsidR="006F57E9">
          <w:rPr>
            <w:noProof/>
            <w:webHidden/>
          </w:rPr>
          <w:tab/>
        </w:r>
        <w:r w:rsidR="006F57E9">
          <w:rPr>
            <w:noProof/>
            <w:webHidden/>
          </w:rPr>
          <w:fldChar w:fldCharType="begin"/>
        </w:r>
        <w:r w:rsidR="006F57E9">
          <w:rPr>
            <w:noProof/>
            <w:webHidden/>
          </w:rPr>
          <w:instrText xml:space="preserve"> PAGEREF _Toc485125648 \h </w:instrText>
        </w:r>
        <w:r w:rsidR="006F57E9">
          <w:rPr>
            <w:noProof/>
            <w:webHidden/>
          </w:rPr>
        </w:r>
        <w:r w:rsidR="006F57E9">
          <w:rPr>
            <w:noProof/>
            <w:webHidden/>
          </w:rPr>
          <w:fldChar w:fldCharType="separate"/>
        </w:r>
        <w:r w:rsidR="006F57E9">
          <w:rPr>
            <w:noProof/>
            <w:webHidden/>
          </w:rPr>
          <w:t>xx</w:t>
        </w:r>
        <w:r w:rsidR="006F57E9">
          <w:rPr>
            <w:noProof/>
            <w:webHidden/>
          </w:rPr>
          <w:fldChar w:fldCharType="end"/>
        </w:r>
      </w:hyperlink>
    </w:p>
    <w:p w14:paraId="6D546563" w14:textId="7A61DDFF" w:rsidR="006F57E9" w:rsidRDefault="00272F76">
      <w:pPr>
        <w:pStyle w:val="TableofFigures"/>
        <w:rPr>
          <w:rFonts w:asciiTheme="minorHAnsi" w:eastAsiaTheme="minorEastAsia" w:hAnsiTheme="minorHAnsi" w:cstheme="minorBidi"/>
          <w:noProof/>
          <w:sz w:val="22"/>
          <w:szCs w:val="22"/>
        </w:rPr>
      </w:pPr>
      <w:hyperlink w:anchor="_Toc485125649" w:history="1">
        <w:r w:rsidR="006F57E9" w:rsidRPr="008D25CF">
          <w:rPr>
            <w:rStyle w:val="Hyperlink"/>
            <w:noProof/>
          </w:rPr>
          <w:t>Figure ES- 10. Statewide Spending by Sector</w:t>
        </w:r>
        <w:r w:rsidR="006F57E9">
          <w:rPr>
            <w:noProof/>
            <w:webHidden/>
          </w:rPr>
          <w:tab/>
        </w:r>
        <w:r w:rsidR="006F57E9">
          <w:rPr>
            <w:noProof/>
            <w:webHidden/>
          </w:rPr>
          <w:fldChar w:fldCharType="begin"/>
        </w:r>
        <w:r w:rsidR="006F57E9">
          <w:rPr>
            <w:noProof/>
            <w:webHidden/>
          </w:rPr>
          <w:instrText xml:space="preserve"> PAGEREF _Toc485125649 \h </w:instrText>
        </w:r>
        <w:r w:rsidR="006F57E9">
          <w:rPr>
            <w:noProof/>
            <w:webHidden/>
          </w:rPr>
        </w:r>
        <w:r w:rsidR="006F57E9">
          <w:rPr>
            <w:noProof/>
            <w:webHidden/>
          </w:rPr>
          <w:fldChar w:fldCharType="separate"/>
        </w:r>
        <w:r w:rsidR="006F57E9">
          <w:rPr>
            <w:noProof/>
            <w:webHidden/>
          </w:rPr>
          <w:t>xxi</w:t>
        </w:r>
        <w:r w:rsidR="006F57E9">
          <w:rPr>
            <w:noProof/>
            <w:webHidden/>
          </w:rPr>
          <w:fldChar w:fldCharType="end"/>
        </w:r>
      </w:hyperlink>
    </w:p>
    <w:p w14:paraId="404B4BBF" w14:textId="5F22385C" w:rsidR="00A81D9C" w:rsidRPr="00957936" w:rsidRDefault="00A81D9C" w:rsidP="00CB6DF9">
      <w:pPr>
        <w:rPr>
          <w:rFonts w:cs="Arial"/>
          <w:szCs w:val="20"/>
        </w:rPr>
      </w:pPr>
      <w:r>
        <w:rPr>
          <w:rFonts w:cs="Arial"/>
          <w:szCs w:val="20"/>
        </w:rPr>
        <w:fldChar w:fldCharType="end"/>
      </w:r>
    </w:p>
    <w:p w14:paraId="23A5B0F6" w14:textId="77777777" w:rsidR="00CB6DF9" w:rsidRDefault="00CB6DF9" w:rsidP="00CB6DF9">
      <w:pPr>
        <w:pStyle w:val="Headerinfo"/>
        <w:rPr>
          <w:b/>
          <w:color w:val="auto"/>
          <w:sz w:val="20"/>
          <w:szCs w:val="20"/>
        </w:rPr>
      </w:pPr>
      <w:r w:rsidRPr="00957936">
        <w:rPr>
          <w:b/>
          <w:color w:val="auto"/>
          <w:sz w:val="20"/>
          <w:szCs w:val="20"/>
        </w:rPr>
        <w:t>Executive Summary Tables</w:t>
      </w:r>
    </w:p>
    <w:p w14:paraId="1DBF8496" w14:textId="1CB99D99" w:rsidR="006F57E9" w:rsidRDefault="00A81D9C">
      <w:pPr>
        <w:pStyle w:val="TableofFigures"/>
        <w:rPr>
          <w:rFonts w:asciiTheme="minorHAnsi" w:eastAsiaTheme="minorEastAsia" w:hAnsiTheme="minorHAnsi" w:cstheme="minorBidi"/>
          <w:noProof/>
          <w:sz w:val="22"/>
          <w:szCs w:val="22"/>
        </w:rPr>
      </w:pPr>
      <w:r>
        <w:rPr>
          <w:b/>
          <w:szCs w:val="20"/>
        </w:rPr>
        <w:fldChar w:fldCharType="begin"/>
      </w:r>
      <w:r>
        <w:rPr>
          <w:b/>
          <w:szCs w:val="20"/>
        </w:rPr>
        <w:instrText xml:space="preserve"> TOC \h \z \c "Table ES-" </w:instrText>
      </w:r>
      <w:r>
        <w:rPr>
          <w:b/>
          <w:szCs w:val="20"/>
        </w:rPr>
        <w:fldChar w:fldCharType="separate"/>
      </w:r>
      <w:hyperlink w:anchor="_Toc485125639" w:history="1">
        <w:r w:rsidR="006F57E9" w:rsidRPr="00F10505">
          <w:rPr>
            <w:rStyle w:val="Hyperlink"/>
            <w:noProof/>
          </w:rPr>
          <w:t>Table ES- 1. Draft Scenarios for Energy Efficiency Potential</w:t>
        </w:r>
        <w:r w:rsidR="006F57E9">
          <w:rPr>
            <w:noProof/>
            <w:webHidden/>
          </w:rPr>
          <w:tab/>
        </w:r>
        <w:r w:rsidR="006F57E9">
          <w:rPr>
            <w:noProof/>
            <w:webHidden/>
          </w:rPr>
          <w:fldChar w:fldCharType="begin"/>
        </w:r>
        <w:r w:rsidR="006F57E9">
          <w:rPr>
            <w:noProof/>
            <w:webHidden/>
          </w:rPr>
          <w:instrText xml:space="preserve"> PAGEREF _Toc485125639 \h </w:instrText>
        </w:r>
        <w:r w:rsidR="006F57E9">
          <w:rPr>
            <w:noProof/>
            <w:webHidden/>
          </w:rPr>
        </w:r>
        <w:r w:rsidR="006F57E9">
          <w:rPr>
            <w:noProof/>
            <w:webHidden/>
          </w:rPr>
          <w:fldChar w:fldCharType="separate"/>
        </w:r>
        <w:r w:rsidR="006F57E9">
          <w:rPr>
            <w:noProof/>
            <w:webHidden/>
          </w:rPr>
          <w:t>xiii</w:t>
        </w:r>
        <w:r w:rsidR="006F57E9">
          <w:rPr>
            <w:noProof/>
            <w:webHidden/>
          </w:rPr>
          <w:fldChar w:fldCharType="end"/>
        </w:r>
      </w:hyperlink>
    </w:p>
    <w:p w14:paraId="790D7154" w14:textId="16999A42" w:rsidR="00957936" w:rsidRPr="00957936" w:rsidRDefault="00A81D9C" w:rsidP="00CB6DF9">
      <w:pPr>
        <w:pStyle w:val="Headerinfo"/>
        <w:rPr>
          <w:color w:val="auto"/>
          <w:sz w:val="20"/>
          <w:szCs w:val="20"/>
        </w:rPr>
      </w:pPr>
      <w:r>
        <w:rPr>
          <w:b/>
          <w:color w:val="auto"/>
          <w:sz w:val="20"/>
          <w:szCs w:val="20"/>
        </w:rPr>
        <w:fldChar w:fldCharType="end"/>
      </w:r>
    </w:p>
    <w:p w14:paraId="13C1A0A6" w14:textId="77777777" w:rsidR="00CB6DF9" w:rsidRPr="00957936" w:rsidRDefault="00CB6DF9" w:rsidP="00CB6DF9">
      <w:pPr>
        <w:pStyle w:val="Headerinfo"/>
        <w:rPr>
          <w:b/>
          <w:color w:val="auto"/>
          <w:sz w:val="20"/>
          <w:szCs w:val="20"/>
        </w:rPr>
      </w:pPr>
      <w:r w:rsidRPr="00957936">
        <w:rPr>
          <w:b/>
          <w:color w:val="auto"/>
          <w:sz w:val="20"/>
          <w:szCs w:val="20"/>
        </w:rPr>
        <w:t>Figures</w:t>
      </w:r>
    </w:p>
    <w:p w14:paraId="022B132A" w14:textId="052D8855" w:rsidR="006F57E9" w:rsidRDefault="00CB6DF9">
      <w:pPr>
        <w:pStyle w:val="TableofFigures"/>
        <w:rPr>
          <w:rFonts w:asciiTheme="minorHAnsi" w:eastAsiaTheme="minorEastAsia" w:hAnsiTheme="minorHAnsi" w:cstheme="minorBidi"/>
          <w:noProof/>
          <w:sz w:val="22"/>
          <w:szCs w:val="22"/>
        </w:rPr>
      </w:pPr>
      <w:r w:rsidRPr="00957936">
        <w:rPr>
          <w:rFonts w:cs="Arial"/>
          <w:szCs w:val="20"/>
        </w:rPr>
        <w:fldChar w:fldCharType="begin"/>
      </w:r>
      <w:r w:rsidRPr="00957936">
        <w:rPr>
          <w:rFonts w:cs="Arial"/>
          <w:szCs w:val="20"/>
        </w:rPr>
        <w:instrText xml:space="preserve"> TOC \c "Figure" </w:instrText>
      </w:r>
      <w:r w:rsidRPr="00957936">
        <w:rPr>
          <w:rFonts w:cs="Arial"/>
          <w:szCs w:val="20"/>
        </w:rPr>
        <w:fldChar w:fldCharType="separate"/>
      </w:r>
      <w:r w:rsidR="006F57E9">
        <w:rPr>
          <w:noProof/>
        </w:rPr>
        <w:t>Figure 2</w:t>
      </w:r>
      <w:r w:rsidR="006F57E9">
        <w:rPr>
          <w:noProof/>
        </w:rPr>
        <w:noBreakHyphen/>
        <w:t>1. Stock Flow within a Technology Group</w:t>
      </w:r>
      <w:r w:rsidR="006F57E9">
        <w:rPr>
          <w:noProof/>
        </w:rPr>
        <w:tab/>
      </w:r>
      <w:r w:rsidR="006F57E9">
        <w:rPr>
          <w:noProof/>
        </w:rPr>
        <w:fldChar w:fldCharType="begin"/>
      </w:r>
      <w:r w:rsidR="006F57E9">
        <w:rPr>
          <w:noProof/>
        </w:rPr>
        <w:instrText xml:space="preserve"> PAGEREF _Toc485125501 \h </w:instrText>
      </w:r>
      <w:r w:rsidR="006F57E9">
        <w:rPr>
          <w:noProof/>
        </w:rPr>
      </w:r>
      <w:r w:rsidR="006F57E9">
        <w:rPr>
          <w:noProof/>
        </w:rPr>
        <w:fldChar w:fldCharType="separate"/>
      </w:r>
      <w:r w:rsidR="006F57E9">
        <w:rPr>
          <w:noProof/>
        </w:rPr>
        <w:t>10</w:t>
      </w:r>
      <w:r w:rsidR="006F57E9">
        <w:rPr>
          <w:noProof/>
        </w:rPr>
        <w:fldChar w:fldCharType="end"/>
      </w:r>
    </w:p>
    <w:p w14:paraId="498AE6EF" w14:textId="7F277E44" w:rsidR="006F57E9" w:rsidRDefault="006F57E9">
      <w:pPr>
        <w:pStyle w:val="TableofFigures"/>
        <w:rPr>
          <w:rFonts w:asciiTheme="minorHAnsi" w:eastAsiaTheme="minorEastAsia" w:hAnsiTheme="minorHAnsi" w:cstheme="minorBidi"/>
          <w:noProof/>
          <w:sz w:val="22"/>
          <w:szCs w:val="22"/>
        </w:rPr>
      </w:pPr>
      <w:r>
        <w:rPr>
          <w:noProof/>
        </w:rPr>
        <w:t>Figure 2</w:t>
      </w:r>
      <w:r>
        <w:rPr>
          <w:noProof/>
        </w:rPr>
        <w:noBreakHyphen/>
        <w:t>2. Three-Step Approach to Calculating Market Potential for Rebated Measures</w:t>
      </w:r>
      <w:r>
        <w:rPr>
          <w:noProof/>
        </w:rPr>
        <w:tab/>
      </w:r>
      <w:r>
        <w:rPr>
          <w:noProof/>
        </w:rPr>
        <w:fldChar w:fldCharType="begin"/>
      </w:r>
      <w:r>
        <w:rPr>
          <w:noProof/>
        </w:rPr>
        <w:instrText xml:space="preserve"> PAGEREF _Toc485125502 \h </w:instrText>
      </w:r>
      <w:r>
        <w:rPr>
          <w:noProof/>
        </w:rPr>
      </w:r>
      <w:r>
        <w:rPr>
          <w:noProof/>
        </w:rPr>
        <w:fldChar w:fldCharType="separate"/>
      </w:r>
      <w:r>
        <w:rPr>
          <w:noProof/>
        </w:rPr>
        <w:t>12</w:t>
      </w:r>
      <w:r>
        <w:rPr>
          <w:noProof/>
        </w:rPr>
        <w:fldChar w:fldCharType="end"/>
      </w:r>
    </w:p>
    <w:p w14:paraId="70CA2CE6" w14:textId="6D50729F" w:rsidR="006F57E9" w:rsidRDefault="006F57E9">
      <w:pPr>
        <w:pStyle w:val="TableofFigures"/>
        <w:rPr>
          <w:rFonts w:asciiTheme="minorHAnsi" w:eastAsiaTheme="minorEastAsia" w:hAnsiTheme="minorHAnsi" w:cstheme="minorBidi"/>
          <w:noProof/>
          <w:sz w:val="22"/>
          <w:szCs w:val="22"/>
        </w:rPr>
      </w:pPr>
      <w:r>
        <w:rPr>
          <w:noProof/>
        </w:rPr>
        <w:t>Figure 2</w:t>
      </w:r>
      <w:r>
        <w:rPr>
          <w:noProof/>
        </w:rPr>
        <w:noBreakHyphen/>
        <w:t>3. The Bass Diffusion Framework: A Dynamic Approach to Calculating Measure Adoption</w:t>
      </w:r>
      <w:r>
        <w:rPr>
          <w:noProof/>
        </w:rPr>
        <w:tab/>
      </w:r>
      <w:r>
        <w:rPr>
          <w:noProof/>
        </w:rPr>
        <w:fldChar w:fldCharType="begin"/>
      </w:r>
      <w:r>
        <w:rPr>
          <w:noProof/>
        </w:rPr>
        <w:instrText xml:space="preserve"> PAGEREF _Toc485125503 \h </w:instrText>
      </w:r>
      <w:r>
        <w:rPr>
          <w:noProof/>
        </w:rPr>
      </w:r>
      <w:r>
        <w:rPr>
          <w:noProof/>
        </w:rPr>
        <w:fldChar w:fldCharType="separate"/>
      </w:r>
      <w:r>
        <w:rPr>
          <w:noProof/>
        </w:rPr>
        <w:t>13</w:t>
      </w:r>
      <w:r>
        <w:rPr>
          <w:noProof/>
        </w:rPr>
        <w:fldChar w:fldCharType="end"/>
      </w:r>
    </w:p>
    <w:p w14:paraId="17296EBD" w14:textId="32DA323B" w:rsidR="006F57E9" w:rsidRDefault="006F57E9">
      <w:pPr>
        <w:pStyle w:val="TableofFigures"/>
        <w:rPr>
          <w:rFonts w:asciiTheme="minorHAnsi" w:eastAsiaTheme="minorEastAsia" w:hAnsiTheme="minorHAnsi" w:cstheme="minorBidi"/>
          <w:noProof/>
          <w:sz w:val="22"/>
          <w:szCs w:val="22"/>
        </w:rPr>
      </w:pPr>
      <w:r>
        <w:rPr>
          <w:noProof/>
        </w:rPr>
        <w:t>Figure 2</w:t>
      </w:r>
      <w:r>
        <w:rPr>
          <w:noProof/>
        </w:rPr>
        <w:noBreakHyphen/>
        <w:t>4. Illustration of Logit Willingness Curve</w:t>
      </w:r>
      <w:r>
        <w:rPr>
          <w:noProof/>
        </w:rPr>
        <w:tab/>
      </w:r>
      <w:r>
        <w:rPr>
          <w:noProof/>
        </w:rPr>
        <w:fldChar w:fldCharType="begin"/>
      </w:r>
      <w:r>
        <w:rPr>
          <w:noProof/>
        </w:rPr>
        <w:instrText xml:space="preserve"> PAGEREF _Toc485125504 \h </w:instrText>
      </w:r>
      <w:r>
        <w:rPr>
          <w:noProof/>
        </w:rPr>
      </w:r>
      <w:r>
        <w:rPr>
          <w:noProof/>
        </w:rPr>
        <w:fldChar w:fldCharType="separate"/>
      </w:r>
      <w:r>
        <w:rPr>
          <w:noProof/>
        </w:rPr>
        <w:t>14</w:t>
      </w:r>
      <w:r>
        <w:rPr>
          <w:noProof/>
        </w:rPr>
        <w:fldChar w:fldCharType="end"/>
      </w:r>
    </w:p>
    <w:p w14:paraId="2B8A13D1" w14:textId="5871B19E" w:rsidR="006F57E9" w:rsidRDefault="006F57E9">
      <w:pPr>
        <w:pStyle w:val="TableofFigures"/>
        <w:rPr>
          <w:rFonts w:asciiTheme="minorHAnsi" w:eastAsiaTheme="minorEastAsia" w:hAnsiTheme="minorHAnsi" w:cstheme="minorBidi"/>
          <w:noProof/>
          <w:sz w:val="22"/>
          <w:szCs w:val="22"/>
        </w:rPr>
      </w:pPr>
      <w:r>
        <w:rPr>
          <w:noProof/>
        </w:rPr>
        <w:t>Figure 2</w:t>
      </w:r>
      <w:r>
        <w:rPr>
          <w:noProof/>
        </w:rPr>
        <w:noBreakHyphen/>
        <w:t>5. Payback Acceptance Curve for AIMS sectors</w:t>
      </w:r>
      <w:r>
        <w:rPr>
          <w:noProof/>
        </w:rPr>
        <w:tab/>
      </w:r>
      <w:r>
        <w:rPr>
          <w:noProof/>
        </w:rPr>
        <w:fldChar w:fldCharType="begin"/>
      </w:r>
      <w:r>
        <w:rPr>
          <w:noProof/>
        </w:rPr>
        <w:instrText xml:space="preserve"> PAGEREF _Toc485125505 \h </w:instrText>
      </w:r>
      <w:r>
        <w:rPr>
          <w:noProof/>
        </w:rPr>
      </w:r>
      <w:r>
        <w:rPr>
          <w:noProof/>
        </w:rPr>
        <w:fldChar w:fldCharType="separate"/>
      </w:r>
      <w:r>
        <w:rPr>
          <w:noProof/>
        </w:rPr>
        <w:t>15</w:t>
      </w:r>
      <w:r>
        <w:rPr>
          <w:noProof/>
        </w:rPr>
        <w:fldChar w:fldCharType="end"/>
      </w:r>
    </w:p>
    <w:p w14:paraId="6B26F384" w14:textId="74C70686" w:rsidR="006F57E9" w:rsidRDefault="006F57E9">
      <w:pPr>
        <w:pStyle w:val="TableofFigures"/>
        <w:rPr>
          <w:rFonts w:asciiTheme="minorHAnsi" w:eastAsiaTheme="minorEastAsia" w:hAnsiTheme="minorHAnsi" w:cstheme="minorBidi"/>
          <w:noProof/>
          <w:sz w:val="22"/>
          <w:szCs w:val="22"/>
        </w:rPr>
      </w:pPr>
      <w:r>
        <w:rPr>
          <w:noProof/>
        </w:rPr>
        <w:t>Figure 2</w:t>
      </w:r>
      <w:r>
        <w:rPr>
          <w:noProof/>
        </w:rPr>
        <w:noBreakHyphen/>
        <w:t>6. Cumulative Savings Illustration</w:t>
      </w:r>
      <w:r>
        <w:rPr>
          <w:noProof/>
        </w:rPr>
        <w:tab/>
      </w:r>
      <w:r>
        <w:rPr>
          <w:noProof/>
        </w:rPr>
        <w:fldChar w:fldCharType="begin"/>
      </w:r>
      <w:r>
        <w:rPr>
          <w:noProof/>
        </w:rPr>
        <w:instrText xml:space="preserve"> PAGEREF _Toc485125506 \h </w:instrText>
      </w:r>
      <w:r>
        <w:rPr>
          <w:noProof/>
        </w:rPr>
      </w:r>
      <w:r>
        <w:rPr>
          <w:noProof/>
        </w:rPr>
        <w:fldChar w:fldCharType="separate"/>
      </w:r>
      <w:r>
        <w:rPr>
          <w:noProof/>
        </w:rPr>
        <w:t>16</w:t>
      </w:r>
      <w:r>
        <w:rPr>
          <w:noProof/>
        </w:rPr>
        <w:fldChar w:fldCharType="end"/>
      </w:r>
    </w:p>
    <w:p w14:paraId="505910CE" w14:textId="782C3D02" w:rsidR="006F57E9" w:rsidRDefault="006F57E9">
      <w:pPr>
        <w:pStyle w:val="TableofFigures"/>
        <w:rPr>
          <w:rFonts w:asciiTheme="minorHAnsi" w:eastAsiaTheme="minorEastAsia" w:hAnsiTheme="minorHAnsi" w:cstheme="minorBidi"/>
          <w:noProof/>
          <w:sz w:val="22"/>
          <w:szCs w:val="22"/>
        </w:rPr>
      </w:pPr>
      <w:r>
        <w:rPr>
          <w:noProof/>
        </w:rPr>
        <w:t>Figure 2</w:t>
      </w:r>
      <w:r>
        <w:rPr>
          <w:noProof/>
        </w:rPr>
        <w:noBreakHyphen/>
        <w:t>7. Below Code NTG Illustration</w:t>
      </w:r>
      <w:r>
        <w:rPr>
          <w:noProof/>
        </w:rPr>
        <w:tab/>
      </w:r>
      <w:r>
        <w:rPr>
          <w:noProof/>
        </w:rPr>
        <w:fldChar w:fldCharType="begin"/>
      </w:r>
      <w:r>
        <w:rPr>
          <w:noProof/>
        </w:rPr>
        <w:instrText xml:space="preserve"> PAGEREF _Toc485125507 \h </w:instrText>
      </w:r>
      <w:r>
        <w:rPr>
          <w:noProof/>
        </w:rPr>
      </w:r>
      <w:r>
        <w:rPr>
          <w:noProof/>
        </w:rPr>
        <w:fldChar w:fldCharType="separate"/>
      </w:r>
      <w:r>
        <w:rPr>
          <w:noProof/>
        </w:rPr>
        <w:t>17</w:t>
      </w:r>
      <w:r>
        <w:rPr>
          <w:noProof/>
        </w:rPr>
        <w:fldChar w:fldCharType="end"/>
      </w:r>
    </w:p>
    <w:p w14:paraId="03E68070" w14:textId="615D66DB" w:rsidR="006F57E9" w:rsidRDefault="006F57E9">
      <w:pPr>
        <w:pStyle w:val="TableofFigures"/>
        <w:rPr>
          <w:rFonts w:asciiTheme="minorHAnsi" w:eastAsiaTheme="minorEastAsia" w:hAnsiTheme="minorHAnsi" w:cstheme="minorBidi"/>
          <w:noProof/>
          <w:sz w:val="22"/>
          <w:szCs w:val="22"/>
        </w:rPr>
      </w:pPr>
      <w:r>
        <w:rPr>
          <w:noProof/>
        </w:rPr>
        <w:t>Figure 2</w:t>
      </w:r>
      <w:r>
        <w:rPr>
          <w:noProof/>
        </w:rPr>
        <w:noBreakHyphen/>
        <w:t>8. C&amp;S Savings Calculation Methodology</w:t>
      </w:r>
      <w:r>
        <w:rPr>
          <w:noProof/>
        </w:rPr>
        <w:tab/>
      </w:r>
      <w:r>
        <w:rPr>
          <w:noProof/>
        </w:rPr>
        <w:fldChar w:fldCharType="begin"/>
      </w:r>
      <w:r>
        <w:rPr>
          <w:noProof/>
        </w:rPr>
        <w:instrText xml:space="preserve"> PAGEREF _Toc485125508 \h </w:instrText>
      </w:r>
      <w:r>
        <w:rPr>
          <w:noProof/>
        </w:rPr>
      </w:r>
      <w:r>
        <w:rPr>
          <w:noProof/>
        </w:rPr>
        <w:fldChar w:fldCharType="separate"/>
      </w:r>
      <w:r>
        <w:rPr>
          <w:noProof/>
        </w:rPr>
        <w:t>24</w:t>
      </w:r>
      <w:r>
        <w:rPr>
          <w:noProof/>
        </w:rPr>
        <w:fldChar w:fldCharType="end"/>
      </w:r>
    </w:p>
    <w:p w14:paraId="3CD9F4BF" w14:textId="7A414FF7"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1. Res/Com Technology Selection Process</w:t>
      </w:r>
      <w:r>
        <w:rPr>
          <w:noProof/>
        </w:rPr>
        <w:tab/>
      </w:r>
      <w:r>
        <w:rPr>
          <w:noProof/>
        </w:rPr>
        <w:fldChar w:fldCharType="begin"/>
      </w:r>
      <w:r>
        <w:rPr>
          <w:noProof/>
        </w:rPr>
        <w:instrText xml:space="preserve"> PAGEREF _Toc485125509 \h </w:instrText>
      </w:r>
      <w:r>
        <w:rPr>
          <w:noProof/>
        </w:rPr>
      </w:r>
      <w:r>
        <w:rPr>
          <w:noProof/>
        </w:rPr>
        <w:fldChar w:fldCharType="separate"/>
      </w:r>
      <w:r>
        <w:rPr>
          <w:noProof/>
        </w:rPr>
        <w:t>39</w:t>
      </w:r>
      <w:r>
        <w:rPr>
          <w:noProof/>
        </w:rPr>
        <w:fldChar w:fldCharType="end"/>
      </w:r>
    </w:p>
    <w:p w14:paraId="108F15BC" w14:textId="3F18687C"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2. Res/Com Technology List Development Process</w:t>
      </w:r>
      <w:r>
        <w:rPr>
          <w:noProof/>
        </w:rPr>
        <w:tab/>
      </w:r>
      <w:r>
        <w:rPr>
          <w:noProof/>
        </w:rPr>
        <w:fldChar w:fldCharType="begin"/>
      </w:r>
      <w:r>
        <w:rPr>
          <w:noProof/>
        </w:rPr>
        <w:instrText xml:space="preserve"> PAGEREF _Toc485125510 \h </w:instrText>
      </w:r>
      <w:r>
        <w:rPr>
          <w:noProof/>
        </w:rPr>
      </w:r>
      <w:r>
        <w:rPr>
          <w:noProof/>
        </w:rPr>
        <w:fldChar w:fldCharType="separate"/>
      </w:r>
      <w:r>
        <w:rPr>
          <w:noProof/>
        </w:rPr>
        <w:t>40</w:t>
      </w:r>
      <w:r>
        <w:rPr>
          <w:noProof/>
        </w:rPr>
        <w:fldChar w:fldCharType="end"/>
      </w:r>
    </w:p>
    <w:p w14:paraId="5C4198AC" w14:textId="3CE839D1"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3. Projected LED Technology Improvements, 2013-2030</w:t>
      </w:r>
      <w:r>
        <w:rPr>
          <w:noProof/>
        </w:rPr>
        <w:tab/>
      </w:r>
      <w:r>
        <w:rPr>
          <w:noProof/>
        </w:rPr>
        <w:fldChar w:fldCharType="begin"/>
      </w:r>
      <w:r>
        <w:rPr>
          <w:noProof/>
        </w:rPr>
        <w:instrText xml:space="preserve"> PAGEREF _Toc485125511 \h </w:instrText>
      </w:r>
      <w:r>
        <w:rPr>
          <w:noProof/>
        </w:rPr>
      </w:r>
      <w:r>
        <w:rPr>
          <w:noProof/>
        </w:rPr>
        <w:fldChar w:fldCharType="separate"/>
      </w:r>
      <w:r>
        <w:rPr>
          <w:noProof/>
        </w:rPr>
        <w:t>48</w:t>
      </w:r>
      <w:r>
        <w:rPr>
          <w:noProof/>
        </w:rPr>
        <w:fldChar w:fldCharType="end"/>
      </w:r>
    </w:p>
    <w:p w14:paraId="5B8AF458" w14:textId="455A2250"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4. Projected LED Cost Reduction Profiles, 2013-2030</w:t>
      </w:r>
      <w:r>
        <w:rPr>
          <w:noProof/>
        </w:rPr>
        <w:tab/>
      </w:r>
      <w:r>
        <w:rPr>
          <w:noProof/>
        </w:rPr>
        <w:fldChar w:fldCharType="begin"/>
      </w:r>
      <w:r>
        <w:rPr>
          <w:noProof/>
        </w:rPr>
        <w:instrText xml:space="preserve"> PAGEREF _Toc485125512 \h </w:instrText>
      </w:r>
      <w:r>
        <w:rPr>
          <w:noProof/>
        </w:rPr>
      </w:r>
      <w:r>
        <w:rPr>
          <w:noProof/>
        </w:rPr>
        <w:fldChar w:fldCharType="separate"/>
      </w:r>
      <w:r>
        <w:rPr>
          <w:noProof/>
        </w:rPr>
        <w:t>49</w:t>
      </w:r>
      <w:r>
        <w:rPr>
          <w:noProof/>
        </w:rPr>
        <w:fldChar w:fldCharType="end"/>
      </w:r>
    </w:p>
    <w:p w14:paraId="7CCCC974" w14:textId="662B65F0"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5. Industrial and Agriculture Technology List Development Process</w:t>
      </w:r>
      <w:r>
        <w:rPr>
          <w:noProof/>
        </w:rPr>
        <w:tab/>
      </w:r>
      <w:r>
        <w:rPr>
          <w:noProof/>
        </w:rPr>
        <w:fldChar w:fldCharType="begin"/>
      </w:r>
      <w:r>
        <w:rPr>
          <w:noProof/>
        </w:rPr>
        <w:instrText xml:space="preserve"> PAGEREF _Toc485125513 \h </w:instrText>
      </w:r>
      <w:r>
        <w:rPr>
          <w:noProof/>
        </w:rPr>
      </w:r>
      <w:r>
        <w:rPr>
          <w:noProof/>
        </w:rPr>
        <w:fldChar w:fldCharType="separate"/>
      </w:r>
      <w:r>
        <w:rPr>
          <w:noProof/>
        </w:rPr>
        <w:t>52</w:t>
      </w:r>
      <w:r>
        <w:rPr>
          <w:noProof/>
        </w:rPr>
        <w:fldChar w:fldCharType="end"/>
      </w:r>
    </w:p>
    <w:p w14:paraId="57596026" w14:textId="2E4041FA"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6. Whole Building Retrofit Savings Calculation and Viability Check</w:t>
      </w:r>
      <w:r>
        <w:rPr>
          <w:noProof/>
        </w:rPr>
        <w:tab/>
      </w:r>
      <w:r>
        <w:rPr>
          <w:noProof/>
        </w:rPr>
        <w:fldChar w:fldCharType="begin"/>
      </w:r>
      <w:r>
        <w:rPr>
          <w:noProof/>
        </w:rPr>
        <w:instrText xml:space="preserve"> PAGEREF _Toc485125514 \h </w:instrText>
      </w:r>
      <w:r>
        <w:rPr>
          <w:noProof/>
        </w:rPr>
      </w:r>
      <w:r>
        <w:rPr>
          <w:noProof/>
        </w:rPr>
        <w:fldChar w:fldCharType="separate"/>
      </w:r>
      <w:r>
        <w:rPr>
          <w:noProof/>
        </w:rPr>
        <w:t>63</w:t>
      </w:r>
      <w:r>
        <w:rPr>
          <w:noProof/>
        </w:rPr>
        <w:fldChar w:fldCharType="end"/>
      </w:r>
    </w:p>
    <w:p w14:paraId="1ACA7922" w14:textId="3D6CD0EE"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7. Selection Process for Residential and Commercial BROs Energy Efficiency Programs</w:t>
      </w:r>
      <w:r>
        <w:rPr>
          <w:noProof/>
        </w:rPr>
        <w:tab/>
      </w:r>
      <w:r>
        <w:rPr>
          <w:noProof/>
        </w:rPr>
        <w:fldChar w:fldCharType="begin"/>
      </w:r>
      <w:r>
        <w:rPr>
          <w:noProof/>
        </w:rPr>
        <w:instrText xml:space="preserve"> PAGEREF _Toc485125515 \h </w:instrText>
      </w:r>
      <w:r>
        <w:rPr>
          <w:noProof/>
        </w:rPr>
      </w:r>
      <w:r>
        <w:rPr>
          <w:noProof/>
        </w:rPr>
        <w:fldChar w:fldCharType="separate"/>
      </w:r>
      <w:r>
        <w:rPr>
          <w:noProof/>
        </w:rPr>
        <w:t>67</w:t>
      </w:r>
      <w:r>
        <w:rPr>
          <w:noProof/>
        </w:rPr>
        <w:fldChar w:fldCharType="end"/>
      </w:r>
    </w:p>
    <w:p w14:paraId="6495D355" w14:textId="7E57BB97"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8. Residential BROs</w:t>
      </w:r>
      <w:r>
        <w:rPr>
          <w:noProof/>
        </w:rPr>
        <w:tab/>
      </w:r>
      <w:r>
        <w:rPr>
          <w:noProof/>
        </w:rPr>
        <w:fldChar w:fldCharType="begin"/>
      </w:r>
      <w:r>
        <w:rPr>
          <w:noProof/>
        </w:rPr>
        <w:instrText xml:space="preserve"> PAGEREF _Toc485125516 \h </w:instrText>
      </w:r>
      <w:r>
        <w:rPr>
          <w:noProof/>
        </w:rPr>
      </w:r>
      <w:r>
        <w:rPr>
          <w:noProof/>
        </w:rPr>
        <w:fldChar w:fldCharType="separate"/>
      </w:r>
      <w:r>
        <w:rPr>
          <w:noProof/>
        </w:rPr>
        <w:t>69</w:t>
      </w:r>
      <w:r>
        <w:rPr>
          <w:noProof/>
        </w:rPr>
        <w:fldChar w:fldCharType="end"/>
      </w:r>
    </w:p>
    <w:p w14:paraId="62D956BE" w14:textId="57D01494" w:rsidR="006F57E9" w:rsidRDefault="006F57E9">
      <w:pPr>
        <w:pStyle w:val="TableofFigures"/>
        <w:rPr>
          <w:rFonts w:asciiTheme="minorHAnsi" w:eastAsiaTheme="minorEastAsia" w:hAnsiTheme="minorHAnsi" w:cstheme="minorBidi"/>
          <w:noProof/>
          <w:sz w:val="22"/>
          <w:szCs w:val="22"/>
        </w:rPr>
      </w:pPr>
      <w:r>
        <w:rPr>
          <w:noProof/>
        </w:rPr>
        <w:t>Figure 3</w:t>
      </w:r>
      <w:r>
        <w:rPr>
          <w:noProof/>
        </w:rPr>
        <w:noBreakHyphen/>
        <w:t>9. Commercial BROs</w:t>
      </w:r>
      <w:r>
        <w:rPr>
          <w:noProof/>
        </w:rPr>
        <w:tab/>
      </w:r>
      <w:r>
        <w:rPr>
          <w:noProof/>
        </w:rPr>
        <w:fldChar w:fldCharType="begin"/>
      </w:r>
      <w:r>
        <w:rPr>
          <w:noProof/>
        </w:rPr>
        <w:instrText xml:space="preserve"> PAGEREF _Toc485125517 \h </w:instrText>
      </w:r>
      <w:r>
        <w:rPr>
          <w:noProof/>
        </w:rPr>
      </w:r>
      <w:r>
        <w:rPr>
          <w:noProof/>
        </w:rPr>
        <w:fldChar w:fldCharType="separate"/>
      </w:r>
      <w:r>
        <w:rPr>
          <w:noProof/>
        </w:rPr>
        <w:t>69</w:t>
      </w:r>
      <w:r>
        <w:rPr>
          <w:noProof/>
        </w:rPr>
        <w:fldChar w:fldCharType="end"/>
      </w:r>
    </w:p>
    <w:p w14:paraId="46E1A252" w14:textId="1CA268DC"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 Incremental Electric Potential Percent Savings</w:t>
      </w:r>
      <w:r>
        <w:rPr>
          <w:noProof/>
        </w:rPr>
        <w:tab/>
      </w:r>
      <w:r>
        <w:rPr>
          <w:noProof/>
        </w:rPr>
        <w:fldChar w:fldCharType="begin"/>
      </w:r>
      <w:r>
        <w:rPr>
          <w:noProof/>
        </w:rPr>
        <w:instrText xml:space="preserve"> PAGEREF _Toc485125518 \h </w:instrText>
      </w:r>
      <w:r>
        <w:rPr>
          <w:noProof/>
        </w:rPr>
      </w:r>
      <w:r>
        <w:rPr>
          <w:noProof/>
        </w:rPr>
        <w:fldChar w:fldCharType="separate"/>
      </w:r>
      <w:r>
        <w:rPr>
          <w:noProof/>
        </w:rPr>
        <w:t>82</w:t>
      </w:r>
      <w:r>
        <w:rPr>
          <w:noProof/>
        </w:rPr>
        <w:fldChar w:fldCharType="end"/>
      </w:r>
    </w:p>
    <w:p w14:paraId="591D01D3" w14:textId="61E0AA51"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 Incremental Gas Potential Percent Savings</w:t>
      </w:r>
      <w:r>
        <w:rPr>
          <w:noProof/>
        </w:rPr>
        <w:tab/>
      </w:r>
      <w:r>
        <w:rPr>
          <w:noProof/>
        </w:rPr>
        <w:fldChar w:fldCharType="begin"/>
      </w:r>
      <w:r>
        <w:rPr>
          <w:noProof/>
        </w:rPr>
        <w:instrText xml:space="preserve"> PAGEREF _Toc485125519 \h </w:instrText>
      </w:r>
      <w:r>
        <w:rPr>
          <w:noProof/>
        </w:rPr>
      </w:r>
      <w:r>
        <w:rPr>
          <w:noProof/>
        </w:rPr>
        <w:fldChar w:fldCharType="separate"/>
      </w:r>
      <w:r>
        <w:rPr>
          <w:noProof/>
        </w:rPr>
        <w:t>82</w:t>
      </w:r>
      <w:r>
        <w:rPr>
          <w:noProof/>
        </w:rPr>
        <w:fldChar w:fldCharType="end"/>
      </w:r>
    </w:p>
    <w:p w14:paraId="48DBD3EB" w14:textId="7C309E08"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3.Statewide Incremental Electric Market Potential by Scenario</w:t>
      </w:r>
      <w:r>
        <w:rPr>
          <w:noProof/>
        </w:rPr>
        <w:tab/>
      </w:r>
      <w:r>
        <w:rPr>
          <w:noProof/>
        </w:rPr>
        <w:fldChar w:fldCharType="begin"/>
      </w:r>
      <w:r>
        <w:rPr>
          <w:noProof/>
        </w:rPr>
        <w:instrText xml:space="preserve"> PAGEREF _Toc485125520 \h </w:instrText>
      </w:r>
      <w:r>
        <w:rPr>
          <w:noProof/>
        </w:rPr>
      </w:r>
      <w:r>
        <w:rPr>
          <w:noProof/>
        </w:rPr>
        <w:fldChar w:fldCharType="separate"/>
      </w:r>
      <w:r>
        <w:rPr>
          <w:noProof/>
        </w:rPr>
        <w:t>83</w:t>
      </w:r>
      <w:r>
        <w:rPr>
          <w:noProof/>
        </w:rPr>
        <w:fldChar w:fldCharType="end"/>
      </w:r>
    </w:p>
    <w:p w14:paraId="345DB72A" w14:textId="0BC9BAEC"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4. Statewide Incremental Gas Market Potential by Scenario</w:t>
      </w:r>
      <w:r>
        <w:rPr>
          <w:noProof/>
        </w:rPr>
        <w:tab/>
      </w:r>
      <w:r>
        <w:rPr>
          <w:noProof/>
        </w:rPr>
        <w:fldChar w:fldCharType="begin"/>
      </w:r>
      <w:r>
        <w:rPr>
          <w:noProof/>
        </w:rPr>
        <w:instrText xml:space="preserve"> PAGEREF _Toc485125521 \h </w:instrText>
      </w:r>
      <w:r>
        <w:rPr>
          <w:noProof/>
        </w:rPr>
      </w:r>
      <w:r>
        <w:rPr>
          <w:noProof/>
        </w:rPr>
        <w:fldChar w:fldCharType="separate"/>
      </w:r>
      <w:r>
        <w:rPr>
          <w:noProof/>
        </w:rPr>
        <w:t>84</w:t>
      </w:r>
      <w:r>
        <w:rPr>
          <w:noProof/>
        </w:rPr>
        <w:fldChar w:fldCharType="end"/>
      </w:r>
    </w:p>
    <w:p w14:paraId="0A48831A" w14:textId="4E0D9AB3"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5. Statewide Spending by Scenario for IOU Rebate Programs</w:t>
      </w:r>
      <w:r>
        <w:rPr>
          <w:noProof/>
        </w:rPr>
        <w:tab/>
      </w:r>
      <w:r>
        <w:rPr>
          <w:noProof/>
        </w:rPr>
        <w:fldChar w:fldCharType="begin"/>
      </w:r>
      <w:r>
        <w:rPr>
          <w:noProof/>
        </w:rPr>
        <w:instrText xml:space="preserve"> PAGEREF _Toc485125522 \h </w:instrText>
      </w:r>
      <w:r>
        <w:rPr>
          <w:noProof/>
        </w:rPr>
      </w:r>
      <w:r>
        <w:rPr>
          <w:noProof/>
        </w:rPr>
        <w:fldChar w:fldCharType="separate"/>
      </w:r>
      <w:r>
        <w:rPr>
          <w:noProof/>
        </w:rPr>
        <w:t>85</w:t>
      </w:r>
      <w:r>
        <w:rPr>
          <w:noProof/>
        </w:rPr>
        <w:fldChar w:fldCharType="end"/>
      </w:r>
    </w:p>
    <w:p w14:paraId="1ADA42CE" w14:textId="0D877E67"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6. BROs Electric Savings – Reference Scenario</w:t>
      </w:r>
      <w:r>
        <w:rPr>
          <w:noProof/>
        </w:rPr>
        <w:tab/>
      </w:r>
      <w:r>
        <w:rPr>
          <w:noProof/>
        </w:rPr>
        <w:fldChar w:fldCharType="begin"/>
      </w:r>
      <w:r>
        <w:rPr>
          <w:noProof/>
        </w:rPr>
        <w:instrText xml:space="preserve"> PAGEREF _Toc485125523 \h </w:instrText>
      </w:r>
      <w:r>
        <w:rPr>
          <w:noProof/>
        </w:rPr>
      </w:r>
      <w:r>
        <w:rPr>
          <w:noProof/>
        </w:rPr>
        <w:fldChar w:fldCharType="separate"/>
      </w:r>
      <w:r>
        <w:rPr>
          <w:noProof/>
        </w:rPr>
        <w:t>86</w:t>
      </w:r>
      <w:r>
        <w:rPr>
          <w:noProof/>
        </w:rPr>
        <w:fldChar w:fldCharType="end"/>
      </w:r>
    </w:p>
    <w:p w14:paraId="4241A1D1" w14:textId="310E479A"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7. BROs Gas Savings – Reference Scenario</w:t>
      </w:r>
      <w:r>
        <w:rPr>
          <w:noProof/>
        </w:rPr>
        <w:tab/>
      </w:r>
      <w:r>
        <w:rPr>
          <w:noProof/>
        </w:rPr>
        <w:fldChar w:fldCharType="begin"/>
      </w:r>
      <w:r>
        <w:rPr>
          <w:noProof/>
        </w:rPr>
        <w:instrText xml:space="preserve"> PAGEREF _Toc485125524 \h </w:instrText>
      </w:r>
      <w:r>
        <w:rPr>
          <w:noProof/>
        </w:rPr>
      </w:r>
      <w:r>
        <w:rPr>
          <w:noProof/>
        </w:rPr>
        <w:fldChar w:fldCharType="separate"/>
      </w:r>
      <w:r>
        <w:rPr>
          <w:noProof/>
        </w:rPr>
        <w:t>86</w:t>
      </w:r>
      <w:r>
        <w:rPr>
          <w:noProof/>
        </w:rPr>
        <w:fldChar w:fldCharType="end"/>
      </w:r>
    </w:p>
    <w:p w14:paraId="6AE9A59E" w14:textId="6E022841"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8. BROs Program Spending – Reference Scenario</w:t>
      </w:r>
      <w:r>
        <w:rPr>
          <w:noProof/>
        </w:rPr>
        <w:tab/>
      </w:r>
      <w:r>
        <w:rPr>
          <w:noProof/>
        </w:rPr>
        <w:fldChar w:fldCharType="begin"/>
      </w:r>
      <w:r>
        <w:rPr>
          <w:noProof/>
        </w:rPr>
        <w:instrText xml:space="preserve"> PAGEREF _Toc485125525 \h </w:instrText>
      </w:r>
      <w:r>
        <w:rPr>
          <w:noProof/>
        </w:rPr>
      </w:r>
      <w:r>
        <w:rPr>
          <w:noProof/>
        </w:rPr>
        <w:fldChar w:fldCharType="separate"/>
      </w:r>
      <w:r>
        <w:rPr>
          <w:noProof/>
        </w:rPr>
        <w:t>87</w:t>
      </w:r>
      <w:r>
        <w:rPr>
          <w:noProof/>
        </w:rPr>
        <w:fldChar w:fldCharType="end"/>
      </w:r>
    </w:p>
    <w:p w14:paraId="20837E4F" w14:textId="0A1B68BA"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9. BROs Electric Savings – Aggressive Scenario</w:t>
      </w:r>
      <w:r>
        <w:rPr>
          <w:noProof/>
        </w:rPr>
        <w:tab/>
      </w:r>
      <w:r>
        <w:rPr>
          <w:noProof/>
        </w:rPr>
        <w:fldChar w:fldCharType="begin"/>
      </w:r>
      <w:r>
        <w:rPr>
          <w:noProof/>
        </w:rPr>
        <w:instrText xml:space="preserve"> PAGEREF _Toc485125526 \h </w:instrText>
      </w:r>
      <w:r>
        <w:rPr>
          <w:noProof/>
        </w:rPr>
      </w:r>
      <w:r>
        <w:rPr>
          <w:noProof/>
        </w:rPr>
        <w:fldChar w:fldCharType="separate"/>
      </w:r>
      <w:r>
        <w:rPr>
          <w:noProof/>
        </w:rPr>
        <w:t>87</w:t>
      </w:r>
      <w:r>
        <w:rPr>
          <w:noProof/>
        </w:rPr>
        <w:fldChar w:fldCharType="end"/>
      </w:r>
    </w:p>
    <w:p w14:paraId="6F91635B" w14:textId="05F39D17"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10. BROs Gas Savings – Aggressive Scenario</w:t>
      </w:r>
      <w:r>
        <w:rPr>
          <w:noProof/>
        </w:rPr>
        <w:tab/>
      </w:r>
      <w:r>
        <w:rPr>
          <w:noProof/>
        </w:rPr>
        <w:fldChar w:fldCharType="begin"/>
      </w:r>
      <w:r>
        <w:rPr>
          <w:noProof/>
        </w:rPr>
        <w:instrText xml:space="preserve"> PAGEREF _Toc485125527 \h </w:instrText>
      </w:r>
      <w:r>
        <w:rPr>
          <w:noProof/>
        </w:rPr>
      </w:r>
      <w:r>
        <w:rPr>
          <w:noProof/>
        </w:rPr>
        <w:fldChar w:fldCharType="separate"/>
      </w:r>
      <w:r>
        <w:rPr>
          <w:noProof/>
        </w:rPr>
        <w:t>88</w:t>
      </w:r>
      <w:r>
        <w:rPr>
          <w:noProof/>
        </w:rPr>
        <w:fldChar w:fldCharType="end"/>
      </w:r>
    </w:p>
    <w:p w14:paraId="379D7EEA" w14:textId="0C4D7D0E"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11. BROs Program Spending – Aggressive Scenario</w:t>
      </w:r>
      <w:r>
        <w:rPr>
          <w:noProof/>
        </w:rPr>
        <w:tab/>
      </w:r>
      <w:r>
        <w:rPr>
          <w:noProof/>
        </w:rPr>
        <w:fldChar w:fldCharType="begin"/>
      </w:r>
      <w:r>
        <w:rPr>
          <w:noProof/>
        </w:rPr>
        <w:instrText xml:space="preserve"> PAGEREF _Toc485125528 \h </w:instrText>
      </w:r>
      <w:r>
        <w:rPr>
          <w:noProof/>
        </w:rPr>
      </w:r>
      <w:r>
        <w:rPr>
          <w:noProof/>
        </w:rPr>
        <w:fldChar w:fldCharType="separate"/>
      </w:r>
      <w:r>
        <w:rPr>
          <w:noProof/>
        </w:rPr>
        <w:t>88</w:t>
      </w:r>
      <w:r>
        <w:rPr>
          <w:noProof/>
        </w:rPr>
        <w:fldChar w:fldCharType="end"/>
      </w:r>
    </w:p>
    <w:p w14:paraId="301A9D5E" w14:textId="11944B2A"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12. Statewide Technical, Economic and Cumulative Electric Market Potential</w:t>
      </w:r>
      <w:r>
        <w:rPr>
          <w:noProof/>
        </w:rPr>
        <w:tab/>
      </w:r>
      <w:r>
        <w:rPr>
          <w:noProof/>
        </w:rPr>
        <w:fldChar w:fldCharType="begin"/>
      </w:r>
      <w:r>
        <w:rPr>
          <w:noProof/>
        </w:rPr>
        <w:instrText xml:space="preserve"> PAGEREF _Toc485125529 \h </w:instrText>
      </w:r>
      <w:r>
        <w:rPr>
          <w:noProof/>
        </w:rPr>
      </w:r>
      <w:r>
        <w:rPr>
          <w:noProof/>
        </w:rPr>
        <w:fldChar w:fldCharType="separate"/>
      </w:r>
      <w:r>
        <w:rPr>
          <w:noProof/>
        </w:rPr>
        <w:t>90</w:t>
      </w:r>
      <w:r>
        <w:rPr>
          <w:noProof/>
        </w:rPr>
        <w:fldChar w:fldCharType="end"/>
      </w:r>
    </w:p>
    <w:p w14:paraId="0813E822" w14:textId="5F01424A"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13. Statewide Technical, Economic and Cumulative Gas Market Potential</w:t>
      </w:r>
      <w:r>
        <w:rPr>
          <w:noProof/>
        </w:rPr>
        <w:tab/>
      </w:r>
      <w:r>
        <w:rPr>
          <w:noProof/>
        </w:rPr>
        <w:fldChar w:fldCharType="begin"/>
      </w:r>
      <w:r>
        <w:rPr>
          <w:noProof/>
        </w:rPr>
        <w:instrText xml:space="preserve"> PAGEREF _Toc485125530 \h </w:instrText>
      </w:r>
      <w:r>
        <w:rPr>
          <w:noProof/>
        </w:rPr>
      </w:r>
      <w:r>
        <w:rPr>
          <w:noProof/>
        </w:rPr>
        <w:fldChar w:fldCharType="separate"/>
      </w:r>
      <w:r>
        <w:rPr>
          <w:noProof/>
        </w:rPr>
        <w:t>91</w:t>
      </w:r>
      <w:r>
        <w:rPr>
          <w:noProof/>
        </w:rPr>
        <w:fldChar w:fldCharType="end"/>
      </w:r>
    </w:p>
    <w:p w14:paraId="7EBD10AD" w14:textId="0733F1A2" w:rsidR="006F57E9" w:rsidRDefault="006F57E9">
      <w:pPr>
        <w:pStyle w:val="TableofFigures"/>
        <w:rPr>
          <w:rFonts w:asciiTheme="minorHAnsi" w:eastAsiaTheme="minorEastAsia" w:hAnsiTheme="minorHAnsi" w:cstheme="minorBidi"/>
          <w:noProof/>
          <w:sz w:val="22"/>
          <w:szCs w:val="22"/>
        </w:rPr>
      </w:pPr>
      <w:r>
        <w:rPr>
          <w:noProof/>
        </w:rPr>
        <w:lastRenderedPageBreak/>
        <w:t>Figure 4</w:t>
      </w:r>
      <w:r>
        <w:rPr>
          <w:noProof/>
        </w:rPr>
        <w:noBreakHyphen/>
        <w:t>14. Statewide Incremental Electric Market Potential by Sector</w:t>
      </w:r>
      <w:r>
        <w:rPr>
          <w:noProof/>
        </w:rPr>
        <w:tab/>
      </w:r>
      <w:r>
        <w:rPr>
          <w:noProof/>
        </w:rPr>
        <w:fldChar w:fldCharType="begin"/>
      </w:r>
      <w:r>
        <w:rPr>
          <w:noProof/>
        </w:rPr>
        <w:instrText xml:space="preserve"> PAGEREF _Toc485125531 \h </w:instrText>
      </w:r>
      <w:r>
        <w:rPr>
          <w:noProof/>
        </w:rPr>
      </w:r>
      <w:r>
        <w:rPr>
          <w:noProof/>
        </w:rPr>
        <w:fldChar w:fldCharType="separate"/>
      </w:r>
      <w:r>
        <w:rPr>
          <w:noProof/>
        </w:rPr>
        <w:t>92</w:t>
      </w:r>
      <w:r>
        <w:rPr>
          <w:noProof/>
        </w:rPr>
        <w:fldChar w:fldCharType="end"/>
      </w:r>
    </w:p>
    <w:p w14:paraId="3635C31F" w14:textId="59F8E103"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15. Statewide Incremental Gas Market Potential by Sector</w:t>
      </w:r>
      <w:r>
        <w:rPr>
          <w:noProof/>
        </w:rPr>
        <w:tab/>
      </w:r>
      <w:r>
        <w:rPr>
          <w:noProof/>
        </w:rPr>
        <w:fldChar w:fldCharType="begin"/>
      </w:r>
      <w:r>
        <w:rPr>
          <w:noProof/>
        </w:rPr>
        <w:instrText xml:space="preserve"> PAGEREF _Toc485125532 \h </w:instrText>
      </w:r>
      <w:r>
        <w:rPr>
          <w:noProof/>
        </w:rPr>
      </w:r>
      <w:r>
        <w:rPr>
          <w:noProof/>
        </w:rPr>
        <w:fldChar w:fldCharType="separate"/>
      </w:r>
      <w:r>
        <w:rPr>
          <w:noProof/>
        </w:rPr>
        <w:t>92</w:t>
      </w:r>
      <w:r>
        <w:rPr>
          <w:noProof/>
        </w:rPr>
        <w:fldChar w:fldCharType="end"/>
      </w:r>
    </w:p>
    <w:p w14:paraId="478B42EB" w14:textId="10DEB515"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16. Statewide Spending by Sector</w:t>
      </w:r>
      <w:r>
        <w:rPr>
          <w:noProof/>
        </w:rPr>
        <w:tab/>
      </w:r>
      <w:r>
        <w:rPr>
          <w:noProof/>
        </w:rPr>
        <w:fldChar w:fldCharType="begin"/>
      </w:r>
      <w:r>
        <w:rPr>
          <w:noProof/>
        </w:rPr>
        <w:instrText xml:space="preserve"> PAGEREF _Toc485125533 \h </w:instrText>
      </w:r>
      <w:r>
        <w:rPr>
          <w:noProof/>
        </w:rPr>
      </w:r>
      <w:r>
        <w:rPr>
          <w:noProof/>
        </w:rPr>
        <w:fldChar w:fldCharType="separate"/>
      </w:r>
      <w:r>
        <w:rPr>
          <w:noProof/>
        </w:rPr>
        <w:t>93</w:t>
      </w:r>
      <w:r>
        <w:rPr>
          <w:noProof/>
        </w:rPr>
        <w:fldChar w:fldCharType="end"/>
      </w:r>
    </w:p>
    <w:p w14:paraId="4493163A" w14:textId="571D0DAB"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17. Statewide Incremental Electric Market Potential by End Use in the Residential Sector</w:t>
      </w:r>
      <w:r>
        <w:rPr>
          <w:noProof/>
        </w:rPr>
        <w:tab/>
      </w:r>
      <w:r>
        <w:rPr>
          <w:noProof/>
        </w:rPr>
        <w:fldChar w:fldCharType="begin"/>
      </w:r>
      <w:r>
        <w:rPr>
          <w:noProof/>
        </w:rPr>
        <w:instrText xml:space="preserve"> PAGEREF _Toc485125534 \h </w:instrText>
      </w:r>
      <w:r>
        <w:rPr>
          <w:noProof/>
        </w:rPr>
      </w:r>
      <w:r>
        <w:rPr>
          <w:noProof/>
        </w:rPr>
        <w:fldChar w:fldCharType="separate"/>
      </w:r>
      <w:r>
        <w:rPr>
          <w:noProof/>
        </w:rPr>
        <w:t>94</w:t>
      </w:r>
      <w:r>
        <w:rPr>
          <w:noProof/>
        </w:rPr>
        <w:fldChar w:fldCharType="end"/>
      </w:r>
    </w:p>
    <w:p w14:paraId="59C87547" w14:textId="6FB3BA2A"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18. Statewide Incremental Gas Market Potential by End Use in the Residential Sector</w:t>
      </w:r>
      <w:r>
        <w:rPr>
          <w:noProof/>
        </w:rPr>
        <w:tab/>
      </w:r>
      <w:r>
        <w:rPr>
          <w:noProof/>
        </w:rPr>
        <w:fldChar w:fldCharType="begin"/>
      </w:r>
      <w:r>
        <w:rPr>
          <w:noProof/>
        </w:rPr>
        <w:instrText xml:space="preserve"> PAGEREF _Toc485125535 \h </w:instrText>
      </w:r>
      <w:r>
        <w:rPr>
          <w:noProof/>
        </w:rPr>
      </w:r>
      <w:r>
        <w:rPr>
          <w:noProof/>
        </w:rPr>
        <w:fldChar w:fldCharType="separate"/>
      </w:r>
      <w:r>
        <w:rPr>
          <w:noProof/>
        </w:rPr>
        <w:t>95</w:t>
      </w:r>
      <w:r>
        <w:rPr>
          <w:noProof/>
        </w:rPr>
        <w:fldChar w:fldCharType="end"/>
      </w:r>
    </w:p>
    <w:p w14:paraId="7A480632" w14:textId="3620617A"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19. Statewide Incremental Electric Market Potential by End Use in the Commercial Sector</w:t>
      </w:r>
      <w:r>
        <w:rPr>
          <w:noProof/>
        </w:rPr>
        <w:tab/>
      </w:r>
      <w:r>
        <w:rPr>
          <w:noProof/>
        </w:rPr>
        <w:fldChar w:fldCharType="begin"/>
      </w:r>
      <w:r>
        <w:rPr>
          <w:noProof/>
        </w:rPr>
        <w:instrText xml:space="preserve"> PAGEREF _Toc485125536 \h </w:instrText>
      </w:r>
      <w:r>
        <w:rPr>
          <w:noProof/>
        </w:rPr>
      </w:r>
      <w:r>
        <w:rPr>
          <w:noProof/>
        </w:rPr>
        <w:fldChar w:fldCharType="separate"/>
      </w:r>
      <w:r>
        <w:rPr>
          <w:noProof/>
        </w:rPr>
        <w:t>96</w:t>
      </w:r>
      <w:r>
        <w:rPr>
          <w:noProof/>
        </w:rPr>
        <w:fldChar w:fldCharType="end"/>
      </w:r>
    </w:p>
    <w:p w14:paraId="3822B176" w14:textId="2548688E"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20. Statewide Incremental Gas Market Potential by End Use in the Commercial Sector</w:t>
      </w:r>
      <w:r>
        <w:rPr>
          <w:noProof/>
        </w:rPr>
        <w:tab/>
      </w:r>
      <w:r>
        <w:rPr>
          <w:noProof/>
        </w:rPr>
        <w:fldChar w:fldCharType="begin"/>
      </w:r>
      <w:r>
        <w:rPr>
          <w:noProof/>
        </w:rPr>
        <w:instrText xml:space="preserve"> PAGEREF _Toc485125537 \h </w:instrText>
      </w:r>
      <w:r>
        <w:rPr>
          <w:noProof/>
        </w:rPr>
      </w:r>
      <w:r>
        <w:rPr>
          <w:noProof/>
        </w:rPr>
        <w:fldChar w:fldCharType="separate"/>
      </w:r>
      <w:r>
        <w:rPr>
          <w:noProof/>
        </w:rPr>
        <w:t>97</w:t>
      </w:r>
      <w:r>
        <w:rPr>
          <w:noProof/>
        </w:rPr>
        <w:fldChar w:fldCharType="end"/>
      </w:r>
    </w:p>
    <w:p w14:paraId="25FEDB1A" w14:textId="0110E4E9"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21. Statewide Incremental Electric Market Potential by End Use in the AIMS Sectors</w:t>
      </w:r>
      <w:r>
        <w:rPr>
          <w:noProof/>
        </w:rPr>
        <w:tab/>
      </w:r>
      <w:r>
        <w:rPr>
          <w:noProof/>
        </w:rPr>
        <w:fldChar w:fldCharType="begin"/>
      </w:r>
      <w:r>
        <w:rPr>
          <w:noProof/>
        </w:rPr>
        <w:instrText xml:space="preserve"> PAGEREF _Toc485125538 \h </w:instrText>
      </w:r>
      <w:r>
        <w:rPr>
          <w:noProof/>
        </w:rPr>
      </w:r>
      <w:r>
        <w:rPr>
          <w:noProof/>
        </w:rPr>
        <w:fldChar w:fldCharType="separate"/>
      </w:r>
      <w:r>
        <w:rPr>
          <w:noProof/>
        </w:rPr>
        <w:t>98</w:t>
      </w:r>
      <w:r>
        <w:rPr>
          <w:noProof/>
        </w:rPr>
        <w:fldChar w:fldCharType="end"/>
      </w:r>
    </w:p>
    <w:p w14:paraId="3D28491D" w14:textId="4297BAEF"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22. Statewide Incremental Gas Market Potential by End Use in the AIMS Sectors</w:t>
      </w:r>
      <w:r>
        <w:rPr>
          <w:noProof/>
        </w:rPr>
        <w:tab/>
      </w:r>
      <w:r>
        <w:rPr>
          <w:noProof/>
        </w:rPr>
        <w:fldChar w:fldCharType="begin"/>
      </w:r>
      <w:r>
        <w:rPr>
          <w:noProof/>
        </w:rPr>
        <w:instrText xml:space="preserve"> PAGEREF _Toc485125539 \h </w:instrText>
      </w:r>
      <w:r>
        <w:rPr>
          <w:noProof/>
        </w:rPr>
      </w:r>
      <w:r>
        <w:rPr>
          <w:noProof/>
        </w:rPr>
        <w:fldChar w:fldCharType="separate"/>
      </w:r>
      <w:r>
        <w:rPr>
          <w:noProof/>
        </w:rPr>
        <w:t>99</w:t>
      </w:r>
      <w:r>
        <w:rPr>
          <w:noProof/>
        </w:rPr>
        <w:fldChar w:fldCharType="end"/>
      </w:r>
    </w:p>
    <w:p w14:paraId="4D89C11D" w14:textId="3AB49B63"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23. Statewide Stranded Electric Potential by End Use (All Sectors)</w:t>
      </w:r>
      <w:r>
        <w:rPr>
          <w:noProof/>
        </w:rPr>
        <w:tab/>
      </w:r>
      <w:r>
        <w:rPr>
          <w:noProof/>
        </w:rPr>
        <w:fldChar w:fldCharType="begin"/>
      </w:r>
      <w:r>
        <w:rPr>
          <w:noProof/>
        </w:rPr>
        <w:instrText xml:space="preserve"> PAGEREF _Toc485125540 \h </w:instrText>
      </w:r>
      <w:r>
        <w:rPr>
          <w:noProof/>
        </w:rPr>
      </w:r>
      <w:r>
        <w:rPr>
          <w:noProof/>
        </w:rPr>
        <w:fldChar w:fldCharType="separate"/>
      </w:r>
      <w:r>
        <w:rPr>
          <w:noProof/>
        </w:rPr>
        <w:t>100</w:t>
      </w:r>
      <w:r>
        <w:rPr>
          <w:noProof/>
        </w:rPr>
        <w:fldChar w:fldCharType="end"/>
      </w:r>
    </w:p>
    <w:p w14:paraId="38C25EBC" w14:textId="0AFD64B8"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24. Statewide Stranded Gas Potential by End Use (All Sectors)</w:t>
      </w:r>
      <w:r>
        <w:rPr>
          <w:noProof/>
        </w:rPr>
        <w:tab/>
      </w:r>
      <w:r>
        <w:rPr>
          <w:noProof/>
        </w:rPr>
        <w:fldChar w:fldCharType="begin"/>
      </w:r>
      <w:r>
        <w:rPr>
          <w:noProof/>
        </w:rPr>
        <w:instrText xml:space="preserve"> PAGEREF _Toc485125541 \h </w:instrText>
      </w:r>
      <w:r>
        <w:rPr>
          <w:noProof/>
        </w:rPr>
      </w:r>
      <w:r>
        <w:rPr>
          <w:noProof/>
        </w:rPr>
        <w:fldChar w:fldCharType="separate"/>
      </w:r>
      <w:r>
        <w:rPr>
          <w:noProof/>
        </w:rPr>
        <w:t>101</w:t>
      </w:r>
      <w:r>
        <w:rPr>
          <w:noProof/>
        </w:rPr>
        <w:fldChar w:fldCharType="end"/>
      </w:r>
    </w:p>
    <w:p w14:paraId="13B92D0A" w14:textId="6906F6C2"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25. Portfolio Cost-Effectiveness Ratio by Utility in 2018</w:t>
      </w:r>
      <w:r>
        <w:rPr>
          <w:noProof/>
        </w:rPr>
        <w:tab/>
      </w:r>
      <w:r>
        <w:rPr>
          <w:noProof/>
        </w:rPr>
        <w:fldChar w:fldCharType="begin"/>
      </w:r>
      <w:r>
        <w:rPr>
          <w:noProof/>
        </w:rPr>
        <w:instrText xml:space="preserve"> PAGEREF _Toc485125542 \h </w:instrText>
      </w:r>
      <w:r>
        <w:rPr>
          <w:noProof/>
        </w:rPr>
      </w:r>
      <w:r>
        <w:rPr>
          <w:noProof/>
        </w:rPr>
        <w:fldChar w:fldCharType="separate"/>
      </w:r>
      <w:r>
        <w:rPr>
          <w:noProof/>
        </w:rPr>
        <w:t>102</w:t>
      </w:r>
      <w:r>
        <w:rPr>
          <w:noProof/>
        </w:rPr>
        <w:fldChar w:fldCharType="end"/>
      </w:r>
    </w:p>
    <w:p w14:paraId="42018AD6" w14:textId="415D21F0"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26. C&amp;S Electric Savings (Including Interactive Effects)</w:t>
      </w:r>
      <w:r>
        <w:rPr>
          <w:noProof/>
        </w:rPr>
        <w:tab/>
      </w:r>
      <w:r>
        <w:rPr>
          <w:noProof/>
        </w:rPr>
        <w:fldChar w:fldCharType="begin"/>
      </w:r>
      <w:r>
        <w:rPr>
          <w:noProof/>
        </w:rPr>
        <w:instrText xml:space="preserve"> PAGEREF _Toc485125543 \h </w:instrText>
      </w:r>
      <w:r>
        <w:rPr>
          <w:noProof/>
        </w:rPr>
      </w:r>
      <w:r>
        <w:rPr>
          <w:noProof/>
        </w:rPr>
        <w:fldChar w:fldCharType="separate"/>
      </w:r>
      <w:r>
        <w:rPr>
          <w:noProof/>
        </w:rPr>
        <w:t>103</w:t>
      </w:r>
      <w:r>
        <w:rPr>
          <w:noProof/>
        </w:rPr>
        <w:fldChar w:fldCharType="end"/>
      </w:r>
    </w:p>
    <w:p w14:paraId="5038020B" w14:textId="1E262E97"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27. C&amp;S Gas Savings (Including Interactive Effects)</w:t>
      </w:r>
      <w:r>
        <w:rPr>
          <w:noProof/>
        </w:rPr>
        <w:tab/>
      </w:r>
      <w:r>
        <w:rPr>
          <w:noProof/>
        </w:rPr>
        <w:fldChar w:fldCharType="begin"/>
      </w:r>
      <w:r>
        <w:rPr>
          <w:noProof/>
        </w:rPr>
        <w:instrText xml:space="preserve"> PAGEREF _Toc485125544 \h </w:instrText>
      </w:r>
      <w:r>
        <w:rPr>
          <w:noProof/>
        </w:rPr>
      </w:r>
      <w:r>
        <w:rPr>
          <w:noProof/>
        </w:rPr>
        <w:fldChar w:fldCharType="separate"/>
      </w:r>
      <w:r>
        <w:rPr>
          <w:noProof/>
        </w:rPr>
        <w:t>103</w:t>
      </w:r>
      <w:r>
        <w:rPr>
          <w:noProof/>
        </w:rPr>
        <w:fldChar w:fldCharType="end"/>
      </w:r>
    </w:p>
    <w:p w14:paraId="0FB332B8" w14:textId="32A1FF8D"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28. Results Viewer Overview Tab</w:t>
      </w:r>
      <w:r>
        <w:rPr>
          <w:noProof/>
        </w:rPr>
        <w:tab/>
      </w:r>
      <w:r>
        <w:rPr>
          <w:noProof/>
        </w:rPr>
        <w:fldChar w:fldCharType="begin"/>
      </w:r>
      <w:r>
        <w:rPr>
          <w:noProof/>
        </w:rPr>
        <w:instrText xml:space="preserve"> PAGEREF _Toc485125545 \h </w:instrText>
      </w:r>
      <w:r>
        <w:rPr>
          <w:noProof/>
        </w:rPr>
      </w:r>
      <w:r>
        <w:rPr>
          <w:noProof/>
        </w:rPr>
        <w:fldChar w:fldCharType="separate"/>
      </w:r>
      <w:r>
        <w:rPr>
          <w:noProof/>
        </w:rPr>
        <w:t>105</w:t>
      </w:r>
      <w:r>
        <w:rPr>
          <w:noProof/>
        </w:rPr>
        <w:fldChar w:fldCharType="end"/>
      </w:r>
    </w:p>
    <w:p w14:paraId="68AD84B3" w14:textId="1E0F4314"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29. Results Viewer Scenario Comparison</w:t>
      </w:r>
      <w:r>
        <w:rPr>
          <w:noProof/>
        </w:rPr>
        <w:tab/>
      </w:r>
      <w:r>
        <w:rPr>
          <w:noProof/>
        </w:rPr>
        <w:fldChar w:fldCharType="begin"/>
      </w:r>
      <w:r>
        <w:rPr>
          <w:noProof/>
        </w:rPr>
        <w:instrText xml:space="preserve"> PAGEREF _Toc485125546 \h </w:instrText>
      </w:r>
      <w:r>
        <w:rPr>
          <w:noProof/>
        </w:rPr>
      </w:r>
      <w:r>
        <w:rPr>
          <w:noProof/>
        </w:rPr>
        <w:fldChar w:fldCharType="separate"/>
      </w:r>
      <w:r>
        <w:rPr>
          <w:noProof/>
        </w:rPr>
        <w:t>106</w:t>
      </w:r>
      <w:r>
        <w:rPr>
          <w:noProof/>
        </w:rPr>
        <w:fldChar w:fldCharType="end"/>
      </w:r>
    </w:p>
    <w:p w14:paraId="63C8A848" w14:textId="73151E38" w:rsidR="006F57E9" w:rsidRDefault="006F57E9">
      <w:pPr>
        <w:pStyle w:val="TableofFigures"/>
        <w:rPr>
          <w:rFonts w:asciiTheme="minorHAnsi" w:eastAsiaTheme="minorEastAsia" w:hAnsiTheme="minorHAnsi" w:cstheme="minorBidi"/>
          <w:noProof/>
          <w:sz w:val="22"/>
          <w:szCs w:val="22"/>
        </w:rPr>
      </w:pPr>
      <w:r>
        <w:rPr>
          <w:noProof/>
        </w:rPr>
        <w:t>Figure 4</w:t>
      </w:r>
      <w:r>
        <w:rPr>
          <w:noProof/>
        </w:rPr>
        <w:noBreakHyphen/>
        <w:t>30. Results Viewer End Uses</w:t>
      </w:r>
      <w:r>
        <w:rPr>
          <w:noProof/>
        </w:rPr>
        <w:tab/>
      </w:r>
      <w:r>
        <w:rPr>
          <w:noProof/>
        </w:rPr>
        <w:fldChar w:fldCharType="begin"/>
      </w:r>
      <w:r>
        <w:rPr>
          <w:noProof/>
        </w:rPr>
        <w:instrText xml:space="preserve"> PAGEREF _Toc485125547 \h </w:instrText>
      </w:r>
      <w:r>
        <w:rPr>
          <w:noProof/>
        </w:rPr>
      </w:r>
      <w:r>
        <w:rPr>
          <w:noProof/>
        </w:rPr>
        <w:fldChar w:fldCharType="separate"/>
      </w:r>
      <w:r>
        <w:rPr>
          <w:noProof/>
        </w:rPr>
        <w:t>107</w:t>
      </w:r>
      <w:r>
        <w:rPr>
          <w:noProof/>
        </w:rPr>
        <w:fldChar w:fldCharType="end"/>
      </w:r>
    </w:p>
    <w:p w14:paraId="31BEE3C2" w14:textId="77777777" w:rsidR="00590D90" w:rsidRDefault="00CB6DF9" w:rsidP="00CB6DF9">
      <w:pPr>
        <w:pStyle w:val="Headerinfo"/>
        <w:rPr>
          <w:color w:val="auto"/>
          <w:sz w:val="20"/>
          <w:szCs w:val="20"/>
        </w:rPr>
      </w:pPr>
      <w:r w:rsidRPr="00957936">
        <w:rPr>
          <w:color w:val="auto"/>
          <w:sz w:val="20"/>
          <w:szCs w:val="20"/>
        </w:rPr>
        <w:fldChar w:fldCharType="end"/>
      </w:r>
    </w:p>
    <w:p w14:paraId="5ACDD34F" w14:textId="7A80FD4D" w:rsidR="006F57E9" w:rsidRDefault="00590D90" w:rsidP="00CB6DF9">
      <w:pPr>
        <w:pStyle w:val="Headerinfo"/>
      </w:pPr>
      <w:r>
        <w:rPr>
          <w:b/>
          <w:color w:val="auto"/>
          <w:sz w:val="20"/>
          <w:szCs w:val="20"/>
        </w:rPr>
        <w:t>Appendix Figures</w:t>
      </w:r>
      <w:r w:rsidR="00CB6DF9" w:rsidRPr="00957936">
        <w:rPr>
          <w:color w:val="auto"/>
          <w:sz w:val="20"/>
          <w:szCs w:val="20"/>
        </w:rPr>
        <w:fldChar w:fldCharType="begin"/>
      </w:r>
      <w:r w:rsidR="00CB6DF9" w:rsidRPr="00957936">
        <w:rPr>
          <w:color w:val="auto"/>
          <w:sz w:val="20"/>
          <w:szCs w:val="20"/>
        </w:rPr>
        <w:instrText xml:space="preserve"> TOC \c "Figure_Apx" </w:instrText>
      </w:r>
      <w:r w:rsidR="00CB6DF9" w:rsidRPr="00957936">
        <w:rPr>
          <w:color w:val="auto"/>
          <w:sz w:val="20"/>
          <w:szCs w:val="20"/>
        </w:rPr>
        <w:fldChar w:fldCharType="separate"/>
      </w:r>
    </w:p>
    <w:p w14:paraId="253068EC" w14:textId="1A0D58D9" w:rsidR="006F57E9" w:rsidRDefault="006F57E9">
      <w:pPr>
        <w:pStyle w:val="TableofFigures"/>
        <w:rPr>
          <w:rFonts w:asciiTheme="minorHAnsi" w:eastAsiaTheme="minorEastAsia" w:hAnsiTheme="minorHAnsi" w:cstheme="minorBidi"/>
          <w:noProof/>
          <w:sz w:val="22"/>
          <w:szCs w:val="22"/>
        </w:rPr>
      </w:pPr>
      <w:r>
        <w:rPr>
          <w:noProof/>
        </w:rPr>
        <w:t>Figure A</w:t>
      </w:r>
      <w:r>
        <w:rPr>
          <w:noProof/>
        </w:rPr>
        <w:noBreakHyphen/>
        <w:t>1. The Concept of Calibrating</w:t>
      </w:r>
      <w:r>
        <w:rPr>
          <w:noProof/>
        </w:rPr>
        <w:tab/>
      </w:r>
      <w:r>
        <w:rPr>
          <w:noProof/>
        </w:rPr>
        <w:fldChar w:fldCharType="begin"/>
      </w:r>
      <w:r>
        <w:rPr>
          <w:noProof/>
        </w:rPr>
        <w:instrText xml:space="preserve"> PAGEREF _Toc485125548 \h </w:instrText>
      </w:r>
      <w:r>
        <w:rPr>
          <w:noProof/>
        </w:rPr>
      </w:r>
      <w:r>
        <w:rPr>
          <w:noProof/>
        </w:rPr>
        <w:fldChar w:fldCharType="separate"/>
      </w:r>
      <w:r>
        <w:rPr>
          <w:noProof/>
        </w:rPr>
        <w:t>A-2</w:t>
      </w:r>
      <w:r>
        <w:rPr>
          <w:noProof/>
        </w:rPr>
        <w:fldChar w:fldCharType="end"/>
      </w:r>
    </w:p>
    <w:p w14:paraId="4D35FCCD" w14:textId="7B93BFD9" w:rsidR="006F57E9" w:rsidRDefault="006F57E9">
      <w:pPr>
        <w:pStyle w:val="TableofFigures"/>
        <w:rPr>
          <w:rFonts w:asciiTheme="minorHAnsi" w:eastAsiaTheme="minorEastAsia" w:hAnsiTheme="minorHAnsi" w:cstheme="minorBidi"/>
          <w:noProof/>
          <w:sz w:val="22"/>
          <w:szCs w:val="22"/>
        </w:rPr>
      </w:pPr>
      <w:r>
        <w:rPr>
          <w:noProof/>
        </w:rPr>
        <w:t>Figure A</w:t>
      </w:r>
      <w:r>
        <w:rPr>
          <w:noProof/>
        </w:rPr>
        <w:noBreakHyphen/>
        <w:t>2. Illustrative 2013-2015 Calibration Targets</w:t>
      </w:r>
      <w:r>
        <w:rPr>
          <w:noProof/>
        </w:rPr>
        <w:tab/>
      </w:r>
      <w:r>
        <w:rPr>
          <w:noProof/>
        </w:rPr>
        <w:fldChar w:fldCharType="begin"/>
      </w:r>
      <w:r>
        <w:rPr>
          <w:noProof/>
        </w:rPr>
        <w:instrText xml:space="preserve"> PAGEREF _Toc485125549 \h </w:instrText>
      </w:r>
      <w:r>
        <w:rPr>
          <w:noProof/>
        </w:rPr>
      </w:r>
      <w:r>
        <w:rPr>
          <w:noProof/>
        </w:rPr>
        <w:fldChar w:fldCharType="separate"/>
      </w:r>
      <w:r>
        <w:rPr>
          <w:noProof/>
        </w:rPr>
        <w:t>A-4</w:t>
      </w:r>
      <w:r>
        <w:rPr>
          <w:noProof/>
        </w:rPr>
        <w:fldChar w:fldCharType="end"/>
      </w:r>
    </w:p>
    <w:p w14:paraId="2B3020DC" w14:textId="1615A5A9" w:rsidR="006F57E9" w:rsidRDefault="006F57E9">
      <w:pPr>
        <w:pStyle w:val="TableofFigures"/>
        <w:rPr>
          <w:rFonts w:asciiTheme="minorHAnsi" w:eastAsiaTheme="minorEastAsia" w:hAnsiTheme="minorHAnsi" w:cstheme="minorBidi"/>
          <w:noProof/>
          <w:sz w:val="22"/>
          <w:szCs w:val="22"/>
        </w:rPr>
      </w:pPr>
      <w:r>
        <w:rPr>
          <w:noProof/>
        </w:rPr>
        <w:t>Figure E</w:t>
      </w:r>
      <w:r>
        <w:rPr>
          <w:noProof/>
        </w:rPr>
        <w:noBreakHyphen/>
        <w:t>1. Examples of Industrial Market Segments at Risk of Relocating Offshore</w:t>
      </w:r>
      <w:r>
        <w:rPr>
          <w:noProof/>
        </w:rPr>
        <w:tab/>
      </w:r>
      <w:r>
        <w:rPr>
          <w:noProof/>
        </w:rPr>
        <w:fldChar w:fldCharType="begin"/>
      </w:r>
      <w:r>
        <w:rPr>
          <w:noProof/>
        </w:rPr>
        <w:instrText xml:space="preserve"> PAGEREF _Toc485125550 \h </w:instrText>
      </w:r>
      <w:r>
        <w:rPr>
          <w:noProof/>
        </w:rPr>
      </w:r>
      <w:r>
        <w:rPr>
          <w:noProof/>
        </w:rPr>
        <w:fldChar w:fldCharType="separate"/>
      </w:r>
      <w:r>
        <w:rPr>
          <w:noProof/>
        </w:rPr>
        <w:t>E-7</w:t>
      </w:r>
      <w:r>
        <w:rPr>
          <w:noProof/>
        </w:rPr>
        <w:fldChar w:fldCharType="end"/>
      </w:r>
    </w:p>
    <w:p w14:paraId="70697056" w14:textId="5FCD7FF4" w:rsidR="006F57E9" w:rsidRDefault="006F57E9">
      <w:pPr>
        <w:pStyle w:val="TableofFigures"/>
        <w:rPr>
          <w:rFonts w:asciiTheme="minorHAnsi" w:eastAsiaTheme="minorEastAsia" w:hAnsiTheme="minorHAnsi" w:cstheme="minorBidi"/>
          <w:noProof/>
          <w:sz w:val="22"/>
          <w:szCs w:val="22"/>
        </w:rPr>
      </w:pPr>
      <w:r>
        <w:rPr>
          <w:noProof/>
        </w:rPr>
        <w:t>Figure E</w:t>
      </w:r>
      <w:r>
        <w:rPr>
          <w:noProof/>
        </w:rPr>
        <w:noBreakHyphen/>
        <w:t>2. Example Trends in PG&amp;E Electric Energy Usage (Indexed to 1990 Usage = 1)</w:t>
      </w:r>
      <w:r>
        <w:rPr>
          <w:noProof/>
        </w:rPr>
        <w:tab/>
      </w:r>
      <w:r>
        <w:rPr>
          <w:noProof/>
        </w:rPr>
        <w:fldChar w:fldCharType="begin"/>
      </w:r>
      <w:r>
        <w:rPr>
          <w:noProof/>
        </w:rPr>
        <w:instrText xml:space="preserve"> PAGEREF _Toc485125551 \h </w:instrText>
      </w:r>
      <w:r>
        <w:rPr>
          <w:noProof/>
        </w:rPr>
      </w:r>
      <w:r>
        <w:rPr>
          <w:noProof/>
        </w:rPr>
        <w:fldChar w:fldCharType="separate"/>
      </w:r>
      <w:r>
        <w:rPr>
          <w:noProof/>
        </w:rPr>
        <w:t>E-8</w:t>
      </w:r>
      <w:r>
        <w:rPr>
          <w:noProof/>
        </w:rPr>
        <w:fldChar w:fldCharType="end"/>
      </w:r>
    </w:p>
    <w:p w14:paraId="3BA15F30" w14:textId="77777777" w:rsidR="00CB6DF9" w:rsidRPr="00957936" w:rsidRDefault="00CB6DF9" w:rsidP="00CB6DF9">
      <w:pPr>
        <w:pStyle w:val="Headerinfo"/>
        <w:rPr>
          <w:color w:val="auto"/>
          <w:sz w:val="20"/>
          <w:szCs w:val="20"/>
        </w:rPr>
      </w:pPr>
      <w:r w:rsidRPr="00957936">
        <w:rPr>
          <w:color w:val="auto"/>
          <w:sz w:val="20"/>
          <w:szCs w:val="20"/>
        </w:rPr>
        <w:fldChar w:fldCharType="end"/>
      </w:r>
    </w:p>
    <w:p w14:paraId="38CD770D" w14:textId="77777777" w:rsidR="00CB6DF9" w:rsidRPr="00957936" w:rsidRDefault="00CB6DF9" w:rsidP="00CB6DF9">
      <w:pPr>
        <w:pStyle w:val="Headerinfo"/>
        <w:rPr>
          <w:b/>
          <w:color w:val="auto"/>
          <w:sz w:val="20"/>
          <w:szCs w:val="20"/>
        </w:rPr>
      </w:pPr>
      <w:r w:rsidRPr="00957936">
        <w:rPr>
          <w:b/>
          <w:color w:val="auto"/>
          <w:sz w:val="20"/>
          <w:szCs w:val="20"/>
        </w:rPr>
        <w:t>Tables</w:t>
      </w:r>
    </w:p>
    <w:p w14:paraId="5EBA146A" w14:textId="7E115508" w:rsidR="006F57E9" w:rsidRDefault="00CB6DF9">
      <w:pPr>
        <w:pStyle w:val="TableofFigures"/>
        <w:rPr>
          <w:rFonts w:asciiTheme="minorHAnsi" w:eastAsiaTheme="minorEastAsia" w:hAnsiTheme="minorHAnsi" w:cstheme="minorBidi"/>
          <w:noProof/>
          <w:sz w:val="22"/>
          <w:szCs w:val="22"/>
        </w:rPr>
      </w:pPr>
      <w:r w:rsidRPr="00BB59F5">
        <w:rPr>
          <w:rFonts w:cs="Arial"/>
          <w:szCs w:val="20"/>
        </w:rPr>
        <w:fldChar w:fldCharType="begin"/>
      </w:r>
      <w:r w:rsidRPr="00BB59F5">
        <w:rPr>
          <w:rFonts w:cs="Arial"/>
          <w:szCs w:val="20"/>
        </w:rPr>
        <w:instrText xml:space="preserve"> TOC \c "Table" </w:instrText>
      </w:r>
      <w:r w:rsidRPr="00BB59F5">
        <w:rPr>
          <w:rFonts w:cs="Arial"/>
          <w:szCs w:val="20"/>
        </w:rPr>
        <w:fldChar w:fldCharType="separate"/>
      </w:r>
      <w:r w:rsidR="006F57E9">
        <w:rPr>
          <w:noProof/>
        </w:rPr>
        <w:t>Table 1</w:t>
      </w:r>
      <w:r w:rsidR="006F57E9">
        <w:rPr>
          <w:noProof/>
        </w:rPr>
        <w:noBreakHyphen/>
        <w:t>1: Stakeholder Meeting Schedule</w:t>
      </w:r>
      <w:r w:rsidR="006F57E9">
        <w:rPr>
          <w:noProof/>
        </w:rPr>
        <w:tab/>
      </w:r>
      <w:r w:rsidR="006F57E9">
        <w:rPr>
          <w:noProof/>
        </w:rPr>
        <w:fldChar w:fldCharType="begin"/>
      </w:r>
      <w:r w:rsidR="006F57E9">
        <w:rPr>
          <w:noProof/>
        </w:rPr>
        <w:instrText xml:space="preserve"> PAGEREF _Toc485125650 \h </w:instrText>
      </w:r>
      <w:r w:rsidR="006F57E9">
        <w:rPr>
          <w:noProof/>
        </w:rPr>
      </w:r>
      <w:r w:rsidR="006F57E9">
        <w:rPr>
          <w:noProof/>
        </w:rPr>
        <w:fldChar w:fldCharType="separate"/>
      </w:r>
      <w:r w:rsidR="00590D90">
        <w:rPr>
          <w:noProof/>
        </w:rPr>
        <w:t>5</w:t>
      </w:r>
      <w:r w:rsidR="006F57E9">
        <w:rPr>
          <w:noProof/>
        </w:rPr>
        <w:fldChar w:fldCharType="end"/>
      </w:r>
    </w:p>
    <w:p w14:paraId="23AE15B4" w14:textId="3A0C0BD1"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1. Overview of Modeling and Calibration Approach</w:t>
      </w:r>
      <w:r>
        <w:rPr>
          <w:noProof/>
        </w:rPr>
        <w:tab/>
      </w:r>
      <w:r>
        <w:rPr>
          <w:noProof/>
        </w:rPr>
        <w:fldChar w:fldCharType="begin"/>
      </w:r>
      <w:r>
        <w:rPr>
          <w:noProof/>
        </w:rPr>
        <w:instrText xml:space="preserve"> PAGEREF _Toc485125651 \h </w:instrText>
      </w:r>
      <w:r>
        <w:rPr>
          <w:noProof/>
        </w:rPr>
      </w:r>
      <w:r>
        <w:rPr>
          <w:noProof/>
        </w:rPr>
        <w:fldChar w:fldCharType="separate"/>
      </w:r>
      <w:r w:rsidR="00590D90">
        <w:rPr>
          <w:noProof/>
        </w:rPr>
        <w:t>8</w:t>
      </w:r>
      <w:r>
        <w:rPr>
          <w:noProof/>
        </w:rPr>
        <w:fldChar w:fldCharType="end"/>
      </w:r>
    </w:p>
    <w:p w14:paraId="68836325" w14:textId="35CC6BA2"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2. Example of Technologies within a Technology Group</w:t>
      </w:r>
      <w:r>
        <w:rPr>
          <w:noProof/>
        </w:rPr>
        <w:tab/>
      </w:r>
      <w:r>
        <w:rPr>
          <w:noProof/>
        </w:rPr>
        <w:fldChar w:fldCharType="begin"/>
      </w:r>
      <w:r>
        <w:rPr>
          <w:noProof/>
        </w:rPr>
        <w:instrText xml:space="preserve"> PAGEREF _Toc485125652 \h </w:instrText>
      </w:r>
      <w:r>
        <w:rPr>
          <w:noProof/>
        </w:rPr>
      </w:r>
      <w:r>
        <w:rPr>
          <w:noProof/>
        </w:rPr>
        <w:fldChar w:fldCharType="separate"/>
      </w:r>
      <w:r w:rsidR="00590D90">
        <w:rPr>
          <w:noProof/>
        </w:rPr>
        <w:t>10</w:t>
      </w:r>
      <w:r>
        <w:rPr>
          <w:noProof/>
        </w:rPr>
        <w:fldChar w:fldCharType="end"/>
      </w:r>
    </w:p>
    <w:p w14:paraId="137F6A98" w14:textId="77C07C85"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3. NTG Adjustment Factors</w:t>
      </w:r>
      <w:r>
        <w:rPr>
          <w:noProof/>
        </w:rPr>
        <w:tab/>
      </w:r>
      <w:r>
        <w:rPr>
          <w:noProof/>
        </w:rPr>
        <w:fldChar w:fldCharType="begin"/>
      </w:r>
      <w:r>
        <w:rPr>
          <w:noProof/>
        </w:rPr>
        <w:instrText xml:space="preserve"> PAGEREF _Toc485125653 \h </w:instrText>
      </w:r>
      <w:r>
        <w:rPr>
          <w:noProof/>
        </w:rPr>
      </w:r>
      <w:r>
        <w:rPr>
          <w:noProof/>
        </w:rPr>
        <w:fldChar w:fldCharType="separate"/>
      </w:r>
      <w:r w:rsidR="00590D90">
        <w:rPr>
          <w:noProof/>
        </w:rPr>
        <w:t>19</w:t>
      </w:r>
      <w:r>
        <w:rPr>
          <w:noProof/>
        </w:rPr>
        <w:fldChar w:fldCharType="end"/>
      </w:r>
    </w:p>
    <w:p w14:paraId="1A290F21" w14:textId="00B67F72"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4. Example Present Value Comparisons for Base and Efficient Technologies and Financing</w:t>
      </w:r>
      <w:r>
        <w:rPr>
          <w:noProof/>
        </w:rPr>
        <w:tab/>
      </w:r>
      <w:r>
        <w:rPr>
          <w:noProof/>
        </w:rPr>
        <w:fldChar w:fldCharType="begin"/>
      </w:r>
      <w:r>
        <w:rPr>
          <w:noProof/>
        </w:rPr>
        <w:instrText xml:space="preserve"> PAGEREF _Toc485125654 \h </w:instrText>
      </w:r>
      <w:r>
        <w:rPr>
          <w:noProof/>
        </w:rPr>
      </w:r>
      <w:r>
        <w:rPr>
          <w:noProof/>
        </w:rPr>
        <w:fldChar w:fldCharType="separate"/>
      </w:r>
      <w:r w:rsidR="00590D90">
        <w:rPr>
          <w:noProof/>
        </w:rPr>
        <w:t>27</w:t>
      </w:r>
      <w:r>
        <w:rPr>
          <w:noProof/>
        </w:rPr>
        <w:fldChar w:fldCharType="end"/>
      </w:r>
    </w:p>
    <w:p w14:paraId="34362A86" w14:textId="6B058F49"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5. Variables Affecting Energy Efficiency Potential</w:t>
      </w:r>
      <w:r>
        <w:rPr>
          <w:noProof/>
        </w:rPr>
        <w:tab/>
      </w:r>
      <w:r>
        <w:rPr>
          <w:noProof/>
        </w:rPr>
        <w:fldChar w:fldCharType="begin"/>
      </w:r>
      <w:r>
        <w:rPr>
          <w:noProof/>
        </w:rPr>
        <w:instrText xml:space="preserve"> PAGEREF _Toc485125655 \h </w:instrText>
      </w:r>
      <w:r>
        <w:rPr>
          <w:noProof/>
        </w:rPr>
      </w:r>
      <w:r>
        <w:rPr>
          <w:noProof/>
        </w:rPr>
        <w:fldChar w:fldCharType="separate"/>
      </w:r>
      <w:r w:rsidR="00590D90">
        <w:rPr>
          <w:noProof/>
        </w:rPr>
        <w:t>28</w:t>
      </w:r>
      <w:r>
        <w:rPr>
          <w:noProof/>
        </w:rPr>
        <w:fldChar w:fldCharType="end"/>
      </w:r>
    </w:p>
    <w:p w14:paraId="1D0A1FBD" w14:textId="51D8940F"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6. Stakeholder Feedback</w:t>
      </w:r>
      <w:r>
        <w:rPr>
          <w:noProof/>
        </w:rPr>
        <w:tab/>
      </w:r>
      <w:r>
        <w:rPr>
          <w:noProof/>
        </w:rPr>
        <w:fldChar w:fldCharType="begin"/>
      </w:r>
      <w:r>
        <w:rPr>
          <w:noProof/>
        </w:rPr>
        <w:instrText xml:space="preserve"> PAGEREF _Toc485125656 \h </w:instrText>
      </w:r>
      <w:r>
        <w:rPr>
          <w:noProof/>
        </w:rPr>
      </w:r>
      <w:r>
        <w:rPr>
          <w:noProof/>
        </w:rPr>
        <w:fldChar w:fldCharType="separate"/>
      </w:r>
      <w:r w:rsidR="00590D90">
        <w:rPr>
          <w:noProof/>
        </w:rPr>
        <w:t>29</w:t>
      </w:r>
      <w:r>
        <w:rPr>
          <w:noProof/>
        </w:rPr>
        <w:fldChar w:fldCharType="end"/>
      </w:r>
    </w:p>
    <w:p w14:paraId="28704CF6" w14:textId="42CDC3B8"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7. Draft Scenarios for Energy Efficiency Potential – Summary</w:t>
      </w:r>
      <w:r>
        <w:rPr>
          <w:noProof/>
        </w:rPr>
        <w:tab/>
      </w:r>
      <w:r>
        <w:rPr>
          <w:noProof/>
        </w:rPr>
        <w:fldChar w:fldCharType="begin"/>
      </w:r>
      <w:r>
        <w:rPr>
          <w:noProof/>
        </w:rPr>
        <w:instrText xml:space="preserve"> PAGEREF _Toc485125657 \h </w:instrText>
      </w:r>
      <w:r>
        <w:rPr>
          <w:noProof/>
        </w:rPr>
      </w:r>
      <w:r>
        <w:rPr>
          <w:noProof/>
        </w:rPr>
        <w:fldChar w:fldCharType="separate"/>
      </w:r>
      <w:r w:rsidR="00590D90">
        <w:rPr>
          <w:noProof/>
        </w:rPr>
        <w:t>31</w:t>
      </w:r>
      <w:r>
        <w:rPr>
          <w:noProof/>
        </w:rPr>
        <w:fldChar w:fldCharType="end"/>
      </w:r>
    </w:p>
    <w:p w14:paraId="77452ECA" w14:textId="4F7DC39D" w:rsidR="006F57E9" w:rsidRDefault="006F57E9">
      <w:pPr>
        <w:pStyle w:val="TableofFigures"/>
        <w:rPr>
          <w:rFonts w:asciiTheme="minorHAnsi" w:eastAsiaTheme="minorEastAsia" w:hAnsiTheme="minorHAnsi" w:cstheme="minorBidi"/>
          <w:noProof/>
          <w:sz w:val="22"/>
          <w:szCs w:val="22"/>
        </w:rPr>
      </w:pPr>
      <w:r>
        <w:rPr>
          <w:noProof/>
        </w:rPr>
        <w:t>Table 2</w:t>
      </w:r>
      <w:r>
        <w:rPr>
          <w:noProof/>
        </w:rPr>
        <w:noBreakHyphen/>
        <w:t>8. Reference vs. Aggressive Programs</w:t>
      </w:r>
      <w:r>
        <w:rPr>
          <w:noProof/>
        </w:rPr>
        <w:tab/>
      </w:r>
      <w:r>
        <w:rPr>
          <w:noProof/>
        </w:rPr>
        <w:fldChar w:fldCharType="begin"/>
      </w:r>
      <w:r>
        <w:rPr>
          <w:noProof/>
        </w:rPr>
        <w:instrText xml:space="preserve"> PAGEREF _Toc485125658 \h </w:instrText>
      </w:r>
      <w:r>
        <w:rPr>
          <w:noProof/>
        </w:rPr>
      </w:r>
      <w:r>
        <w:rPr>
          <w:noProof/>
        </w:rPr>
        <w:fldChar w:fldCharType="separate"/>
      </w:r>
      <w:r w:rsidR="00590D90">
        <w:rPr>
          <w:noProof/>
        </w:rPr>
        <w:t>32</w:t>
      </w:r>
      <w:r>
        <w:rPr>
          <w:noProof/>
        </w:rPr>
        <w:fldChar w:fldCharType="end"/>
      </w:r>
    </w:p>
    <w:p w14:paraId="3420E8C7" w14:textId="1BA571B5"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 Overview of Global Inputs Updates and Sources</w:t>
      </w:r>
      <w:r>
        <w:rPr>
          <w:noProof/>
        </w:rPr>
        <w:tab/>
      </w:r>
      <w:r>
        <w:rPr>
          <w:noProof/>
        </w:rPr>
        <w:fldChar w:fldCharType="begin"/>
      </w:r>
      <w:r>
        <w:rPr>
          <w:noProof/>
        </w:rPr>
        <w:instrText xml:space="preserve"> PAGEREF _Toc485125659 \h </w:instrText>
      </w:r>
      <w:r>
        <w:rPr>
          <w:noProof/>
        </w:rPr>
      </w:r>
      <w:r>
        <w:rPr>
          <w:noProof/>
        </w:rPr>
        <w:fldChar w:fldCharType="separate"/>
      </w:r>
      <w:r w:rsidR="00590D90">
        <w:rPr>
          <w:noProof/>
        </w:rPr>
        <w:t>33</w:t>
      </w:r>
      <w:r>
        <w:rPr>
          <w:noProof/>
        </w:rPr>
        <w:fldChar w:fldCharType="end"/>
      </w:r>
    </w:p>
    <w:p w14:paraId="6D8EFB9F" w14:textId="0C03B428"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  2016 IEPR Electric Service Territory to Planning Area Adjustment Ratios</w:t>
      </w:r>
      <w:r>
        <w:rPr>
          <w:noProof/>
        </w:rPr>
        <w:tab/>
      </w:r>
      <w:r>
        <w:rPr>
          <w:noProof/>
        </w:rPr>
        <w:fldChar w:fldCharType="begin"/>
      </w:r>
      <w:r>
        <w:rPr>
          <w:noProof/>
        </w:rPr>
        <w:instrText xml:space="preserve"> PAGEREF _Toc485125660 \h </w:instrText>
      </w:r>
      <w:r>
        <w:rPr>
          <w:noProof/>
        </w:rPr>
      </w:r>
      <w:r>
        <w:rPr>
          <w:noProof/>
        </w:rPr>
        <w:fldChar w:fldCharType="separate"/>
      </w:r>
      <w:r w:rsidR="00590D90">
        <w:rPr>
          <w:noProof/>
        </w:rPr>
        <w:t>34</w:t>
      </w:r>
      <w:r>
        <w:rPr>
          <w:noProof/>
        </w:rPr>
        <w:fldChar w:fldCharType="end"/>
      </w:r>
    </w:p>
    <w:p w14:paraId="21580118" w14:textId="316E759A"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3.  2016 IEPR Gas Service Territory to Planning Area Adjustment Ratios</w:t>
      </w:r>
      <w:r>
        <w:rPr>
          <w:noProof/>
        </w:rPr>
        <w:tab/>
      </w:r>
      <w:r>
        <w:rPr>
          <w:noProof/>
        </w:rPr>
        <w:fldChar w:fldCharType="begin"/>
      </w:r>
      <w:r>
        <w:rPr>
          <w:noProof/>
        </w:rPr>
        <w:instrText xml:space="preserve"> PAGEREF _Toc485125661 \h </w:instrText>
      </w:r>
      <w:r>
        <w:rPr>
          <w:noProof/>
        </w:rPr>
      </w:r>
      <w:r>
        <w:rPr>
          <w:noProof/>
        </w:rPr>
        <w:fldChar w:fldCharType="separate"/>
      </w:r>
      <w:r w:rsidR="00590D90">
        <w:rPr>
          <w:noProof/>
        </w:rPr>
        <w:t>34</w:t>
      </w:r>
      <w:r>
        <w:rPr>
          <w:noProof/>
        </w:rPr>
        <w:fldChar w:fldCharType="end"/>
      </w:r>
    </w:p>
    <w:p w14:paraId="482EB2C9" w14:textId="72223677"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4.  Mapping CEC Planning Areas to IOU Service Territories</w:t>
      </w:r>
      <w:r>
        <w:rPr>
          <w:noProof/>
        </w:rPr>
        <w:tab/>
      </w:r>
      <w:r>
        <w:rPr>
          <w:noProof/>
        </w:rPr>
        <w:fldChar w:fldCharType="begin"/>
      </w:r>
      <w:r>
        <w:rPr>
          <w:noProof/>
        </w:rPr>
        <w:instrText xml:space="preserve"> PAGEREF _Toc485125662 \h </w:instrText>
      </w:r>
      <w:r>
        <w:rPr>
          <w:noProof/>
        </w:rPr>
      </w:r>
      <w:r>
        <w:rPr>
          <w:noProof/>
        </w:rPr>
        <w:fldChar w:fldCharType="separate"/>
      </w:r>
      <w:r w:rsidR="00590D90">
        <w:rPr>
          <w:noProof/>
        </w:rPr>
        <w:t>35</w:t>
      </w:r>
      <w:r>
        <w:rPr>
          <w:noProof/>
        </w:rPr>
        <w:fldChar w:fldCharType="end"/>
      </w:r>
    </w:p>
    <w:p w14:paraId="428DA448" w14:textId="323334DD"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5. 2013-2015 IOU-reported Portfolio Gross Program Savings</w:t>
      </w:r>
      <w:r>
        <w:rPr>
          <w:noProof/>
        </w:rPr>
        <w:tab/>
      </w:r>
      <w:r>
        <w:rPr>
          <w:noProof/>
        </w:rPr>
        <w:fldChar w:fldCharType="begin"/>
      </w:r>
      <w:r>
        <w:rPr>
          <w:noProof/>
        </w:rPr>
        <w:instrText xml:space="preserve"> PAGEREF _Toc485125663 \h </w:instrText>
      </w:r>
      <w:r>
        <w:rPr>
          <w:noProof/>
        </w:rPr>
      </w:r>
      <w:r>
        <w:rPr>
          <w:noProof/>
        </w:rPr>
        <w:fldChar w:fldCharType="separate"/>
      </w:r>
      <w:r w:rsidR="00590D90">
        <w:rPr>
          <w:noProof/>
        </w:rPr>
        <w:t>36</w:t>
      </w:r>
      <w:r>
        <w:rPr>
          <w:noProof/>
        </w:rPr>
        <w:fldChar w:fldCharType="end"/>
      </w:r>
    </w:p>
    <w:p w14:paraId="4EE44123" w14:textId="5140A864"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6. Non-Incentive Program Costs Summary</w:t>
      </w:r>
      <w:r>
        <w:rPr>
          <w:noProof/>
        </w:rPr>
        <w:tab/>
      </w:r>
      <w:r>
        <w:rPr>
          <w:noProof/>
        </w:rPr>
        <w:fldChar w:fldCharType="begin"/>
      </w:r>
      <w:r>
        <w:rPr>
          <w:noProof/>
        </w:rPr>
        <w:instrText xml:space="preserve"> PAGEREF _Toc485125664 \h </w:instrText>
      </w:r>
      <w:r>
        <w:rPr>
          <w:noProof/>
        </w:rPr>
      </w:r>
      <w:r>
        <w:rPr>
          <w:noProof/>
        </w:rPr>
        <w:fldChar w:fldCharType="separate"/>
      </w:r>
      <w:r w:rsidR="00590D90">
        <w:rPr>
          <w:noProof/>
        </w:rPr>
        <w:t>37</w:t>
      </w:r>
      <w:r>
        <w:rPr>
          <w:noProof/>
        </w:rPr>
        <w:fldChar w:fldCharType="end"/>
      </w:r>
    </w:p>
    <w:p w14:paraId="25A3B388" w14:textId="771E9983"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7.  Costs of Carbon, 2016-2046</w:t>
      </w:r>
      <w:r>
        <w:rPr>
          <w:noProof/>
        </w:rPr>
        <w:tab/>
      </w:r>
      <w:r>
        <w:rPr>
          <w:noProof/>
        </w:rPr>
        <w:fldChar w:fldCharType="begin"/>
      </w:r>
      <w:r>
        <w:rPr>
          <w:noProof/>
        </w:rPr>
        <w:instrText xml:space="preserve"> PAGEREF _Toc485125665 \h </w:instrText>
      </w:r>
      <w:r>
        <w:rPr>
          <w:noProof/>
        </w:rPr>
      </w:r>
      <w:r>
        <w:rPr>
          <w:noProof/>
        </w:rPr>
        <w:fldChar w:fldCharType="separate"/>
      </w:r>
      <w:r w:rsidR="00590D90">
        <w:rPr>
          <w:noProof/>
        </w:rPr>
        <w:t>38</w:t>
      </w:r>
      <w:r>
        <w:rPr>
          <w:noProof/>
        </w:rPr>
        <w:fldChar w:fldCharType="end"/>
      </w:r>
    </w:p>
    <w:p w14:paraId="142B3DC1" w14:textId="123A6341"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8.  Final List of Technology Groups (with Examples) and Individual Technologies</w:t>
      </w:r>
      <w:r>
        <w:rPr>
          <w:noProof/>
        </w:rPr>
        <w:tab/>
      </w:r>
      <w:r>
        <w:rPr>
          <w:noProof/>
        </w:rPr>
        <w:fldChar w:fldCharType="begin"/>
      </w:r>
      <w:r>
        <w:rPr>
          <w:noProof/>
        </w:rPr>
        <w:instrText xml:space="preserve"> PAGEREF _Toc485125666 \h </w:instrText>
      </w:r>
      <w:r>
        <w:rPr>
          <w:noProof/>
        </w:rPr>
      </w:r>
      <w:r>
        <w:rPr>
          <w:noProof/>
        </w:rPr>
        <w:fldChar w:fldCharType="separate"/>
      </w:r>
      <w:r w:rsidR="00590D90">
        <w:rPr>
          <w:noProof/>
        </w:rPr>
        <w:t>42</w:t>
      </w:r>
      <w:r>
        <w:rPr>
          <w:noProof/>
        </w:rPr>
        <w:fldChar w:fldCharType="end"/>
      </w:r>
    </w:p>
    <w:p w14:paraId="59ECC451" w14:textId="1278632A"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9.  Comparison of Efficient Residential and Commercial Technologies in 2015 and 2018 PG Study</w:t>
      </w:r>
      <w:r>
        <w:rPr>
          <w:noProof/>
        </w:rPr>
        <w:tab/>
      </w:r>
      <w:r>
        <w:rPr>
          <w:noProof/>
        </w:rPr>
        <w:fldChar w:fldCharType="begin"/>
      </w:r>
      <w:r>
        <w:rPr>
          <w:noProof/>
        </w:rPr>
        <w:instrText xml:space="preserve"> PAGEREF _Toc485125667 \h </w:instrText>
      </w:r>
      <w:r>
        <w:rPr>
          <w:noProof/>
        </w:rPr>
      </w:r>
      <w:r>
        <w:rPr>
          <w:noProof/>
        </w:rPr>
        <w:fldChar w:fldCharType="separate"/>
      </w:r>
      <w:r w:rsidR="00590D90">
        <w:rPr>
          <w:noProof/>
        </w:rPr>
        <w:t>43</w:t>
      </w:r>
      <w:r>
        <w:rPr>
          <w:noProof/>
        </w:rPr>
        <w:fldChar w:fldCharType="end"/>
      </w:r>
    </w:p>
    <w:p w14:paraId="6B3441E6" w14:textId="019F3C21"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10. Residential and Commercial Accelerated Replacement Technology Groups</w:t>
      </w:r>
      <w:r>
        <w:rPr>
          <w:noProof/>
        </w:rPr>
        <w:tab/>
      </w:r>
      <w:r>
        <w:rPr>
          <w:noProof/>
        </w:rPr>
        <w:fldChar w:fldCharType="begin"/>
      </w:r>
      <w:r>
        <w:rPr>
          <w:noProof/>
        </w:rPr>
        <w:instrText xml:space="preserve"> PAGEREF _Toc485125668 \h </w:instrText>
      </w:r>
      <w:r>
        <w:rPr>
          <w:noProof/>
        </w:rPr>
      </w:r>
      <w:r>
        <w:rPr>
          <w:noProof/>
        </w:rPr>
        <w:fldChar w:fldCharType="separate"/>
      </w:r>
      <w:r w:rsidR="00590D90">
        <w:rPr>
          <w:noProof/>
        </w:rPr>
        <w:t>44</w:t>
      </w:r>
      <w:r>
        <w:rPr>
          <w:noProof/>
        </w:rPr>
        <w:fldChar w:fldCharType="end"/>
      </w:r>
    </w:p>
    <w:p w14:paraId="4ED0F2AA" w14:textId="262FCCBC"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11. Key Fields for Measure Characterization with Brief Descriptions</w:t>
      </w:r>
      <w:r>
        <w:rPr>
          <w:noProof/>
        </w:rPr>
        <w:tab/>
      </w:r>
      <w:r>
        <w:rPr>
          <w:noProof/>
        </w:rPr>
        <w:fldChar w:fldCharType="begin"/>
      </w:r>
      <w:r>
        <w:rPr>
          <w:noProof/>
        </w:rPr>
        <w:instrText xml:space="preserve"> PAGEREF _Toc485125669 \h </w:instrText>
      </w:r>
      <w:r>
        <w:rPr>
          <w:noProof/>
        </w:rPr>
      </w:r>
      <w:r>
        <w:rPr>
          <w:noProof/>
        </w:rPr>
        <w:fldChar w:fldCharType="separate"/>
      </w:r>
      <w:r w:rsidR="00590D90">
        <w:rPr>
          <w:noProof/>
        </w:rPr>
        <w:t>45</w:t>
      </w:r>
      <w:r>
        <w:rPr>
          <w:noProof/>
        </w:rPr>
        <w:fldChar w:fldCharType="end"/>
      </w:r>
    </w:p>
    <w:p w14:paraId="40FA42FE" w14:textId="087F1036"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12.  Hierarchy of Data Sources for Energy Use Information</w:t>
      </w:r>
      <w:r>
        <w:rPr>
          <w:noProof/>
        </w:rPr>
        <w:tab/>
      </w:r>
      <w:r>
        <w:rPr>
          <w:noProof/>
        </w:rPr>
        <w:fldChar w:fldCharType="begin"/>
      </w:r>
      <w:r>
        <w:rPr>
          <w:noProof/>
        </w:rPr>
        <w:instrText xml:space="preserve"> PAGEREF _Toc485125670 \h </w:instrText>
      </w:r>
      <w:r>
        <w:rPr>
          <w:noProof/>
        </w:rPr>
      </w:r>
      <w:r>
        <w:rPr>
          <w:noProof/>
        </w:rPr>
        <w:fldChar w:fldCharType="separate"/>
      </w:r>
      <w:r w:rsidR="00590D90">
        <w:rPr>
          <w:noProof/>
        </w:rPr>
        <w:t>46</w:t>
      </w:r>
      <w:r>
        <w:rPr>
          <w:noProof/>
        </w:rPr>
        <w:fldChar w:fldCharType="end"/>
      </w:r>
    </w:p>
    <w:p w14:paraId="5BE8DEF1" w14:textId="714E2528"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13.  Hierarchy of Data Sources for Technology Cost Information</w:t>
      </w:r>
      <w:r>
        <w:rPr>
          <w:noProof/>
        </w:rPr>
        <w:tab/>
      </w:r>
      <w:r>
        <w:rPr>
          <w:noProof/>
        </w:rPr>
        <w:fldChar w:fldCharType="begin"/>
      </w:r>
      <w:r>
        <w:rPr>
          <w:noProof/>
        </w:rPr>
        <w:instrText xml:space="preserve"> PAGEREF _Toc485125671 \h </w:instrText>
      </w:r>
      <w:r>
        <w:rPr>
          <w:noProof/>
        </w:rPr>
      </w:r>
      <w:r>
        <w:rPr>
          <w:noProof/>
        </w:rPr>
        <w:fldChar w:fldCharType="separate"/>
      </w:r>
      <w:r w:rsidR="00590D90">
        <w:rPr>
          <w:noProof/>
        </w:rPr>
        <w:t>47</w:t>
      </w:r>
      <w:r>
        <w:rPr>
          <w:noProof/>
        </w:rPr>
        <w:fldChar w:fldCharType="end"/>
      </w:r>
    </w:p>
    <w:p w14:paraId="0FBDA722" w14:textId="041380C5" w:rsidR="006F57E9" w:rsidRDefault="006F57E9">
      <w:pPr>
        <w:pStyle w:val="TableofFigures"/>
        <w:rPr>
          <w:rFonts w:asciiTheme="minorHAnsi" w:eastAsiaTheme="minorEastAsia" w:hAnsiTheme="minorHAnsi" w:cstheme="minorBidi"/>
          <w:noProof/>
          <w:sz w:val="22"/>
          <w:szCs w:val="22"/>
        </w:rPr>
      </w:pPr>
      <w:r>
        <w:rPr>
          <w:noProof/>
        </w:rPr>
        <w:lastRenderedPageBreak/>
        <w:t>Table 3</w:t>
      </w:r>
      <w:r>
        <w:rPr>
          <w:noProof/>
        </w:rPr>
        <w:noBreakHyphen/>
        <w:t>14.  Example of Density and Saturation Calculation</w:t>
      </w:r>
      <w:r>
        <w:rPr>
          <w:noProof/>
        </w:rPr>
        <w:tab/>
      </w:r>
      <w:r>
        <w:rPr>
          <w:noProof/>
        </w:rPr>
        <w:fldChar w:fldCharType="begin"/>
      </w:r>
      <w:r>
        <w:rPr>
          <w:noProof/>
        </w:rPr>
        <w:instrText xml:space="preserve"> PAGEREF _Toc485125672 \h </w:instrText>
      </w:r>
      <w:r>
        <w:rPr>
          <w:noProof/>
        </w:rPr>
      </w:r>
      <w:r>
        <w:rPr>
          <w:noProof/>
        </w:rPr>
        <w:fldChar w:fldCharType="separate"/>
      </w:r>
      <w:r w:rsidR="00590D90">
        <w:rPr>
          <w:noProof/>
        </w:rPr>
        <w:t>49</w:t>
      </w:r>
      <w:r>
        <w:rPr>
          <w:noProof/>
        </w:rPr>
        <w:fldChar w:fldCharType="end"/>
      </w:r>
    </w:p>
    <w:p w14:paraId="79C1862F" w14:textId="58AD3584"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15.  Sources for Density and Saturation Characterization</w:t>
      </w:r>
      <w:r>
        <w:rPr>
          <w:noProof/>
        </w:rPr>
        <w:tab/>
      </w:r>
      <w:r>
        <w:rPr>
          <w:noProof/>
        </w:rPr>
        <w:fldChar w:fldCharType="begin"/>
      </w:r>
      <w:r>
        <w:rPr>
          <w:noProof/>
        </w:rPr>
        <w:instrText xml:space="preserve"> PAGEREF _Toc485125673 \h </w:instrText>
      </w:r>
      <w:r>
        <w:rPr>
          <w:noProof/>
        </w:rPr>
      </w:r>
      <w:r>
        <w:rPr>
          <w:noProof/>
        </w:rPr>
        <w:fldChar w:fldCharType="separate"/>
      </w:r>
      <w:r w:rsidR="00590D90">
        <w:rPr>
          <w:noProof/>
        </w:rPr>
        <w:t>51</w:t>
      </w:r>
      <w:r>
        <w:rPr>
          <w:noProof/>
        </w:rPr>
        <w:fldChar w:fldCharType="end"/>
      </w:r>
    </w:p>
    <w:p w14:paraId="1045BA2E" w14:textId="5D6C64FB"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16. Final List of Technology Groups and Individual Technologies</w:t>
      </w:r>
      <w:r>
        <w:rPr>
          <w:noProof/>
        </w:rPr>
        <w:tab/>
      </w:r>
      <w:r>
        <w:rPr>
          <w:noProof/>
        </w:rPr>
        <w:fldChar w:fldCharType="begin"/>
      </w:r>
      <w:r>
        <w:rPr>
          <w:noProof/>
        </w:rPr>
        <w:instrText xml:space="preserve"> PAGEREF _Toc485125674 \h </w:instrText>
      </w:r>
      <w:r>
        <w:rPr>
          <w:noProof/>
        </w:rPr>
      </w:r>
      <w:r>
        <w:rPr>
          <w:noProof/>
        </w:rPr>
        <w:fldChar w:fldCharType="separate"/>
      </w:r>
      <w:r w:rsidR="00590D90">
        <w:rPr>
          <w:noProof/>
        </w:rPr>
        <w:t>53</w:t>
      </w:r>
      <w:r>
        <w:rPr>
          <w:noProof/>
        </w:rPr>
        <w:fldChar w:fldCharType="end"/>
      </w:r>
    </w:p>
    <w:p w14:paraId="5E0428FC" w14:textId="768570A4"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17. Generic Custom Measures - Key Assumptions</w:t>
      </w:r>
      <w:r>
        <w:rPr>
          <w:noProof/>
        </w:rPr>
        <w:tab/>
      </w:r>
      <w:r>
        <w:rPr>
          <w:noProof/>
        </w:rPr>
        <w:fldChar w:fldCharType="begin"/>
      </w:r>
      <w:r>
        <w:rPr>
          <w:noProof/>
        </w:rPr>
        <w:instrText xml:space="preserve"> PAGEREF _Toc485125675 \h </w:instrText>
      </w:r>
      <w:r>
        <w:rPr>
          <w:noProof/>
        </w:rPr>
      </w:r>
      <w:r>
        <w:rPr>
          <w:noProof/>
        </w:rPr>
        <w:fldChar w:fldCharType="separate"/>
      </w:r>
      <w:r w:rsidR="00590D90">
        <w:rPr>
          <w:noProof/>
        </w:rPr>
        <w:t>57</w:t>
      </w:r>
      <w:r>
        <w:rPr>
          <w:noProof/>
        </w:rPr>
        <w:fldChar w:fldCharType="end"/>
      </w:r>
    </w:p>
    <w:p w14:paraId="60A5472D" w14:textId="2D20EC87"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18. Emerging Technologies - Key Assumptions</w:t>
      </w:r>
      <w:r>
        <w:rPr>
          <w:noProof/>
        </w:rPr>
        <w:tab/>
      </w:r>
      <w:r>
        <w:rPr>
          <w:noProof/>
        </w:rPr>
        <w:fldChar w:fldCharType="begin"/>
      </w:r>
      <w:r>
        <w:rPr>
          <w:noProof/>
        </w:rPr>
        <w:instrText xml:space="preserve"> PAGEREF _Toc485125676 \h </w:instrText>
      </w:r>
      <w:r>
        <w:rPr>
          <w:noProof/>
        </w:rPr>
      </w:r>
      <w:r>
        <w:rPr>
          <w:noProof/>
        </w:rPr>
        <w:fldChar w:fldCharType="separate"/>
      </w:r>
      <w:r w:rsidR="00590D90">
        <w:rPr>
          <w:noProof/>
        </w:rPr>
        <w:t>59</w:t>
      </w:r>
      <w:r>
        <w:rPr>
          <w:noProof/>
        </w:rPr>
        <w:fldChar w:fldCharType="end"/>
      </w:r>
    </w:p>
    <w:p w14:paraId="3FA87E50" w14:textId="2CDC26D5"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19. Whole Building Technology Levels</w:t>
      </w:r>
      <w:r>
        <w:rPr>
          <w:noProof/>
        </w:rPr>
        <w:tab/>
      </w:r>
      <w:r>
        <w:rPr>
          <w:noProof/>
        </w:rPr>
        <w:fldChar w:fldCharType="begin"/>
      </w:r>
      <w:r>
        <w:rPr>
          <w:noProof/>
        </w:rPr>
        <w:instrText xml:space="preserve"> PAGEREF _Toc485125677 \h </w:instrText>
      </w:r>
      <w:r>
        <w:rPr>
          <w:noProof/>
        </w:rPr>
      </w:r>
      <w:r>
        <w:rPr>
          <w:noProof/>
        </w:rPr>
        <w:fldChar w:fldCharType="separate"/>
      </w:r>
      <w:r w:rsidR="00590D90">
        <w:rPr>
          <w:noProof/>
        </w:rPr>
        <w:t>60</w:t>
      </w:r>
      <w:r>
        <w:rPr>
          <w:noProof/>
        </w:rPr>
        <w:fldChar w:fldCharType="end"/>
      </w:r>
    </w:p>
    <w:p w14:paraId="3E028B4B" w14:textId="373742C8"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20. Commercial New Construction Whole Building Data Sources</w:t>
      </w:r>
      <w:r>
        <w:rPr>
          <w:noProof/>
        </w:rPr>
        <w:tab/>
      </w:r>
      <w:r>
        <w:rPr>
          <w:noProof/>
        </w:rPr>
        <w:fldChar w:fldCharType="begin"/>
      </w:r>
      <w:r>
        <w:rPr>
          <w:noProof/>
        </w:rPr>
        <w:instrText xml:space="preserve"> PAGEREF _Toc485125678 \h </w:instrText>
      </w:r>
      <w:r>
        <w:rPr>
          <w:noProof/>
        </w:rPr>
      </w:r>
      <w:r>
        <w:rPr>
          <w:noProof/>
        </w:rPr>
        <w:fldChar w:fldCharType="separate"/>
      </w:r>
      <w:r w:rsidR="00590D90">
        <w:rPr>
          <w:noProof/>
        </w:rPr>
        <w:t>61</w:t>
      </w:r>
      <w:r>
        <w:rPr>
          <w:noProof/>
        </w:rPr>
        <w:fldChar w:fldCharType="end"/>
      </w:r>
    </w:p>
    <w:p w14:paraId="02A699FC" w14:textId="3542607D"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21. Residential New Construction Whole Building Data Sources</w:t>
      </w:r>
      <w:r>
        <w:rPr>
          <w:noProof/>
        </w:rPr>
        <w:tab/>
      </w:r>
      <w:r>
        <w:rPr>
          <w:noProof/>
        </w:rPr>
        <w:fldChar w:fldCharType="begin"/>
      </w:r>
      <w:r>
        <w:rPr>
          <w:noProof/>
        </w:rPr>
        <w:instrText xml:space="preserve"> PAGEREF _Toc485125679 \h </w:instrText>
      </w:r>
      <w:r>
        <w:rPr>
          <w:noProof/>
        </w:rPr>
      </w:r>
      <w:r>
        <w:rPr>
          <w:noProof/>
        </w:rPr>
        <w:fldChar w:fldCharType="separate"/>
      </w:r>
      <w:r w:rsidR="00590D90">
        <w:rPr>
          <w:noProof/>
        </w:rPr>
        <w:t>62</w:t>
      </w:r>
      <w:r>
        <w:rPr>
          <w:noProof/>
        </w:rPr>
        <w:fldChar w:fldCharType="end"/>
      </w:r>
    </w:p>
    <w:p w14:paraId="4C6E14F0" w14:textId="146F0F2C"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22. Commercial Retrofit Whole Building Data Sources</w:t>
      </w:r>
      <w:r>
        <w:rPr>
          <w:noProof/>
        </w:rPr>
        <w:tab/>
      </w:r>
      <w:r>
        <w:rPr>
          <w:noProof/>
        </w:rPr>
        <w:fldChar w:fldCharType="begin"/>
      </w:r>
      <w:r>
        <w:rPr>
          <w:noProof/>
        </w:rPr>
        <w:instrText xml:space="preserve"> PAGEREF _Toc485125680 \h </w:instrText>
      </w:r>
      <w:r>
        <w:rPr>
          <w:noProof/>
        </w:rPr>
      </w:r>
      <w:r>
        <w:rPr>
          <w:noProof/>
        </w:rPr>
        <w:fldChar w:fldCharType="separate"/>
      </w:r>
      <w:r w:rsidR="00590D90">
        <w:rPr>
          <w:noProof/>
        </w:rPr>
        <w:t>64</w:t>
      </w:r>
      <w:r>
        <w:rPr>
          <w:noProof/>
        </w:rPr>
        <w:fldChar w:fldCharType="end"/>
      </w:r>
    </w:p>
    <w:p w14:paraId="36262477" w14:textId="081B4B75"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23. Residential Retrofit Whole Building Data Updates</w:t>
      </w:r>
      <w:r>
        <w:rPr>
          <w:noProof/>
        </w:rPr>
        <w:tab/>
      </w:r>
      <w:r>
        <w:rPr>
          <w:noProof/>
        </w:rPr>
        <w:fldChar w:fldCharType="begin"/>
      </w:r>
      <w:r>
        <w:rPr>
          <w:noProof/>
        </w:rPr>
        <w:instrText xml:space="preserve"> PAGEREF _Toc485125681 \h </w:instrText>
      </w:r>
      <w:r>
        <w:rPr>
          <w:noProof/>
        </w:rPr>
      </w:r>
      <w:r>
        <w:rPr>
          <w:noProof/>
        </w:rPr>
        <w:fldChar w:fldCharType="separate"/>
      </w:r>
      <w:r w:rsidR="00590D90">
        <w:rPr>
          <w:noProof/>
        </w:rPr>
        <w:t>64</w:t>
      </w:r>
      <w:r>
        <w:rPr>
          <w:noProof/>
        </w:rPr>
        <w:fldChar w:fldCharType="end"/>
      </w:r>
    </w:p>
    <w:p w14:paraId="7051BB93" w14:textId="6B243C33"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24 C&amp;S Data Source Summary</w:t>
      </w:r>
      <w:r>
        <w:rPr>
          <w:noProof/>
        </w:rPr>
        <w:tab/>
      </w:r>
      <w:r>
        <w:rPr>
          <w:noProof/>
        </w:rPr>
        <w:fldChar w:fldCharType="begin"/>
      </w:r>
      <w:r>
        <w:rPr>
          <w:noProof/>
        </w:rPr>
        <w:instrText xml:space="preserve"> PAGEREF _Toc485125682 \h </w:instrText>
      </w:r>
      <w:r>
        <w:rPr>
          <w:noProof/>
        </w:rPr>
      </w:r>
      <w:r>
        <w:rPr>
          <w:noProof/>
        </w:rPr>
        <w:fldChar w:fldCharType="separate"/>
      </w:r>
      <w:r w:rsidR="00590D90">
        <w:rPr>
          <w:noProof/>
        </w:rPr>
        <w:t>65</w:t>
      </w:r>
      <w:r>
        <w:rPr>
          <w:noProof/>
        </w:rPr>
        <w:fldChar w:fldCharType="end"/>
      </w:r>
    </w:p>
    <w:p w14:paraId="0A95E826" w14:textId="20B201E1"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25. Behavioral Intervention Summary Table</w:t>
      </w:r>
      <w:r>
        <w:rPr>
          <w:noProof/>
        </w:rPr>
        <w:tab/>
      </w:r>
      <w:r>
        <w:rPr>
          <w:noProof/>
        </w:rPr>
        <w:fldChar w:fldCharType="begin"/>
      </w:r>
      <w:r>
        <w:rPr>
          <w:noProof/>
        </w:rPr>
        <w:instrText xml:space="preserve"> PAGEREF _Toc485125683 \h </w:instrText>
      </w:r>
      <w:r>
        <w:rPr>
          <w:noProof/>
        </w:rPr>
      </w:r>
      <w:r>
        <w:rPr>
          <w:noProof/>
        </w:rPr>
        <w:fldChar w:fldCharType="separate"/>
      </w:r>
      <w:r w:rsidR="00590D90">
        <w:rPr>
          <w:noProof/>
        </w:rPr>
        <w:t>69</w:t>
      </w:r>
      <w:r>
        <w:rPr>
          <w:noProof/>
        </w:rPr>
        <w:fldChar w:fldCharType="end"/>
      </w:r>
    </w:p>
    <w:p w14:paraId="33F7A317" w14:textId="3741F5E6"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26. Stakeholder Feedback</w:t>
      </w:r>
      <w:r>
        <w:rPr>
          <w:noProof/>
        </w:rPr>
        <w:tab/>
      </w:r>
      <w:r>
        <w:rPr>
          <w:noProof/>
        </w:rPr>
        <w:fldChar w:fldCharType="begin"/>
      </w:r>
      <w:r>
        <w:rPr>
          <w:noProof/>
        </w:rPr>
        <w:instrText xml:space="preserve"> PAGEREF _Toc485125684 \h </w:instrText>
      </w:r>
      <w:r>
        <w:rPr>
          <w:noProof/>
        </w:rPr>
      </w:r>
      <w:r>
        <w:rPr>
          <w:noProof/>
        </w:rPr>
        <w:fldChar w:fldCharType="separate"/>
      </w:r>
      <w:r w:rsidR="00590D90">
        <w:rPr>
          <w:noProof/>
        </w:rPr>
        <w:t>71</w:t>
      </w:r>
      <w:r>
        <w:rPr>
          <w:noProof/>
        </w:rPr>
        <w:fldChar w:fldCharType="end"/>
      </w:r>
    </w:p>
    <w:p w14:paraId="3E38866B" w14:textId="60B4E198"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27. Qualitative Assessment of Data Quality</w:t>
      </w:r>
      <w:r>
        <w:rPr>
          <w:noProof/>
        </w:rPr>
        <w:tab/>
      </w:r>
      <w:r>
        <w:rPr>
          <w:noProof/>
        </w:rPr>
        <w:fldChar w:fldCharType="begin"/>
      </w:r>
      <w:r>
        <w:rPr>
          <w:noProof/>
        </w:rPr>
        <w:instrText xml:space="preserve"> PAGEREF _Toc485125685 \h </w:instrText>
      </w:r>
      <w:r>
        <w:rPr>
          <w:noProof/>
        </w:rPr>
      </w:r>
      <w:r>
        <w:rPr>
          <w:noProof/>
        </w:rPr>
        <w:fldChar w:fldCharType="separate"/>
      </w:r>
      <w:r w:rsidR="00590D90">
        <w:rPr>
          <w:noProof/>
        </w:rPr>
        <w:t>73</w:t>
      </w:r>
      <w:r>
        <w:rPr>
          <w:noProof/>
        </w:rPr>
        <w:fldChar w:fldCharType="end"/>
      </w:r>
    </w:p>
    <w:p w14:paraId="19898147" w14:textId="1BEACA60"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28. 2013-2015 Achievements by Regional Financing Program</w:t>
      </w:r>
      <w:r>
        <w:rPr>
          <w:noProof/>
        </w:rPr>
        <w:tab/>
      </w:r>
      <w:r>
        <w:rPr>
          <w:noProof/>
        </w:rPr>
        <w:fldChar w:fldCharType="begin"/>
      </w:r>
      <w:r>
        <w:rPr>
          <w:noProof/>
        </w:rPr>
        <w:instrText xml:space="preserve"> PAGEREF _Toc485125686 \h </w:instrText>
      </w:r>
      <w:r>
        <w:rPr>
          <w:noProof/>
        </w:rPr>
      </w:r>
      <w:r>
        <w:rPr>
          <w:noProof/>
        </w:rPr>
        <w:fldChar w:fldCharType="separate"/>
      </w:r>
      <w:r w:rsidR="00590D90">
        <w:rPr>
          <w:noProof/>
        </w:rPr>
        <w:t>75</w:t>
      </w:r>
      <w:r>
        <w:rPr>
          <w:noProof/>
        </w:rPr>
        <w:fldChar w:fldCharType="end"/>
      </w:r>
    </w:p>
    <w:p w14:paraId="4B31426E" w14:textId="7667300C"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29. Key Inputs to Residential Financing Cash Flow Model</w:t>
      </w:r>
      <w:r>
        <w:rPr>
          <w:noProof/>
        </w:rPr>
        <w:tab/>
      </w:r>
      <w:r>
        <w:rPr>
          <w:noProof/>
        </w:rPr>
        <w:fldChar w:fldCharType="begin"/>
      </w:r>
      <w:r>
        <w:rPr>
          <w:noProof/>
        </w:rPr>
        <w:instrText xml:space="preserve"> PAGEREF _Toc485125687 \h </w:instrText>
      </w:r>
      <w:r>
        <w:rPr>
          <w:noProof/>
        </w:rPr>
      </w:r>
      <w:r>
        <w:rPr>
          <w:noProof/>
        </w:rPr>
        <w:fldChar w:fldCharType="separate"/>
      </w:r>
      <w:r w:rsidR="00590D90">
        <w:rPr>
          <w:noProof/>
        </w:rPr>
        <w:t>76</w:t>
      </w:r>
      <w:r>
        <w:rPr>
          <w:noProof/>
        </w:rPr>
        <w:fldChar w:fldCharType="end"/>
      </w:r>
    </w:p>
    <w:p w14:paraId="3BCE544C" w14:textId="16817A99" w:rsidR="006F57E9" w:rsidRDefault="006F57E9">
      <w:pPr>
        <w:pStyle w:val="TableofFigures"/>
        <w:rPr>
          <w:rFonts w:asciiTheme="minorHAnsi" w:eastAsiaTheme="minorEastAsia" w:hAnsiTheme="minorHAnsi" w:cstheme="minorBidi"/>
          <w:noProof/>
          <w:sz w:val="22"/>
          <w:szCs w:val="22"/>
        </w:rPr>
      </w:pPr>
      <w:r>
        <w:rPr>
          <w:noProof/>
        </w:rPr>
        <w:t>Table 3</w:t>
      </w:r>
      <w:r>
        <w:rPr>
          <w:noProof/>
        </w:rPr>
        <w:noBreakHyphen/>
        <w:t>30. Key Inputs to Commercial and Industrial (C&amp;I) Financing Cash Flow Model</w:t>
      </w:r>
      <w:r>
        <w:rPr>
          <w:noProof/>
        </w:rPr>
        <w:tab/>
      </w:r>
      <w:r>
        <w:rPr>
          <w:noProof/>
        </w:rPr>
        <w:fldChar w:fldCharType="begin"/>
      </w:r>
      <w:r>
        <w:rPr>
          <w:noProof/>
        </w:rPr>
        <w:instrText xml:space="preserve"> PAGEREF _Toc485125688 \h </w:instrText>
      </w:r>
      <w:r>
        <w:rPr>
          <w:noProof/>
        </w:rPr>
      </w:r>
      <w:r>
        <w:rPr>
          <w:noProof/>
        </w:rPr>
        <w:fldChar w:fldCharType="separate"/>
      </w:r>
      <w:r w:rsidR="00590D90">
        <w:rPr>
          <w:noProof/>
        </w:rPr>
        <w:t>77</w:t>
      </w:r>
      <w:r>
        <w:rPr>
          <w:noProof/>
        </w:rPr>
        <w:fldChar w:fldCharType="end"/>
      </w:r>
    </w:p>
    <w:p w14:paraId="7584B562" w14:textId="0B2286CC" w:rsidR="006F57E9" w:rsidRDefault="006F57E9">
      <w:pPr>
        <w:pStyle w:val="TableofFigures"/>
        <w:rPr>
          <w:rFonts w:asciiTheme="minorHAnsi" w:eastAsiaTheme="minorEastAsia" w:hAnsiTheme="minorHAnsi" w:cstheme="minorBidi"/>
          <w:noProof/>
          <w:sz w:val="22"/>
          <w:szCs w:val="22"/>
        </w:rPr>
      </w:pPr>
      <w:r>
        <w:rPr>
          <w:noProof/>
        </w:rPr>
        <w:t>Table 4</w:t>
      </w:r>
      <w:r>
        <w:rPr>
          <w:noProof/>
        </w:rPr>
        <w:noBreakHyphen/>
        <w:t>1. Statewide Incremental Electric Savings by Scenario</w:t>
      </w:r>
      <w:r>
        <w:rPr>
          <w:noProof/>
        </w:rPr>
        <w:tab/>
      </w:r>
      <w:r>
        <w:rPr>
          <w:noProof/>
        </w:rPr>
        <w:fldChar w:fldCharType="begin"/>
      </w:r>
      <w:r>
        <w:rPr>
          <w:noProof/>
        </w:rPr>
        <w:instrText xml:space="preserve"> PAGEREF _Toc485125689 \h </w:instrText>
      </w:r>
      <w:r>
        <w:rPr>
          <w:noProof/>
        </w:rPr>
      </w:r>
      <w:r>
        <w:rPr>
          <w:noProof/>
        </w:rPr>
        <w:fldChar w:fldCharType="separate"/>
      </w:r>
      <w:r w:rsidR="00590D90">
        <w:rPr>
          <w:noProof/>
        </w:rPr>
        <w:t>79</w:t>
      </w:r>
      <w:r>
        <w:rPr>
          <w:noProof/>
        </w:rPr>
        <w:fldChar w:fldCharType="end"/>
      </w:r>
    </w:p>
    <w:p w14:paraId="7F2F5F44" w14:textId="18CCBC72" w:rsidR="006F57E9" w:rsidRDefault="006F57E9">
      <w:pPr>
        <w:pStyle w:val="TableofFigures"/>
        <w:rPr>
          <w:rFonts w:asciiTheme="minorHAnsi" w:eastAsiaTheme="minorEastAsia" w:hAnsiTheme="minorHAnsi" w:cstheme="minorBidi"/>
          <w:noProof/>
          <w:sz w:val="22"/>
          <w:szCs w:val="22"/>
        </w:rPr>
      </w:pPr>
      <w:r>
        <w:rPr>
          <w:noProof/>
        </w:rPr>
        <w:t>Table 4</w:t>
      </w:r>
      <w:r>
        <w:rPr>
          <w:noProof/>
        </w:rPr>
        <w:noBreakHyphen/>
        <w:t>2. Statewide Incremental Demand Savings by Scenario</w:t>
      </w:r>
      <w:r>
        <w:rPr>
          <w:noProof/>
        </w:rPr>
        <w:tab/>
      </w:r>
      <w:r>
        <w:rPr>
          <w:noProof/>
        </w:rPr>
        <w:fldChar w:fldCharType="begin"/>
      </w:r>
      <w:r>
        <w:rPr>
          <w:noProof/>
        </w:rPr>
        <w:instrText xml:space="preserve"> PAGEREF _Toc485125690 \h </w:instrText>
      </w:r>
      <w:r>
        <w:rPr>
          <w:noProof/>
        </w:rPr>
      </w:r>
      <w:r>
        <w:rPr>
          <w:noProof/>
        </w:rPr>
        <w:fldChar w:fldCharType="separate"/>
      </w:r>
      <w:r w:rsidR="00590D90">
        <w:rPr>
          <w:noProof/>
        </w:rPr>
        <w:t>80</w:t>
      </w:r>
      <w:r>
        <w:rPr>
          <w:noProof/>
        </w:rPr>
        <w:fldChar w:fldCharType="end"/>
      </w:r>
    </w:p>
    <w:p w14:paraId="5766BED8" w14:textId="43228D2D" w:rsidR="006F57E9" w:rsidRDefault="006F57E9">
      <w:pPr>
        <w:pStyle w:val="TableofFigures"/>
        <w:rPr>
          <w:rFonts w:asciiTheme="minorHAnsi" w:eastAsiaTheme="minorEastAsia" w:hAnsiTheme="minorHAnsi" w:cstheme="minorBidi"/>
          <w:noProof/>
          <w:sz w:val="22"/>
          <w:szCs w:val="22"/>
        </w:rPr>
      </w:pPr>
      <w:r>
        <w:rPr>
          <w:noProof/>
        </w:rPr>
        <w:t>Table 4</w:t>
      </w:r>
      <w:r>
        <w:rPr>
          <w:noProof/>
        </w:rPr>
        <w:noBreakHyphen/>
        <w:t>3. Statewide Incremental Gas Savings by Scenario</w:t>
      </w:r>
      <w:r>
        <w:rPr>
          <w:noProof/>
        </w:rPr>
        <w:tab/>
      </w:r>
      <w:r>
        <w:rPr>
          <w:noProof/>
        </w:rPr>
        <w:fldChar w:fldCharType="begin"/>
      </w:r>
      <w:r>
        <w:rPr>
          <w:noProof/>
        </w:rPr>
        <w:instrText xml:space="preserve"> PAGEREF _Toc485125691 \h </w:instrText>
      </w:r>
      <w:r>
        <w:rPr>
          <w:noProof/>
        </w:rPr>
      </w:r>
      <w:r>
        <w:rPr>
          <w:noProof/>
        </w:rPr>
        <w:fldChar w:fldCharType="separate"/>
      </w:r>
      <w:r w:rsidR="00590D90">
        <w:rPr>
          <w:noProof/>
        </w:rPr>
        <w:t>81</w:t>
      </w:r>
      <w:r>
        <w:rPr>
          <w:noProof/>
        </w:rPr>
        <w:fldChar w:fldCharType="end"/>
      </w:r>
    </w:p>
    <w:p w14:paraId="1BB44A26" w14:textId="42331BA5" w:rsidR="006F57E9" w:rsidRDefault="006F57E9">
      <w:pPr>
        <w:pStyle w:val="TableofFigures"/>
        <w:rPr>
          <w:rFonts w:asciiTheme="minorHAnsi" w:eastAsiaTheme="minorEastAsia" w:hAnsiTheme="minorHAnsi" w:cstheme="minorBidi"/>
          <w:noProof/>
          <w:sz w:val="22"/>
          <w:szCs w:val="22"/>
        </w:rPr>
      </w:pPr>
      <w:r>
        <w:rPr>
          <w:noProof/>
        </w:rPr>
        <w:t>Table 4</w:t>
      </w:r>
      <w:r>
        <w:rPr>
          <w:noProof/>
        </w:rPr>
        <w:noBreakHyphen/>
        <w:t>3. Results Viewer Tabs</w:t>
      </w:r>
      <w:r>
        <w:rPr>
          <w:noProof/>
        </w:rPr>
        <w:tab/>
      </w:r>
      <w:r>
        <w:rPr>
          <w:noProof/>
        </w:rPr>
        <w:fldChar w:fldCharType="begin"/>
      </w:r>
      <w:r>
        <w:rPr>
          <w:noProof/>
        </w:rPr>
        <w:instrText xml:space="preserve"> PAGEREF _Toc485125692 \h </w:instrText>
      </w:r>
      <w:r>
        <w:rPr>
          <w:noProof/>
        </w:rPr>
      </w:r>
      <w:r>
        <w:rPr>
          <w:noProof/>
        </w:rPr>
        <w:fldChar w:fldCharType="separate"/>
      </w:r>
      <w:r w:rsidR="00590D90">
        <w:rPr>
          <w:noProof/>
        </w:rPr>
        <w:t>104</w:t>
      </w:r>
      <w:r>
        <w:rPr>
          <w:noProof/>
        </w:rPr>
        <w:fldChar w:fldCharType="end"/>
      </w:r>
    </w:p>
    <w:p w14:paraId="6E8D59EF" w14:textId="681C6885" w:rsidR="006F57E9" w:rsidRDefault="006F57E9">
      <w:pPr>
        <w:pStyle w:val="TableofFigures"/>
        <w:rPr>
          <w:rFonts w:asciiTheme="minorHAnsi" w:eastAsiaTheme="minorEastAsia" w:hAnsiTheme="minorHAnsi" w:cstheme="minorBidi"/>
          <w:noProof/>
          <w:sz w:val="22"/>
          <w:szCs w:val="22"/>
        </w:rPr>
      </w:pPr>
      <w:r>
        <w:rPr>
          <w:noProof/>
        </w:rPr>
        <w:t>Table 5</w:t>
      </w:r>
      <w:r>
        <w:rPr>
          <w:noProof/>
        </w:rPr>
        <w:noBreakHyphen/>
        <w:t>1. Rebate Program Results Comparison – Gross Electric Savings</w:t>
      </w:r>
      <w:r>
        <w:rPr>
          <w:noProof/>
        </w:rPr>
        <w:tab/>
      </w:r>
      <w:r>
        <w:rPr>
          <w:noProof/>
        </w:rPr>
        <w:fldChar w:fldCharType="begin"/>
      </w:r>
      <w:r>
        <w:rPr>
          <w:noProof/>
        </w:rPr>
        <w:instrText xml:space="preserve"> PAGEREF _Toc485125693 \h </w:instrText>
      </w:r>
      <w:r>
        <w:rPr>
          <w:noProof/>
        </w:rPr>
      </w:r>
      <w:r>
        <w:rPr>
          <w:noProof/>
        </w:rPr>
        <w:fldChar w:fldCharType="separate"/>
      </w:r>
      <w:r w:rsidR="00590D90">
        <w:rPr>
          <w:noProof/>
        </w:rPr>
        <w:t>108</w:t>
      </w:r>
      <w:r>
        <w:rPr>
          <w:noProof/>
        </w:rPr>
        <w:fldChar w:fldCharType="end"/>
      </w:r>
    </w:p>
    <w:p w14:paraId="3FC026A0" w14:textId="27E2C51A" w:rsidR="006F57E9" w:rsidRDefault="006F57E9">
      <w:pPr>
        <w:pStyle w:val="TableofFigures"/>
        <w:rPr>
          <w:rFonts w:asciiTheme="minorHAnsi" w:eastAsiaTheme="minorEastAsia" w:hAnsiTheme="minorHAnsi" w:cstheme="minorBidi"/>
          <w:noProof/>
          <w:sz w:val="22"/>
          <w:szCs w:val="22"/>
        </w:rPr>
      </w:pPr>
      <w:r>
        <w:rPr>
          <w:noProof/>
        </w:rPr>
        <w:t>Table 5</w:t>
      </w:r>
      <w:r>
        <w:rPr>
          <w:noProof/>
        </w:rPr>
        <w:noBreakHyphen/>
        <w:t>2. Rebate Program Results Comparison – Gross Gas Savings</w:t>
      </w:r>
      <w:r>
        <w:rPr>
          <w:noProof/>
        </w:rPr>
        <w:tab/>
      </w:r>
      <w:r>
        <w:rPr>
          <w:noProof/>
        </w:rPr>
        <w:fldChar w:fldCharType="begin"/>
      </w:r>
      <w:r>
        <w:rPr>
          <w:noProof/>
        </w:rPr>
        <w:instrText xml:space="preserve"> PAGEREF _Toc485125694 \h </w:instrText>
      </w:r>
      <w:r>
        <w:rPr>
          <w:noProof/>
        </w:rPr>
      </w:r>
      <w:r>
        <w:rPr>
          <w:noProof/>
        </w:rPr>
        <w:fldChar w:fldCharType="separate"/>
      </w:r>
      <w:r w:rsidR="00590D90">
        <w:rPr>
          <w:noProof/>
        </w:rPr>
        <w:t>109</w:t>
      </w:r>
      <w:r>
        <w:rPr>
          <w:noProof/>
        </w:rPr>
        <w:fldChar w:fldCharType="end"/>
      </w:r>
    </w:p>
    <w:p w14:paraId="4996AB41" w14:textId="236C790C" w:rsidR="006F57E9" w:rsidRDefault="006F57E9">
      <w:pPr>
        <w:pStyle w:val="TableofFigures"/>
        <w:rPr>
          <w:rFonts w:asciiTheme="minorHAnsi" w:eastAsiaTheme="minorEastAsia" w:hAnsiTheme="minorHAnsi" w:cstheme="minorBidi"/>
          <w:noProof/>
          <w:sz w:val="22"/>
          <w:szCs w:val="22"/>
        </w:rPr>
      </w:pPr>
      <w:r>
        <w:rPr>
          <w:noProof/>
        </w:rPr>
        <w:t>Table 5</w:t>
      </w:r>
      <w:r>
        <w:rPr>
          <w:noProof/>
        </w:rPr>
        <w:noBreakHyphen/>
        <w:t>3. BROs Results Comparison - Electric</w:t>
      </w:r>
      <w:r>
        <w:rPr>
          <w:noProof/>
        </w:rPr>
        <w:tab/>
      </w:r>
      <w:r>
        <w:rPr>
          <w:noProof/>
        </w:rPr>
        <w:fldChar w:fldCharType="begin"/>
      </w:r>
      <w:r>
        <w:rPr>
          <w:noProof/>
        </w:rPr>
        <w:instrText xml:space="preserve"> PAGEREF _Toc485125695 \h </w:instrText>
      </w:r>
      <w:r>
        <w:rPr>
          <w:noProof/>
        </w:rPr>
      </w:r>
      <w:r>
        <w:rPr>
          <w:noProof/>
        </w:rPr>
        <w:fldChar w:fldCharType="separate"/>
      </w:r>
      <w:r w:rsidR="00590D90">
        <w:rPr>
          <w:noProof/>
        </w:rPr>
        <w:t>109</w:t>
      </w:r>
      <w:r>
        <w:rPr>
          <w:noProof/>
        </w:rPr>
        <w:fldChar w:fldCharType="end"/>
      </w:r>
    </w:p>
    <w:p w14:paraId="3434C25E" w14:textId="46B63A47" w:rsidR="006F57E9" w:rsidRDefault="006F57E9">
      <w:pPr>
        <w:pStyle w:val="TableofFigures"/>
        <w:rPr>
          <w:rFonts w:asciiTheme="minorHAnsi" w:eastAsiaTheme="minorEastAsia" w:hAnsiTheme="minorHAnsi" w:cstheme="minorBidi"/>
          <w:noProof/>
          <w:sz w:val="22"/>
          <w:szCs w:val="22"/>
        </w:rPr>
      </w:pPr>
      <w:r>
        <w:rPr>
          <w:noProof/>
        </w:rPr>
        <w:t>Table 5</w:t>
      </w:r>
      <w:r>
        <w:rPr>
          <w:noProof/>
        </w:rPr>
        <w:noBreakHyphen/>
        <w:t>4. BROs Program Results Comparison - Gas</w:t>
      </w:r>
      <w:r>
        <w:rPr>
          <w:noProof/>
        </w:rPr>
        <w:tab/>
      </w:r>
      <w:r>
        <w:rPr>
          <w:noProof/>
        </w:rPr>
        <w:fldChar w:fldCharType="begin"/>
      </w:r>
      <w:r>
        <w:rPr>
          <w:noProof/>
        </w:rPr>
        <w:instrText xml:space="preserve"> PAGEREF _Toc485125696 \h </w:instrText>
      </w:r>
      <w:r>
        <w:rPr>
          <w:noProof/>
        </w:rPr>
      </w:r>
      <w:r>
        <w:rPr>
          <w:noProof/>
        </w:rPr>
        <w:fldChar w:fldCharType="separate"/>
      </w:r>
      <w:r w:rsidR="00590D90">
        <w:rPr>
          <w:noProof/>
        </w:rPr>
        <w:t>110</w:t>
      </w:r>
      <w:r>
        <w:rPr>
          <w:noProof/>
        </w:rPr>
        <w:fldChar w:fldCharType="end"/>
      </w:r>
    </w:p>
    <w:p w14:paraId="67115D3F" w14:textId="45FE0A8C" w:rsidR="006F57E9" w:rsidRDefault="006F57E9">
      <w:pPr>
        <w:pStyle w:val="TableofFigures"/>
        <w:rPr>
          <w:rFonts w:asciiTheme="minorHAnsi" w:eastAsiaTheme="minorEastAsia" w:hAnsiTheme="minorHAnsi" w:cstheme="minorBidi"/>
          <w:noProof/>
          <w:sz w:val="22"/>
          <w:szCs w:val="22"/>
        </w:rPr>
      </w:pPr>
      <w:r>
        <w:rPr>
          <w:noProof/>
        </w:rPr>
        <w:t>Table 5</w:t>
      </w:r>
      <w:r>
        <w:rPr>
          <w:noProof/>
        </w:rPr>
        <w:noBreakHyphen/>
        <w:t>5. C&amp;S Program Results Comparison - Electric</w:t>
      </w:r>
      <w:r>
        <w:rPr>
          <w:noProof/>
        </w:rPr>
        <w:tab/>
      </w:r>
      <w:r>
        <w:rPr>
          <w:noProof/>
        </w:rPr>
        <w:fldChar w:fldCharType="begin"/>
      </w:r>
      <w:r>
        <w:rPr>
          <w:noProof/>
        </w:rPr>
        <w:instrText xml:space="preserve"> PAGEREF _Toc485125697 \h </w:instrText>
      </w:r>
      <w:r>
        <w:rPr>
          <w:noProof/>
        </w:rPr>
      </w:r>
      <w:r>
        <w:rPr>
          <w:noProof/>
        </w:rPr>
        <w:fldChar w:fldCharType="separate"/>
      </w:r>
      <w:r w:rsidR="00590D90">
        <w:rPr>
          <w:noProof/>
        </w:rPr>
        <w:t>110</w:t>
      </w:r>
      <w:r>
        <w:rPr>
          <w:noProof/>
        </w:rPr>
        <w:fldChar w:fldCharType="end"/>
      </w:r>
    </w:p>
    <w:p w14:paraId="20333692" w14:textId="716E7D78" w:rsidR="006F57E9" w:rsidRDefault="006F57E9">
      <w:pPr>
        <w:pStyle w:val="TableofFigures"/>
        <w:rPr>
          <w:rFonts w:asciiTheme="minorHAnsi" w:eastAsiaTheme="minorEastAsia" w:hAnsiTheme="minorHAnsi" w:cstheme="minorBidi"/>
          <w:noProof/>
          <w:sz w:val="22"/>
          <w:szCs w:val="22"/>
        </w:rPr>
      </w:pPr>
      <w:r>
        <w:rPr>
          <w:noProof/>
        </w:rPr>
        <w:t>Table 5</w:t>
      </w:r>
      <w:r>
        <w:rPr>
          <w:noProof/>
        </w:rPr>
        <w:noBreakHyphen/>
        <w:t>6. C&amp;S Program Results Comparison - Gas</w:t>
      </w:r>
      <w:r>
        <w:rPr>
          <w:noProof/>
        </w:rPr>
        <w:tab/>
      </w:r>
      <w:r>
        <w:rPr>
          <w:noProof/>
        </w:rPr>
        <w:fldChar w:fldCharType="begin"/>
      </w:r>
      <w:r>
        <w:rPr>
          <w:noProof/>
        </w:rPr>
        <w:instrText xml:space="preserve"> PAGEREF _Toc485125698 \h </w:instrText>
      </w:r>
      <w:r>
        <w:rPr>
          <w:noProof/>
        </w:rPr>
      </w:r>
      <w:r>
        <w:rPr>
          <w:noProof/>
        </w:rPr>
        <w:fldChar w:fldCharType="separate"/>
      </w:r>
      <w:r w:rsidR="00590D90">
        <w:rPr>
          <w:noProof/>
        </w:rPr>
        <w:t>110</w:t>
      </w:r>
      <w:r>
        <w:rPr>
          <w:noProof/>
        </w:rPr>
        <w:fldChar w:fldCharType="end"/>
      </w:r>
    </w:p>
    <w:p w14:paraId="5F500B69" w14:textId="77777777" w:rsidR="00590D90" w:rsidRDefault="00CB6DF9" w:rsidP="00CB6DF9">
      <w:pPr>
        <w:pStyle w:val="Headerinfo"/>
        <w:rPr>
          <w:color w:val="auto"/>
          <w:sz w:val="20"/>
          <w:szCs w:val="20"/>
        </w:rPr>
      </w:pPr>
      <w:r w:rsidRPr="00BB59F5">
        <w:rPr>
          <w:color w:val="auto"/>
          <w:sz w:val="20"/>
          <w:szCs w:val="20"/>
        </w:rPr>
        <w:fldChar w:fldCharType="end"/>
      </w:r>
    </w:p>
    <w:p w14:paraId="6FB20AD8" w14:textId="46F1B689" w:rsidR="006F57E9" w:rsidRDefault="00590D90" w:rsidP="00CB6DF9">
      <w:pPr>
        <w:pStyle w:val="Headerinfo"/>
      </w:pPr>
      <w:r>
        <w:rPr>
          <w:b/>
          <w:color w:val="auto"/>
          <w:sz w:val="20"/>
          <w:szCs w:val="20"/>
        </w:rPr>
        <w:t>Appendix Tables</w:t>
      </w:r>
      <w:r w:rsidR="00CB6DF9" w:rsidRPr="00957936">
        <w:rPr>
          <w:color w:val="auto"/>
          <w:sz w:val="20"/>
          <w:szCs w:val="20"/>
        </w:rPr>
        <w:fldChar w:fldCharType="begin"/>
      </w:r>
      <w:r w:rsidR="00CB6DF9" w:rsidRPr="00957936">
        <w:rPr>
          <w:color w:val="auto"/>
          <w:sz w:val="20"/>
          <w:szCs w:val="20"/>
        </w:rPr>
        <w:instrText xml:space="preserve"> TOC \c "Table_Apx" </w:instrText>
      </w:r>
      <w:r w:rsidR="00CB6DF9" w:rsidRPr="00957936">
        <w:rPr>
          <w:color w:val="auto"/>
          <w:sz w:val="20"/>
          <w:szCs w:val="20"/>
        </w:rPr>
        <w:fldChar w:fldCharType="separate"/>
      </w:r>
    </w:p>
    <w:p w14:paraId="1C56E566" w14:textId="4FFC838B" w:rsidR="006F57E9" w:rsidRDefault="006F57E9">
      <w:pPr>
        <w:pStyle w:val="TableofFigures"/>
        <w:rPr>
          <w:rFonts w:asciiTheme="minorHAnsi" w:eastAsiaTheme="minorEastAsia" w:hAnsiTheme="minorHAnsi" w:cstheme="minorBidi"/>
          <w:noProof/>
          <w:sz w:val="22"/>
          <w:szCs w:val="22"/>
        </w:rPr>
      </w:pPr>
      <w:r>
        <w:rPr>
          <w:noProof/>
        </w:rPr>
        <w:t>Table A</w:t>
      </w:r>
      <w:r>
        <w:rPr>
          <w:noProof/>
        </w:rPr>
        <w:noBreakHyphen/>
        <w:t>1. Calibration Levers</w:t>
      </w:r>
      <w:r>
        <w:rPr>
          <w:noProof/>
        </w:rPr>
        <w:tab/>
      </w:r>
      <w:r>
        <w:rPr>
          <w:noProof/>
        </w:rPr>
        <w:fldChar w:fldCharType="begin"/>
      </w:r>
      <w:r>
        <w:rPr>
          <w:noProof/>
        </w:rPr>
        <w:instrText xml:space="preserve"> PAGEREF _Toc485125601 \h </w:instrText>
      </w:r>
      <w:r>
        <w:rPr>
          <w:noProof/>
        </w:rPr>
      </w:r>
      <w:r>
        <w:rPr>
          <w:noProof/>
        </w:rPr>
        <w:fldChar w:fldCharType="separate"/>
      </w:r>
      <w:r>
        <w:rPr>
          <w:noProof/>
        </w:rPr>
        <w:t>A-5</w:t>
      </w:r>
      <w:r>
        <w:rPr>
          <w:noProof/>
        </w:rPr>
        <w:fldChar w:fldCharType="end"/>
      </w:r>
    </w:p>
    <w:p w14:paraId="4CAB474E" w14:textId="14787DBE"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1. Home Energy Reports - Key Assumptions</w:t>
      </w:r>
      <w:r>
        <w:rPr>
          <w:noProof/>
        </w:rPr>
        <w:tab/>
      </w:r>
      <w:r>
        <w:rPr>
          <w:noProof/>
        </w:rPr>
        <w:fldChar w:fldCharType="begin"/>
      </w:r>
      <w:r>
        <w:rPr>
          <w:noProof/>
        </w:rPr>
        <w:instrText xml:space="preserve"> PAGEREF _Toc485125602 \h </w:instrText>
      </w:r>
      <w:r>
        <w:rPr>
          <w:noProof/>
        </w:rPr>
      </w:r>
      <w:r>
        <w:rPr>
          <w:noProof/>
        </w:rPr>
        <w:fldChar w:fldCharType="separate"/>
      </w:r>
      <w:r>
        <w:rPr>
          <w:noProof/>
        </w:rPr>
        <w:t>B-1</w:t>
      </w:r>
      <w:r>
        <w:rPr>
          <w:noProof/>
        </w:rPr>
        <w:fldChar w:fldCharType="end"/>
      </w:r>
    </w:p>
    <w:p w14:paraId="61DB5F97" w14:textId="1C398F17"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2. Real-Time Feedback - Key Assumptions</w:t>
      </w:r>
      <w:r>
        <w:rPr>
          <w:noProof/>
        </w:rPr>
        <w:tab/>
      </w:r>
      <w:r>
        <w:rPr>
          <w:noProof/>
        </w:rPr>
        <w:fldChar w:fldCharType="begin"/>
      </w:r>
      <w:r>
        <w:rPr>
          <w:noProof/>
        </w:rPr>
        <w:instrText xml:space="preserve"> PAGEREF _Toc485125603 \h </w:instrText>
      </w:r>
      <w:r>
        <w:rPr>
          <w:noProof/>
        </w:rPr>
      </w:r>
      <w:r>
        <w:rPr>
          <w:noProof/>
        </w:rPr>
        <w:fldChar w:fldCharType="separate"/>
      </w:r>
      <w:r>
        <w:rPr>
          <w:noProof/>
        </w:rPr>
        <w:t>B-5</w:t>
      </w:r>
      <w:r>
        <w:rPr>
          <w:noProof/>
        </w:rPr>
        <w:fldChar w:fldCharType="end"/>
      </w:r>
    </w:p>
    <w:p w14:paraId="37EEFF0B" w14:textId="163EC28D"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3. Residential Competitions - Key Assumptions</w:t>
      </w:r>
      <w:r>
        <w:rPr>
          <w:noProof/>
        </w:rPr>
        <w:tab/>
      </w:r>
      <w:r>
        <w:rPr>
          <w:noProof/>
        </w:rPr>
        <w:fldChar w:fldCharType="begin"/>
      </w:r>
      <w:r>
        <w:rPr>
          <w:noProof/>
        </w:rPr>
        <w:instrText xml:space="preserve"> PAGEREF _Toc485125604 \h </w:instrText>
      </w:r>
      <w:r>
        <w:rPr>
          <w:noProof/>
        </w:rPr>
      </w:r>
      <w:r>
        <w:rPr>
          <w:noProof/>
        </w:rPr>
        <w:fldChar w:fldCharType="separate"/>
      </w:r>
      <w:r>
        <w:rPr>
          <w:noProof/>
        </w:rPr>
        <w:t>B-7</w:t>
      </w:r>
      <w:r>
        <w:rPr>
          <w:noProof/>
        </w:rPr>
        <w:fldChar w:fldCharType="end"/>
      </w:r>
    </w:p>
    <w:p w14:paraId="66BB2502" w14:textId="4FDF547C"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4. Commercial Strategic Energy Management - Key Assumptions</w:t>
      </w:r>
      <w:r>
        <w:rPr>
          <w:noProof/>
        </w:rPr>
        <w:tab/>
      </w:r>
      <w:r>
        <w:rPr>
          <w:noProof/>
        </w:rPr>
        <w:fldChar w:fldCharType="begin"/>
      </w:r>
      <w:r>
        <w:rPr>
          <w:noProof/>
        </w:rPr>
        <w:instrText xml:space="preserve"> PAGEREF _Toc485125605 \h </w:instrText>
      </w:r>
      <w:r>
        <w:rPr>
          <w:noProof/>
        </w:rPr>
      </w:r>
      <w:r>
        <w:rPr>
          <w:noProof/>
        </w:rPr>
        <w:fldChar w:fldCharType="separate"/>
      </w:r>
      <w:r>
        <w:rPr>
          <w:noProof/>
        </w:rPr>
        <w:t>B-9</w:t>
      </w:r>
      <w:r>
        <w:rPr>
          <w:noProof/>
        </w:rPr>
        <w:fldChar w:fldCharType="end"/>
      </w:r>
    </w:p>
    <w:p w14:paraId="348799AA" w14:textId="4D062FA8"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5. Commercial Building Operator Training - Key Assumptions</w:t>
      </w:r>
      <w:r>
        <w:rPr>
          <w:noProof/>
        </w:rPr>
        <w:tab/>
      </w:r>
      <w:r>
        <w:rPr>
          <w:noProof/>
        </w:rPr>
        <w:fldChar w:fldCharType="begin"/>
      </w:r>
      <w:r>
        <w:rPr>
          <w:noProof/>
        </w:rPr>
        <w:instrText xml:space="preserve"> PAGEREF _Toc485125606 \h </w:instrText>
      </w:r>
      <w:r>
        <w:rPr>
          <w:noProof/>
        </w:rPr>
      </w:r>
      <w:r>
        <w:rPr>
          <w:noProof/>
        </w:rPr>
        <w:fldChar w:fldCharType="separate"/>
      </w:r>
      <w:r>
        <w:rPr>
          <w:noProof/>
        </w:rPr>
        <w:t>B-12</w:t>
      </w:r>
      <w:r>
        <w:rPr>
          <w:noProof/>
        </w:rPr>
        <w:fldChar w:fldCharType="end"/>
      </w:r>
    </w:p>
    <w:p w14:paraId="511EE3BA" w14:textId="205C344D" w:rsidR="006F57E9" w:rsidRDefault="006F57E9">
      <w:pPr>
        <w:pStyle w:val="TableofFigures"/>
        <w:rPr>
          <w:rFonts w:asciiTheme="minorHAnsi" w:eastAsiaTheme="minorEastAsia" w:hAnsiTheme="minorHAnsi" w:cstheme="minorBidi"/>
          <w:noProof/>
          <w:sz w:val="22"/>
          <w:szCs w:val="22"/>
        </w:rPr>
      </w:pPr>
      <w:r w:rsidRPr="00790859">
        <w:rPr>
          <w:noProof/>
          <w:color w:val="000000"/>
        </w:rPr>
        <w:t>Table B</w:t>
      </w:r>
      <w:r w:rsidRPr="00790859">
        <w:rPr>
          <w:noProof/>
          <w:color w:val="000000"/>
        </w:rPr>
        <w:noBreakHyphen/>
        <w:t>6. Building Energy and Information Management Systems - Key Assumptions</w:t>
      </w:r>
      <w:r>
        <w:rPr>
          <w:noProof/>
        </w:rPr>
        <w:tab/>
      </w:r>
      <w:r>
        <w:rPr>
          <w:noProof/>
        </w:rPr>
        <w:fldChar w:fldCharType="begin"/>
      </w:r>
      <w:r>
        <w:rPr>
          <w:noProof/>
        </w:rPr>
        <w:instrText xml:space="preserve"> PAGEREF _Toc485125607 \h </w:instrText>
      </w:r>
      <w:r>
        <w:rPr>
          <w:noProof/>
        </w:rPr>
      </w:r>
      <w:r>
        <w:rPr>
          <w:noProof/>
        </w:rPr>
        <w:fldChar w:fldCharType="separate"/>
      </w:r>
      <w:r>
        <w:rPr>
          <w:noProof/>
        </w:rPr>
        <w:t>B-13</w:t>
      </w:r>
      <w:r>
        <w:rPr>
          <w:noProof/>
        </w:rPr>
        <w:fldChar w:fldCharType="end"/>
      </w:r>
    </w:p>
    <w:p w14:paraId="29132FA9" w14:textId="6FFCA107"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7. Business Energy Reports - Key Assumptions</w:t>
      </w:r>
      <w:r>
        <w:rPr>
          <w:noProof/>
        </w:rPr>
        <w:tab/>
      </w:r>
      <w:r>
        <w:rPr>
          <w:noProof/>
        </w:rPr>
        <w:fldChar w:fldCharType="begin"/>
      </w:r>
      <w:r>
        <w:rPr>
          <w:noProof/>
        </w:rPr>
        <w:instrText xml:space="preserve"> PAGEREF _Toc485125608 \h </w:instrText>
      </w:r>
      <w:r>
        <w:rPr>
          <w:noProof/>
        </w:rPr>
      </w:r>
      <w:r>
        <w:rPr>
          <w:noProof/>
        </w:rPr>
        <w:fldChar w:fldCharType="separate"/>
      </w:r>
      <w:r>
        <w:rPr>
          <w:noProof/>
        </w:rPr>
        <w:t>B-15</w:t>
      </w:r>
      <w:r>
        <w:rPr>
          <w:noProof/>
        </w:rPr>
        <w:fldChar w:fldCharType="end"/>
      </w:r>
    </w:p>
    <w:p w14:paraId="60183F1C" w14:textId="32B242F5"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8. Benchmarking - Key Assumptions</w:t>
      </w:r>
      <w:r>
        <w:rPr>
          <w:noProof/>
        </w:rPr>
        <w:tab/>
      </w:r>
      <w:r>
        <w:rPr>
          <w:noProof/>
        </w:rPr>
        <w:fldChar w:fldCharType="begin"/>
      </w:r>
      <w:r>
        <w:rPr>
          <w:noProof/>
        </w:rPr>
        <w:instrText xml:space="preserve"> PAGEREF _Toc485125609 \h </w:instrText>
      </w:r>
      <w:r>
        <w:rPr>
          <w:noProof/>
        </w:rPr>
      </w:r>
      <w:r>
        <w:rPr>
          <w:noProof/>
        </w:rPr>
        <w:fldChar w:fldCharType="separate"/>
      </w:r>
      <w:r>
        <w:rPr>
          <w:noProof/>
        </w:rPr>
        <w:t>B-17</w:t>
      </w:r>
      <w:r>
        <w:rPr>
          <w:noProof/>
        </w:rPr>
        <w:fldChar w:fldCharType="end"/>
      </w:r>
    </w:p>
    <w:p w14:paraId="1D39F169" w14:textId="14EB50AE"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9. Commercial Competitions - Key Assumptions</w:t>
      </w:r>
      <w:r>
        <w:rPr>
          <w:noProof/>
        </w:rPr>
        <w:tab/>
      </w:r>
      <w:r>
        <w:rPr>
          <w:noProof/>
        </w:rPr>
        <w:fldChar w:fldCharType="begin"/>
      </w:r>
      <w:r>
        <w:rPr>
          <w:noProof/>
        </w:rPr>
        <w:instrText xml:space="preserve"> PAGEREF _Toc485125610 \h </w:instrText>
      </w:r>
      <w:r>
        <w:rPr>
          <w:noProof/>
        </w:rPr>
      </w:r>
      <w:r>
        <w:rPr>
          <w:noProof/>
        </w:rPr>
        <w:fldChar w:fldCharType="separate"/>
      </w:r>
      <w:r>
        <w:rPr>
          <w:noProof/>
        </w:rPr>
        <w:t>B-19</w:t>
      </w:r>
      <w:r>
        <w:rPr>
          <w:noProof/>
        </w:rPr>
        <w:fldChar w:fldCharType="end"/>
      </w:r>
    </w:p>
    <w:p w14:paraId="52EF139F" w14:textId="45AD1B01" w:rsidR="006F57E9" w:rsidRDefault="006F57E9">
      <w:pPr>
        <w:pStyle w:val="TableofFigures"/>
        <w:rPr>
          <w:rFonts w:asciiTheme="minorHAnsi" w:eastAsiaTheme="minorEastAsia" w:hAnsiTheme="minorHAnsi" w:cstheme="minorBidi"/>
          <w:noProof/>
          <w:sz w:val="22"/>
          <w:szCs w:val="22"/>
        </w:rPr>
      </w:pPr>
      <w:r w:rsidRPr="00790859">
        <w:rPr>
          <w:noProof/>
        </w:rPr>
        <w:t>Table B</w:t>
      </w:r>
      <w:r w:rsidRPr="00790859">
        <w:rPr>
          <w:noProof/>
        </w:rPr>
        <w:noBreakHyphen/>
        <w:t>10. Commercial Retrocommissioning - Key Assumptions</w:t>
      </w:r>
      <w:r>
        <w:rPr>
          <w:noProof/>
        </w:rPr>
        <w:tab/>
      </w:r>
      <w:r>
        <w:rPr>
          <w:noProof/>
        </w:rPr>
        <w:fldChar w:fldCharType="begin"/>
      </w:r>
      <w:r>
        <w:rPr>
          <w:noProof/>
        </w:rPr>
        <w:instrText xml:space="preserve"> PAGEREF _Toc485125611 \h </w:instrText>
      </w:r>
      <w:r>
        <w:rPr>
          <w:noProof/>
        </w:rPr>
      </w:r>
      <w:r>
        <w:rPr>
          <w:noProof/>
        </w:rPr>
        <w:fldChar w:fldCharType="separate"/>
      </w:r>
      <w:r>
        <w:rPr>
          <w:noProof/>
        </w:rPr>
        <w:t>B-21</w:t>
      </w:r>
      <w:r>
        <w:rPr>
          <w:noProof/>
        </w:rPr>
        <w:fldChar w:fldCharType="end"/>
      </w:r>
    </w:p>
    <w:p w14:paraId="38D0A9BB" w14:textId="06860157"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11. Industrial/Agriculture SEM - Key Assumptions</w:t>
      </w:r>
      <w:r>
        <w:rPr>
          <w:noProof/>
        </w:rPr>
        <w:tab/>
      </w:r>
      <w:r>
        <w:rPr>
          <w:noProof/>
        </w:rPr>
        <w:fldChar w:fldCharType="begin"/>
      </w:r>
      <w:r>
        <w:rPr>
          <w:noProof/>
        </w:rPr>
        <w:instrText xml:space="preserve"> PAGEREF _Toc485125612 \h </w:instrText>
      </w:r>
      <w:r>
        <w:rPr>
          <w:noProof/>
        </w:rPr>
      </w:r>
      <w:r>
        <w:rPr>
          <w:noProof/>
        </w:rPr>
        <w:fldChar w:fldCharType="separate"/>
      </w:r>
      <w:r>
        <w:rPr>
          <w:noProof/>
        </w:rPr>
        <w:t>B-23</w:t>
      </w:r>
      <w:r>
        <w:rPr>
          <w:noProof/>
        </w:rPr>
        <w:fldChar w:fldCharType="end"/>
      </w:r>
    </w:p>
    <w:p w14:paraId="380C4526" w14:textId="3DC3ECB1"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12. Industrial Sector Strategic Energy Management Unit Energy Savings Multiplier</w:t>
      </w:r>
      <w:r>
        <w:rPr>
          <w:noProof/>
        </w:rPr>
        <w:tab/>
      </w:r>
      <w:r>
        <w:rPr>
          <w:noProof/>
        </w:rPr>
        <w:fldChar w:fldCharType="begin"/>
      </w:r>
      <w:r>
        <w:rPr>
          <w:noProof/>
        </w:rPr>
        <w:instrText xml:space="preserve"> PAGEREF _Toc485125613 \h </w:instrText>
      </w:r>
      <w:r>
        <w:rPr>
          <w:noProof/>
        </w:rPr>
      </w:r>
      <w:r>
        <w:rPr>
          <w:noProof/>
        </w:rPr>
        <w:fldChar w:fldCharType="separate"/>
      </w:r>
      <w:r>
        <w:rPr>
          <w:noProof/>
        </w:rPr>
        <w:t>B-25</w:t>
      </w:r>
      <w:r>
        <w:rPr>
          <w:noProof/>
        </w:rPr>
        <w:fldChar w:fldCharType="end"/>
      </w:r>
    </w:p>
    <w:p w14:paraId="49C590F4" w14:textId="1CF712B9" w:rsidR="006F57E9" w:rsidRDefault="006F57E9">
      <w:pPr>
        <w:pStyle w:val="TableofFigures"/>
        <w:rPr>
          <w:rFonts w:asciiTheme="minorHAnsi" w:eastAsiaTheme="minorEastAsia" w:hAnsiTheme="minorHAnsi" w:cstheme="minorBidi"/>
          <w:noProof/>
          <w:sz w:val="22"/>
          <w:szCs w:val="22"/>
        </w:rPr>
      </w:pPr>
      <w:r>
        <w:rPr>
          <w:noProof/>
        </w:rPr>
        <w:t>Table B</w:t>
      </w:r>
      <w:r>
        <w:rPr>
          <w:noProof/>
        </w:rPr>
        <w:noBreakHyphen/>
        <w:t>13. Agricultural Sector Strategic Energy Management Unit Energy Savings Multiplier</w:t>
      </w:r>
      <w:r>
        <w:rPr>
          <w:noProof/>
        </w:rPr>
        <w:tab/>
      </w:r>
      <w:r>
        <w:rPr>
          <w:noProof/>
        </w:rPr>
        <w:fldChar w:fldCharType="begin"/>
      </w:r>
      <w:r>
        <w:rPr>
          <w:noProof/>
        </w:rPr>
        <w:instrText xml:space="preserve"> PAGEREF _Toc485125614 \h </w:instrText>
      </w:r>
      <w:r>
        <w:rPr>
          <w:noProof/>
        </w:rPr>
      </w:r>
      <w:r>
        <w:rPr>
          <w:noProof/>
        </w:rPr>
        <w:fldChar w:fldCharType="separate"/>
      </w:r>
      <w:r>
        <w:rPr>
          <w:noProof/>
        </w:rPr>
        <w:t>B-26</w:t>
      </w:r>
      <w:r>
        <w:rPr>
          <w:noProof/>
        </w:rPr>
        <w:fldChar w:fldCharType="end"/>
      </w:r>
    </w:p>
    <w:p w14:paraId="3B56CBCA" w14:textId="02869222" w:rsidR="006F57E9" w:rsidRDefault="006F57E9">
      <w:pPr>
        <w:pStyle w:val="TableofFigures"/>
        <w:rPr>
          <w:rFonts w:asciiTheme="minorHAnsi" w:eastAsiaTheme="minorEastAsia" w:hAnsiTheme="minorHAnsi" w:cstheme="minorBidi"/>
          <w:noProof/>
          <w:sz w:val="22"/>
          <w:szCs w:val="22"/>
        </w:rPr>
      </w:pPr>
      <w:r>
        <w:rPr>
          <w:noProof/>
        </w:rPr>
        <w:t>Table D</w:t>
      </w:r>
      <w:r>
        <w:rPr>
          <w:noProof/>
        </w:rPr>
        <w:noBreakHyphen/>
        <w:t>1. C&amp;S Modeled</w:t>
      </w:r>
      <w:r>
        <w:rPr>
          <w:noProof/>
        </w:rPr>
        <w:tab/>
      </w:r>
      <w:r>
        <w:rPr>
          <w:noProof/>
        </w:rPr>
        <w:fldChar w:fldCharType="begin"/>
      </w:r>
      <w:r>
        <w:rPr>
          <w:noProof/>
        </w:rPr>
        <w:instrText xml:space="preserve"> PAGEREF _Toc485125615 \h </w:instrText>
      </w:r>
      <w:r>
        <w:rPr>
          <w:noProof/>
        </w:rPr>
      </w:r>
      <w:r>
        <w:rPr>
          <w:noProof/>
        </w:rPr>
        <w:fldChar w:fldCharType="separate"/>
      </w:r>
      <w:r>
        <w:rPr>
          <w:noProof/>
        </w:rPr>
        <w:t>D-1</w:t>
      </w:r>
      <w:r>
        <w:rPr>
          <w:noProof/>
        </w:rPr>
        <w:fldChar w:fldCharType="end"/>
      </w:r>
    </w:p>
    <w:p w14:paraId="0BD4D47C" w14:textId="782C0C7F" w:rsidR="006F57E9" w:rsidRDefault="006F57E9">
      <w:pPr>
        <w:pStyle w:val="TableofFigures"/>
        <w:rPr>
          <w:rFonts w:asciiTheme="minorHAnsi" w:eastAsiaTheme="minorEastAsia" w:hAnsiTheme="minorHAnsi" w:cstheme="minorBidi"/>
          <w:noProof/>
          <w:sz w:val="22"/>
          <w:szCs w:val="22"/>
        </w:rPr>
      </w:pPr>
      <w:r>
        <w:rPr>
          <w:noProof/>
        </w:rPr>
        <w:t>Table D</w:t>
      </w:r>
      <w:r>
        <w:rPr>
          <w:noProof/>
        </w:rPr>
        <w:noBreakHyphen/>
        <w:t>2. C&amp;S Superseded Codes and Standards</w:t>
      </w:r>
      <w:r>
        <w:rPr>
          <w:noProof/>
        </w:rPr>
        <w:tab/>
      </w:r>
      <w:r>
        <w:rPr>
          <w:noProof/>
        </w:rPr>
        <w:fldChar w:fldCharType="begin"/>
      </w:r>
      <w:r>
        <w:rPr>
          <w:noProof/>
        </w:rPr>
        <w:instrText xml:space="preserve"> PAGEREF _Toc485125616 \h </w:instrText>
      </w:r>
      <w:r>
        <w:rPr>
          <w:noProof/>
        </w:rPr>
      </w:r>
      <w:r>
        <w:rPr>
          <w:noProof/>
        </w:rPr>
        <w:fldChar w:fldCharType="separate"/>
      </w:r>
      <w:r>
        <w:rPr>
          <w:noProof/>
        </w:rPr>
        <w:t>D-8</w:t>
      </w:r>
      <w:r>
        <w:rPr>
          <w:noProof/>
        </w:rPr>
        <w:fldChar w:fldCharType="end"/>
      </w:r>
    </w:p>
    <w:p w14:paraId="7EE85330" w14:textId="0D55F3FA" w:rsidR="006F57E9" w:rsidRDefault="006F57E9">
      <w:pPr>
        <w:pStyle w:val="TableofFigures"/>
        <w:rPr>
          <w:rFonts w:asciiTheme="minorHAnsi" w:eastAsiaTheme="minorEastAsia" w:hAnsiTheme="minorHAnsi" w:cstheme="minorBidi"/>
          <w:noProof/>
          <w:sz w:val="22"/>
          <w:szCs w:val="22"/>
        </w:rPr>
      </w:pPr>
      <w:r>
        <w:rPr>
          <w:noProof/>
        </w:rPr>
        <w:t>Table E</w:t>
      </w:r>
      <w:r>
        <w:rPr>
          <w:noProof/>
        </w:rPr>
        <w:noBreakHyphen/>
        <w:t>1. Industrial/Agriculture GC - Key Assumptions</w:t>
      </w:r>
      <w:r>
        <w:rPr>
          <w:noProof/>
        </w:rPr>
        <w:tab/>
      </w:r>
      <w:r>
        <w:rPr>
          <w:noProof/>
        </w:rPr>
        <w:fldChar w:fldCharType="begin"/>
      </w:r>
      <w:r>
        <w:rPr>
          <w:noProof/>
        </w:rPr>
        <w:instrText xml:space="preserve"> PAGEREF _Toc485125617 \h </w:instrText>
      </w:r>
      <w:r>
        <w:rPr>
          <w:noProof/>
        </w:rPr>
      </w:r>
      <w:r>
        <w:rPr>
          <w:noProof/>
        </w:rPr>
        <w:fldChar w:fldCharType="separate"/>
      </w:r>
      <w:r>
        <w:rPr>
          <w:noProof/>
        </w:rPr>
        <w:t>E-1</w:t>
      </w:r>
      <w:r>
        <w:rPr>
          <w:noProof/>
        </w:rPr>
        <w:fldChar w:fldCharType="end"/>
      </w:r>
    </w:p>
    <w:p w14:paraId="31CC56D8" w14:textId="4DEE34C5" w:rsidR="006F57E9" w:rsidRDefault="006F57E9">
      <w:pPr>
        <w:pStyle w:val="TableofFigures"/>
        <w:rPr>
          <w:rFonts w:asciiTheme="minorHAnsi" w:eastAsiaTheme="minorEastAsia" w:hAnsiTheme="minorHAnsi" w:cstheme="minorBidi"/>
          <w:noProof/>
          <w:sz w:val="22"/>
          <w:szCs w:val="22"/>
        </w:rPr>
      </w:pPr>
      <w:r>
        <w:rPr>
          <w:noProof/>
        </w:rPr>
        <w:t>Table E</w:t>
      </w:r>
      <w:r>
        <w:rPr>
          <w:noProof/>
        </w:rPr>
        <w:noBreakHyphen/>
        <w:t>2. Generic Custom Unit Energy Savings Multiplier</w:t>
      </w:r>
      <w:r>
        <w:rPr>
          <w:noProof/>
        </w:rPr>
        <w:tab/>
      </w:r>
      <w:r>
        <w:rPr>
          <w:noProof/>
        </w:rPr>
        <w:fldChar w:fldCharType="begin"/>
      </w:r>
      <w:r>
        <w:rPr>
          <w:noProof/>
        </w:rPr>
        <w:instrText xml:space="preserve"> PAGEREF _Toc485125618 \h </w:instrText>
      </w:r>
      <w:r>
        <w:rPr>
          <w:noProof/>
        </w:rPr>
      </w:r>
      <w:r>
        <w:rPr>
          <w:noProof/>
        </w:rPr>
        <w:fldChar w:fldCharType="separate"/>
      </w:r>
      <w:r>
        <w:rPr>
          <w:noProof/>
        </w:rPr>
        <w:t>E-2</w:t>
      </w:r>
      <w:r>
        <w:rPr>
          <w:noProof/>
        </w:rPr>
        <w:fldChar w:fldCharType="end"/>
      </w:r>
    </w:p>
    <w:p w14:paraId="072C606F" w14:textId="0B3F5097" w:rsidR="006F57E9" w:rsidRDefault="006F57E9">
      <w:pPr>
        <w:pStyle w:val="TableofFigures"/>
        <w:rPr>
          <w:rFonts w:asciiTheme="minorHAnsi" w:eastAsiaTheme="minorEastAsia" w:hAnsiTheme="minorHAnsi" w:cstheme="minorBidi"/>
          <w:noProof/>
          <w:sz w:val="22"/>
          <w:szCs w:val="22"/>
        </w:rPr>
      </w:pPr>
      <w:r>
        <w:rPr>
          <w:noProof/>
        </w:rPr>
        <w:t>Table E</w:t>
      </w:r>
      <w:r>
        <w:rPr>
          <w:noProof/>
        </w:rPr>
        <w:noBreakHyphen/>
        <w:t>3. Industrial/Agriculture ET - Key Assumptions</w:t>
      </w:r>
      <w:r>
        <w:rPr>
          <w:noProof/>
        </w:rPr>
        <w:tab/>
      </w:r>
      <w:r>
        <w:rPr>
          <w:noProof/>
        </w:rPr>
        <w:fldChar w:fldCharType="begin"/>
      </w:r>
      <w:r>
        <w:rPr>
          <w:noProof/>
        </w:rPr>
        <w:instrText xml:space="preserve"> PAGEREF _Toc485125619 \h </w:instrText>
      </w:r>
      <w:r>
        <w:rPr>
          <w:noProof/>
        </w:rPr>
      </w:r>
      <w:r>
        <w:rPr>
          <w:noProof/>
        </w:rPr>
        <w:fldChar w:fldCharType="separate"/>
      </w:r>
      <w:r>
        <w:rPr>
          <w:noProof/>
        </w:rPr>
        <w:t>E-3</w:t>
      </w:r>
      <w:r>
        <w:rPr>
          <w:noProof/>
        </w:rPr>
        <w:fldChar w:fldCharType="end"/>
      </w:r>
    </w:p>
    <w:p w14:paraId="4C7C2C22" w14:textId="15E5B2D0" w:rsidR="006F57E9" w:rsidRDefault="006F57E9">
      <w:pPr>
        <w:pStyle w:val="TableofFigures"/>
        <w:rPr>
          <w:rFonts w:asciiTheme="minorHAnsi" w:eastAsiaTheme="minorEastAsia" w:hAnsiTheme="minorHAnsi" w:cstheme="minorBidi"/>
          <w:noProof/>
          <w:sz w:val="22"/>
          <w:szCs w:val="22"/>
        </w:rPr>
      </w:pPr>
      <w:r>
        <w:rPr>
          <w:noProof/>
        </w:rPr>
        <w:lastRenderedPageBreak/>
        <w:t>Table E</w:t>
      </w:r>
      <w:r>
        <w:rPr>
          <w:noProof/>
        </w:rPr>
        <w:noBreakHyphen/>
        <w:t>4. Emerging Technology Evaluation Criteria</w:t>
      </w:r>
      <w:r>
        <w:rPr>
          <w:noProof/>
        </w:rPr>
        <w:tab/>
      </w:r>
      <w:r>
        <w:rPr>
          <w:noProof/>
        </w:rPr>
        <w:fldChar w:fldCharType="begin"/>
      </w:r>
      <w:r>
        <w:rPr>
          <w:noProof/>
        </w:rPr>
        <w:instrText xml:space="preserve"> PAGEREF _Toc485125620 \h </w:instrText>
      </w:r>
      <w:r>
        <w:rPr>
          <w:noProof/>
        </w:rPr>
      </w:r>
      <w:r>
        <w:rPr>
          <w:noProof/>
        </w:rPr>
        <w:fldChar w:fldCharType="separate"/>
      </w:r>
      <w:r>
        <w:rPr>
          <w:noProof/>
        </w:rPr>
        <w:t>E-5</w:t>
      </w:r>
      <w:r>
        <w:rPr>
          <w:noProof/>
        </w:rPr>
        <w:fldChar w:fldCharType="end"/>
      </w:r>
    </w:p>
    <w:p w14:paraId="52B5FBD4" w14:textId="1C805B82" w:rsidR="006F57E9" w:rsidRDefault="006F57E9">
      <w:pPr>
        <w:pStyle w:val="TableofFigures"/>
        <w:rPr>
          <w:rFonts w:asciiTheme="minorHAnsi" w:eastAsiaTheme="minorEastAsia" w:hAnsiTheme="minorHAnsi" w:cstheme="minorBidi"/>
          <w:noProof/>
          <w:sz w:val="22"/>
          <w:szCs w:val="22"/>
        </w:rPr>
      </w:pPr>
      <w:r>
        <w:rPr>
          <w:noProof/>
        </w:rPr>
        <w:t>Table E</w:t>
      </w:r>
      <w:r>
        <w:rPr>
          <w:noProof/>
        </w:rPr>
        <w:noBreakHyphen/>
        <w:t>5. Emerging Technologies UES Multipliers by Segment and Fuel</w:t>
      </w:r>
      <w:r>
        <w:rPr>
          <w:noProof/>
        </w:rPr>
        <w:tab/>
      </w:r>
      <w:r>
        <w:rPr>
          <w:noProof/>
        </w:rPr>
        <w:fldChar w:fldCharType="begin"/>
      </w:r>
      <w:r>
        <w:rPr>
          <w:noProof/>
        </w:rPr>
        <w:instrText xml:space="preserve"> PAGEREF _Toc485125621 \h </w:instrText>
      </w:r>
      <w:r>
        <w:rPr>
          <w:noProof/>
        </w:rPr>
      </w:r>
      <w:r>
        <w:rPr>
          <w:noProof/>
        </w:rPr>
        <w:fldChar w:fldCharType="separate"/>
      </w:r>
      <w:r>
        <w:rPr>
          <w:noProof/>
        </w:rPr>
        <w:t>E-9</w:t>
      </w:r>
      <w:r>
        <w:rPr>
          <w:noProof/>
        </w:rPr>
        <w:fldChar w:fldCharType="end"/>
      </w:r>
    </w:p>
    <w:p w14:paraId="2A8AC7F0" w14:textId="2E6BB114"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1. PG&amp;E Households Treated</w:t>
      </w:r>
      <w:r>
        <w:rPr>
          <w:noProof/>
        </w:rPr>
        <w:tab/>
      </w:r>
      <w:r>
        <w:rPr>
          <w:noProof/>
        </w:rPr>
        <w:fldChar w:fldCharType="begin"/>
      </w:r>
      <w:r>
        <w:rPr>
          <w:noProof/>
        </w:rPr>
        <w:instrText xml:space="preserve"> PAGEREF _Toc485125622 \h </w:instrText>
      </w:r>
      <w:r>
        <w:rPr>
          <w:noProof/>
        </w:rPr>
      </w:r>
      <w:r>
        <w:rPr>
          <w:noProof/>
        </w:rPr>
        <w:fldChar w:fldCharType="separate"/>
      </w:r>
      <w:r>
        <w:rPr>
          <w:noProof/>
        </w:rPr>
        <w:t>F-1</w:t>
      </w:r>
      <w:r>
        <w:rPr>
          <w:noProof/>
        </w:rPr>
        <w:fldChar w:fldCharType="end"/>
      </w:r>
    </w:p>
    <w:p w14:paraId="29250673" w14:textId="714F2BD1"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2. PG&amp;E UES</w:t>
      </w:r>
      <w:r>
        <w:rPr>
          <w:noProof/>
        </w:rPr>
        <w:tab/>
      </w:r>
      <w:r>
        <w:rPr>
          <w:noProof/>
        </w:rPr>
        <w:fldChar w:fldCharType="begin"/>
      </w:r>
      <w:r>
        <w:rPr>
          <w:noProof/>
        </w:rPr>
        <w:instrText xml:space="preserve"> PAGEREF _Toc485125623 \h </w:instrText>
      </w:r>
      <w:r>
        <w:rPr>
          <w:noProof/>
        </w:rPr>
      </w:r>
      <w:r>
        <w:rPr>
          <w:noProof/>
        </w:rPr>
        <w:fldChar w:fldCharType="separate"/>
      </w:r>
      <w:r>
        <w:rPr>
          <w:noProof/>
        </w:rPr>
        <w:t>F-1</w:t>
      </w:r>
      <w:r>
        <w:rPr>
          <w:noProof/>
        </w:rPr>
        <w:fldChar w:fldCharType="end"/>
      </w:r>
    </w:p>
    <w:p w14:paraId="0C752F77" w14:textId="3A146EE9"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3. SCE Households Treated</w:t>
      </w:r>
      <w:r>
        <w:rPr>
          <w:noProof/>
        </w:rPr>
        <w:tab/>
      </w:r>
      <w:r>
        <w:rPr>
          <w:noProof/>
        </w:rPr>
        <w:fldChar w:fldCharType="begin"/>
      </w:r>
      <w:r>
        <w:rPr>
          <w:noProof/>
        </w:rPr>
        <w:instrText xml:space="preserve"> PAGEREF _Toc485125624 \h </w:instrText>
      </w:r>
      <w:r>
        <w:rPr>
          <w:noProof/>
        </w:rPr>
      </w:r>
      <w:r>
        <w:rPr>
          <w:noProof/>
        </w:rPr>
        <w:fldChar w:fldCharType="separate"/>
      </w:r>
      <w:r>
        <w:rPr>
          <w:noProof/>
        </w:rPr>
        <w:t>F-2</w:t>
      </w:r>
      <w:r>
        <w:rPr>
          <w:noProof/>
        </w:rPr>
        <w:fldChar w:fldCharType="end"/>
      </w:r>
    </w:p>
    <w:p w14:paraId="06AA98DD" w14:textId="353381E5"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4. SCE UES</w:t>
      </w:r>
      <w:r>
        <w:rPr>
          <w:noProof/>
        </w:rPr>
        <w:tab/>
      </w:r>
      <w:r>
        <w:rPr>
          <w:noProof/>
        </w:rPr>
        <w:fldChar w:fldCharType="begin"/>
      </w:r>
      <w:r>
        <w:rPr>
          <w:noProof/>
        </w:rPr>
        <w:instrText xml:space="preserve"> PAGEREF _Toc485125625 \h </w:instrText>
      </w:r>
      <w:r>
        <w:rPr>
          <w:noProof/>
        </w:rPr>
      </w:r>
      <w:r>
        <w:rPr>
          <w:noProof/>
        </w:rPr>
        <w:fldChar w:fldCharType="separate"/>
      </w:r>
      <w:r>
        <w:rPr>
          <w:noProof/>
        </w:rPr>
        <w:t>F-2</w:t>
      </w:r>
      <w:r>
        <w:rPr>
          <w:noProof/>
        </w:rPr>
        <w:fldChar w:fldCharType="end"/>
      </w:r>
    </w:p>
    <w:p w14:paraId="59B70557" w14:textId="77B1D25F"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5. SCG Households Treated</w:t>
      </w:r>
      <w:r>
        <w:rPr>
          <w:noProof/>
        </w:rPr>
        <w:tab/>
      </w:r>
      <w:r>
        <w:rPr>
          <w:noProof/>
        </w:rPr>
        <w:fldChar w:fldCharType="begin"/>
      </w:r>
      <w:r>
        <w:rPr>
          <w:noProof/>
        </w:rPr>
        <w:instrText xml:space="preserve"> PAGEREF _Toc485125626 \h </w:instrText>
      </w:r>
      <w:r>
        <w:rPr>
          <w:noProof/>
        </w:rPr>
      </w:r>
      <w:r>
        <w:rPr>
          <w:noProof/>
        </w:rPr>
        <w:fldChar w:fldCharType="separate"/>
      </w:r>
      <w:r>
        <w:rPr>
          <w:noProof/>
        </w:rPr>
        <w:t>F-3</w:t>
      </w:r>
      <w:r>
        <w:rPr>
          <w:noProof/>
        </w:rPr>
        <w:fldChar w:fldCharType="end"/>
      </w:r>
    </w:p>
    <w:p w14:paraId="5D54B724" w14:textId="67C2350D"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6. SCG UES</w:t>
      </w:r>
      <w:r>
        <w:rPr>
          <w:noProof/>
        </w:rPr>
        <w:tab/>
      </w:r>
      <w:r>
        <w:rPr>
          <w:noProof/>
        </w:rPr>
        <w:fldChar w:fldCharType="begin"/>
      </w:r>
      <w:r>
        <w:rPr>
          <w:noProof/>
        </w:rPr>
        <w:instrText xml:space="preserve"> PAGEREF _Toc485125627 \h </w:instrText>
      </w:r>
      <w:r>
        <w:rPr>
          <w:noProof/>
        </w:rPr>
      </w:r>
      <w:r>
        <w:rPr>
          <w:noProof/>
        </w:rPr>
        <w:fldChar w:fldCharType="separate"/>
      </w:r>
      <w:r>
        <w:rPr>
          <w:noProof/>
        </w:rPr>
        <w:t>F-3</w:t>
      </w:r>
      <w:r>
        <w:rPr>
          <w:noProof/>
        </w:rPr>
        <w:fldChar w:fldCharType="end"/>
      </w:r>
    </w:p>
    <w:p w14:paraId="1602C66F" w14:textId="1E30280D"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7. SDG&amp;E Households Treated</w:t>
      </w:r>
      <w:r>
        <w:rPr>
          <w:noProof/>
        </w:rPr>
        <w:tab/>
      </w:r>
      <w:r>
        <w:rPr>
          <w:noProof/>
        </w:rPr>
        <w:fldChar w:fldCharType="begin"/>
      </w:r>
      <w:r>
        <w:rPr>
          <w:noProof/>
        </w:rPr>
        <w:instrText xml:space="preserve"> PAGEREF _Toc485125628 \h </w:instrText>
      </w:r>
      <w:r>
        <w:rPr>
          <w:noProof/>
        </w:rPr>
      </w:r>
      <w:r>
        <w:rPr>
          <w:noProof/>
        </w:rPr>
        <w:fldChar w:fldCharType="separate"/>
      </w:r>
      <w:r>
        <w:rPr>
          <w:noProof/>
        </w:rPr>
        <w:t>F-4</w:t>
      </w:r>
      <w:r>
        <w:rPr>
          <w:noProof/>
        </w:rPr>
        <w:fldChar w:fldCharType="end"/>
      </w:r>
    </w:p>
    <w:p w14:paraId="03834873" w14:textId="50B7765A" w:rsidR="006F57E9" w:rsidRDefault="006F57E9">
      <w:pPr>
        <w:pStyle w:val="TableofFigures"/>
        <w:rPr>
          <w:rFonts w:asciiTheme="minorHAnsi" w:eastAsiaTheme="minorEastAsia" w:hAnsiTheme="minorHAnsi" w:cstheme="minorBidi"/>
          <w:noProof/>
          <w:sz w:val="22"/>
          <w:szCs w:val="22"/>
        </w:rPr>
      </w:pPr>
      <w:r>
        <w:rPr>
          <w:noProof/>
        </w:rPr>
        <w:t>Table F</w:t>
      </w:r>
      <w:r>
        <w:rPr>
          <w:noProof/>
        </w:rPr>
        <w:noBreakHyphen/>
        <w:t>8. SDG&amp;E UES</w:t>
      </w:r>
      <w:r>
        <w:rPr>
          <w:noProof/>
        </w:rPr>
        <w:tab/>
      </w:r>
      <w:r>
        <w:rPr>
          <w:noProof/>
        </w:rPr>
        <w:fldChar w:fldCharType="begin"/>
      </w:r>
      <w:r>
        <w:rPr>
          <w:noProof/>
        </w:rPr>
        <w:instrText xml:space="preserve"> PAGEREF _Toc485125629 \h </w:instrText>
      </w:r>
      <w:r>
        <w:rPr>
          <w:noProof/>
        </w:rPr>
      </w:r>
      <w:r>
        <w:rPr>
          <w:noProof/>
        </w:rPr>
        <w:fldChar w:fldCharType="separate"/>
      </w:r>
      <w:r>
        <w:rPr>
          <w:noProof/>
        </w:rPr>
        <w:t>F-4</w:t>
      </w:r>
      <w:r>
        <w:rPr>
          <w:noProof/>
        </w:rPr>
        <w:fldChar w:fldCharType="end"/>
      </w:r>
    </w:p>
    <w:p w14:paraId="5E7F1920" w14:textId="43796A7F"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1. PG&amp;E Electric Savings</w:t>
      </w:r>
      <w:r>
        <w:rPr>
          <w:noProof/>
        </w:rPr>
        <w:tab/>
      </w:r>
      <w:r>
        <w:rPr>
          <w:noProof/>
        </w:rPr>
        <w:fldChar w:fldCharType="begin"/>
      </w:r>
      <w:r>
        <w:rPr>
          <w:noProof/>
        </w:rPr>
        <w:instrText xml:space="preserve"> PAGEREF _Toc485125630 \h </w:instrText>
      </w:r>
      <w:r>
        <w:rPr>
          <w:noProof/>
        </w:rPr>
      </w:r>
      <w:r>
        <w:rPr>
          <w:noProof/>
        </w:rPr>
        <w:fldChar w:fldCharType="separate"/>
      </w:r>
      <w:r>
        <w:rPr>
          <w:noProof/>
        </w:rPr>
        <w:t>G-1</w:t>
      </w:r>
      <w:r>
        <w:rPr>
          <w:noProof/>
        </w:rPr>
        <w:fldChar w:fldCharType="end"/>
      </w:r>
    </w:p>
    <w:p w14:paraId="4CF3C70D" w14:textId="07E26E70"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2. PG&amp;E Demand Savings</w:t>
      </w:r>
      <w:r>
        <w:rPr>
          <w:noProof/>
        </w:rPr>
        <w:tab/>
      </w:r>
      <w:r>
        <w:rPr>
          <w:noProof/>
        </w:rPr>
        <w:fldChar w:fldCharType="begin"/>
      </w:r>
      <w:r>
        <w:rPr>
          <w:noProof/>
        </w:rPr>
        <w:instrText xml:space="preserve"> PAGEREF _Toc485125631 \h </w:instrText>
      </w:r>
      <w:r>
        <w:rPr>
          <w:noProof/>
        </w:rPr>
      </w:r>
      <w:r>
        <w:rPr>
          <w:noProof/>
        </w:rPr>
        <w:fldChar w:fldCharType="separate"/>
      </w:r>
      <w:r>
        <w:rPr>
          <w:noProof/>
        </w:rPr>
        <w:t>G-2</w:t>
      </w:r>
      <w:r>
        <w:rPr>
          <w:noProof/>
        </w:rPr>
        <w:fldChar w:fldCharType="end"/>
      </w:r>
    </w:p>
    <w:p w14:paraId="3F28232D" w14:textId="70485E1F"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3. PG&amp;E Gas Savings</w:t>
      </w:r>
      <w:r>
        <w:rPr>
          <w:noProof/>
        </w:rPr>
        <w:tab/>
      </w:r>
      <w:r>
        <w:rPr>
          <w:noProof/>
        </w:rPr>
        <w:fldChar w:fldCharType="begin"/>
      </w:r>
      <w:r>
        <w:rPr>
          <w:noProof/>
        </w:rPr>
        <w:instrText xml:space="preserve"> PAGEREF _Toc485125632 \h </w:instrText>
      </w:r>
      <w:r>
        <w:rPr>
          <w:noProof/>
        </w:rPr>
      </w:r>
      <w:r>
        <w:rPr>
          <w:noProof/>
        </w:rPr>
        <w:fldChar w:fldCharType="separate"/>
      </w:r>
      <w:r>
        <w:rPr>
          <w:noProof/>
        </w:rPr>
        <w:t>G-3</w:t>
      </w:r>
      <w:r>
        <w:rPr>
          <w:noProof/>
        </w:rPr>
        <w:fldChar w:fldCharType="end"/>
      </w:r>
    </w:p>
    <w:p w14:paraId="01DA4CF1" w14:textId="49373866"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4. SCE Electric Savings</w:t>
      </w:r>
      <w:r>
        <w:rPr>
          <w:noProof/>
        </w:rPr>
        <w:tab/>
      </w:r>
      <w:r>
        <w:rPr>
          <w:noProof/>
        </w:rPr>
        <w:fldChar w:fldCharType="begin"/>
      </w:r>
      <w:r>
        <w:rPr>
          <w:noProof/>
        </w:rPr>
        <w:instrText xml:space="preserve"> PAGEREF _Toc485125633 \h </w:instrText>
      </w:r>
      <w:r>
        <w:rPr>
          <w:noProof/>
        </w:rPr>
      </w:r>
      <w:r>
        <w:rPr>
          <w:noProof/>
        </w:rPr>
        <w:fldChar w:fldCharType="separate"/>
      </w:r>
      <w:r>
        <w:rPr>
          <w:noProof/>
        </w:rPr>
        <w:t>G-4</w:t>
      </w:r>
      <w:r>
        <w:rPr>
          <w:noProof/>
        </w:rPr>
        <w:fldChar w:fldCharType="end"/>
      </w:r>
    </w:p>
    <w:p w14:paraId="2EC679FE" w14:textId="0E856876"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5. SCE Demand Savings</w:t>
      </w:r>
      <w:r>
        <w:rPr>
          <w:noProof/>
        </w:rPr>
        <w:tab/>
      </w:r>
      <w:r>
        <w:rPr>
          <w:noProof/>
        </w:rPr>
        <w:fldChar w:fldCharType="begin"/>
      </w:r>
      <w:r>
        <w:rPr>
          <w:noProof/>
        </w:rPr>
        <w:instrText xml:space="preserve"> PAGEREF _Toc485125634 \h </w:instrText>
      </w:r>
      <w:r>
        <w:rPr>
          <w:noProof/>
        </w:rPr>
      </w:r>
      <w:r>
        <w:rPr>
          <w:noProof/>
        </w:rPr>
        <w:fldChar w:fldCharType="separate"/>
      </w:r>
      <w:r>
        <w:rPr>
          <w:noProof/>
        </w:rPr>
        <w:t>G-5</w:t>
      </w:r>
      <w:r>
        <w:rPr>
          <w:noProof/>
        </w:rPr>
        <w:fldChar w:fldCharType="end"/>
      </w:r>
    </w:p>
    <w:p w14:paraId="0F42C0D9" w14:textId="42F026D5"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6. SCG Gas Savings</w:t>
      </w:r>
      <w:r>
        <w:rPr>
          <w:noProof/>
        </w:rPr>
        <w:tab/>
      </w:r>
      <w:r>
        <w:rPr>
          <w:noProof/>
        </w:rPr>
        <w:fldChar w:fldCharType="begin"/>
      </w:r>
      <w:r>
        <w:rPr>
          <w:noProof/>
        </w:rPr>
        <w:instrText xml:space="preserve"> PAGEREF _Toc485125635 \h </w:instrText>
      </w:r>
      <w:r>
        <w:rPr>
          <w:noProof/>
        </w:rPr>
      </w:r>
      <w:r>
        <w:rPr>
          <w:noProof/>
        </w:rPr>
        <w:fldChar w:fldCharType="separate"/>
      </w:r>
      <w:r>
        <w:rPr>
          <w:noProof/>
        </w:rPr>
        <w:t>G-7</w:t>
      </w:r>
      <w:r>
        <w:rPr>
          <w:noProof/>
        </w:rPr>
        <w:fldChar w:fldCharType="end"/>
      </w:r>
    </w:p>
    <w:p w14:paraId="0EECF876" w14:textId="4DF4851A"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7. SDG&amp;E Electric Savings</w:t>
      </w:r>
      <w:r>
        <w:rPr>
          <w:noProof/>
        </w:rPr>
        <w:tab/>
      </w:r>
      <w:r>
        <w:rPr>
          <w:noProof/>
        </w:rPr>
        <w:fldChar w:fldCharType="begin"/>
      </w:r>
      <w:r>
        <w:rPr>
          <w:noProof/>
        </w:rPr>
        <w:instrText xml:space="preserve"> PAGEREF _Toc485125636 \h </w:instrText>
      </w:r>
      <w:r>
        <w:rPr>
          <w:noProof/>
        </w:rPr>
      </w:r>
      <w:r>
        <w:rPr>
          <w:noProof/>
        </w:rPr>
        <w:fldChar w:fldCharType="separate"/>
      </w:r>
      <w:r>
        <w:rPr>
          <w:noProof/>
        </w:rPr>
        <w:t>G-8</w:t>
      </w:r>
      <w:r>
        <w:rPr>
          <w:noProof/>
        </w:rPr>
        <w:fldChar w:fldCharType="end"/>
      </w:r>
    </w:p>
    <w:p w14:paraId="3404801D" w14:textId="641DBC63"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8. SDG&amp;E Demand Savings</w:t>
      </w:r>
      <w:r>
        <w:rPr>
          <w:noProof/>
        </w:rPr>
        <w:tab/>
      </w:r>
      <w:r>
        <w:rPr>
          <w:noProof/>
        </w:rPr>
        <w:fldChar w:fldCharType="begin"/>
      </w:r>
      <w:r>
        <w:rPr>
          <w:noProof/>
        </w:rPr>
        <w:instrText xml:space="preserve"> PAGEREF _Toc485125637 \h </w:instrText>
      </w:r>
      <w:r>
        <w:rPr>
          <w:noProof/>
        </w:rPr>
      </w:r>
      <w:r>
        <w:rPr>
          <w:noProof/>
        </w:rPr>
        <w:fldChar w:fldCharType="separate"/>
      </w:r>
      <w:r>
        <w:rPr>
          <w:noProof/>
        </w:rPr>
        <w:t>G-9</w:t>
      </w:r>
      <w:r>
        <w:rPr>
          <w:noProof/>
        </w:rPr>
        <w:fldChar w:fldCharType="end"/>
      </w:r>
    </w:p>
    <w:p w14:paraId="2BB3A9AF" w14:textId="575F5097" w:rsidR="006F57E9" w:rsidRDefault="006F57E9">
      <w:pPr>
        <w:pStyle w:val="TableofFigures"/>
        <w:rPr>
          <w:rFonts w:asciiTheme="minorHAnsi" w:eastAsiaTheme="minorEastAsia" w:hAnsiTheme="minorHAnsi" w:cstheme="minorBidi"/>
          <w:noProof/>
          <w:sz w:val="22"/>
          <w:szCs w:val="22"/>
        </w:rPr>
      </w:pPr>
      <w:r>
        <w:rPr>
          <w:noProof/>
        </w:rPr>
        <w:t>Table G</w:t>
      </w:r>
      <w:r>
        <w:rPr>
          <w:noProof/>
        </w:rPr>
        <w:noBreakHyphen/>
        <w:t>9. SDG&amp;E Gas Savings</w:t>
      </w:r>
      <w:r>
        <w:rPr>
          <w:noProof/>
        </w:rPr>
        <w:tab/>
      </w:r>
      <w:r>
        <w:rPr>
          <w:noProof/>
        </w:rPr>
        <w:fldChar w:fldCharType="begin"/>
      </w:r>
      <w:r>
        <w:rPr>
          <w:noProof/>
        </w:rPr>
        <w:instrText xml:space="preserve"> PAGEREF _Toc485125638 \h </w:instrText>
      </w:r>
      <w:r>
        <w:rPr>
          <w:noProof/>
        </w:rPr>
      </w:r>
      <w:r>
        <w:rPr>
          <w:noProof/>
        </w:rPr>
        <w:fldChar w:fldCharType="separate"/>
      </w:r>
      <w:r>
        <w:rPr>
          <w:noProof/>
        </w:rPr>
        <w:t>G-10</w:t>
      </w:r>
      <w:r>
        <w:rPr>
          <w:noProof/>
        </w:rPr>
        <w:fldChar w:fldCharType="end"/>
      </w:r>
    </w:p>
    <w:p w14:paraId="5F7D641B" w14:textId="77777777" w:rsidR="00CB6DF9" w:rsidRPr="00CB6DF9" w:rsidRDefault="00CB6DF9" w:rsidP="00CB6DF9">
      <w:pPr>
        <w:pStyle w:val="Headerinfo"/>
        <w:sectPr w:rsidR="00CB6DF9" w:rsidRPr="00CB6DF9" w:rsidSect="00AE78DC">
          <w:pgSz w:w="12240" w:h="15840" w:code="1"/>
          <w:pgMar w:top="1440" w:right="1440" w:bottom="1440" w:left="1440" w:header="720" w:footer="720" w:gutter="0"/>
          <w:pgNumType w:fmt="lowerRoman" w:start="1"/>
          <w:cols w:space="720"/>
          <w:docGrid w:linePitch="360"/>
        </w:sectPr>
      </w:pPr>
      <w:r w:rsidRPr="00957936">
        <w:rPr>
          <w:color w:val="auto"/>
          <w:sz w:val="20"/>
          <w:szCs w:val="20"/>
        </w:rPr>
        <w:fldChar w:fldCharType="end"/>
      </w:r>
    </w:p>
    <w:p w14:paraId="68765153" w14:textId="77777777" w:rsidR="00F26F14" w:rsidRPr="00670ECA" w:rsidRDefault="00DA7405" w:rsidP="00FC44DD">
      <w:pPr>
        <w:pStyle w:val="Heading7"/>
      </w:pPr>
      <w:bookmarkStart w:id="13" w:name="_Toc478990480"/>
      <w:bookmarkStart w:id="14" w:name="_Toc479768553"/>
      <w:bookmarkStart w:id="15" w:name="_Toc482353479"/>
      <w:bookmarkStart w:id="16" w:name="_Toc482357282"/>
      <w:bookmarkStart w:id="17" w:name="_Toc482634258"/>
      <w:bookmarkStart w:id="18" w:name="_Toc482626390"/>
      <w:bookmarkStart w:id="19" w:name="_Toc484092461"/>
      <w:bookmarkStart w:id="20" w:name="_Toc484172664"/>
      <w:bookmarkStart w:id="21" w:name="_Toc484183001"/>
      <w:bookmarkStart w:id="22" w:name="_Toc485126510"/>
      <w:r>
        <w:lastRenderedPageBreak/>
        <w:t>Disclaimer</w:t>
      </w:r>
      <w:bookmarkEnd w:id="13"/>
      <w:bookmarkEnd w:id="14"/>
      <w:bookmarkEnd w:id="15"/>
      <w:bookmarkEnd w:id="16"/>
      <w:bookmarkEnd w:id="17"/>
      <w:bookmarkEnd w:id="18"/>
      <w:bookmarkEnd w:id="19"/>
      <w:bookmarkEnd w:id="20"/>
      <w:bookmarkEnd w:id="21"/>
      <w:bookmarkEnd w:id="22"/>
    </w:p>
    <w:p w14:paraId="1E1ABE1D" w14:textId="77777777" w:rsidR="00F26F14" w:rsidRDefault="00F26F14" w:rsidP="00F26F14">
      <w:r w:rsidRPr="00670ECA">
        <w:t xml:space="preserve">This report was prepared by Navigant Consulting, Inc. (Navigant) for </w:t>
      </w:r>
      <w:r w:rsidR="00C16CC2">
        <w:t>the California Public Utilities Commission</w:t>
      </w:r>
      <w:r w:rsidRPr="00670ECA">
        <w:t>. The work presented in this report represents Navigant’s professional judgment based on the information available at the time this report was prepared. Navigant is not responsible for the reader’s use of, or reliance upon, the report, nor any decisions based on the report. NAVIGANT MAKES NO REPRESENTATIONS OR WARRANTIES, EXPRESSED OR IMPLIED. Readers of the report are advised that they assume all liabilities incurred by them, or third parties, as a result of their reliance on the report, or the data, information, findings and opinions contained in the report.</w:t>
      </w:r>
    </w:p>
    <w:p w14:paraId="02FC13AA" w14:textId="77777777" w:rsidR="00F26F14" w:rsidRPr="00F26F14" w:rsidRDefault="00F26F14" w:rsidP="00F26F14"/>
    <w:p w14:paraId="1B8B0BEB" w14:textId="77777777" w:rsidR="00DA7405" w:rsidRDefault="00DA7405" w:rsidP="00DA7405"/>
    <w:p w14:paraId="405501D4" w14:textId="77777777" w:rsidR="00DA7405" w:rsidRPr="00DA7405" w:rsidRDefault="00DA7405" w:rsidP="00DA7405">
      <w:pPr>
        <w:sectPr w:rsidR="00DA7405" w:rsidRPr="00DA7405" w:rsidSect="00DA7405">
          <w:pgSz w:w="12240" w:h="15840" w:code="1"/>
          <w:pgMar w:top="1440" w:right="1440" w:bottom="1440" w:left="1440" w:header="720" w:footer="720" w:gutter="0"/>
          <w:pgNumType w:fmt="lowerRoman"/>
          <w:cols w:space="720"/>
          <w:docGrid w:linePitch="360"/>
        </w:sectPr>
      </w:pPr>
    </w:p>
    <w:p w14:paraId="1833E920" w14:textId="77777777" w:rsidR="001E6048" w:rsidRPr="002E129B" w:rsidRDefault="001E6048" w:rsidP="002E129B">
      <w:pPr>
        <w:pStyle w:val="Heading7"/>
      </w:pPr>
      <w:bookmarkStart w:id="23" w:name="_Toc478990481"/>
      <w:bookmarkStart w:id="24" w:name="_Toc479768554"/>
      <w:bookmarkStart w:id="25" w:name="_Toc485126511"/>
      <w:bookmarkStart w:id="26" w:name="_Toc482353480"/>
      <w:bookmarkStart w:id="27" w:name="_Toc482357283"/>
      <w:bookmarkStart w:id="28" w:name="_Toc482634259"/>
      <w:bookmarkStart w:id="29" w:name="_Toc482626391"/>
      <w:bookmarkStart w:id="30" w:name="_Toc484092462"/>
      <w:bookmarkStart w:id="31" w:name="_Toc484172665"/>
      <w:bookmarkStart w:id="32" w:name="_Toc484183002"/>
      <w:r w:rsidRPr="002E129B">
        <w:lastRenderedPageBreak/>
        <w:t>Executive Summary</w:t>
      </w:r>
      <w:bookmarkEnd w:id="23"/>
      <w:bookmarkEnd w:id="24"/>
      <w:bookmarkEnd w:id="25"/>
      <w:r w:rsidR="003C72CC" w:rsidRPr="002E129B">
        <w:t xml:space="preserve"> </w:t>
      </w:r>
      <w:bookmarkEnd w:id="26"/>
      <w:bookmarkEnd w:id="27"/>
      <w:bookmarkEnd w:id="28"/>
      <w:bookmarkEnd w:id="29"/>
      <w:bookmarkEnd w:id="30"/>
      <w:bookmarkEnd w:id="31"/>
      <w:bookmarkEnd w:id="32"/>
    </w:p>
    <w:p w14:paraId="1A833291" w14:textId="77777777" w:rsidR="00A93CE5" w:rsidRDefault="00A93CE5" w:rsidP="00A93CE5">
      <w:pPr>
        <w:pStyle w:val="Heading8"/>
      </w:pPr>
      <w:bookmarkStart w:id="33" w:name="_Toc485126512"/>
      <w:r>
        <w:t>Background</w:t>
      </w:r>
      <w:bookmarkEnd w:id="33"/>
    </w:p>
    <w:p w14:paraId="36379228" w14:textId="77777777" w:rsidR="00903000" w:rsidRDefault="00903000" w:rsidP="00903000">
      <w:r w:rsidRPr="00FC44DD">
        <w:t>Navigant Consulting, Inc. along with its partners T</w:t>
      </w:r>
      <w:r>
        <w:t>ierra Resource Consultants LLC</w:t>
      </w:r>
      <w:r w:rsidRPr="00FC44DD">
        <w:t xml:space="preserve"> (collectively known as “the Navigant team”) </w:t>
      </w:r>
      <w:r w:rsidR="00877006">
        <w:t xml:space="preserve">prepared </w:t>
      </w:r>
      <w:r w:rsidRPr="00FC44DD">
        <w:t>this study (“</w:t>
      </w:r>
      <w:r>
        <w:t>2018</w:t>
      </w:r>
      <w:r w:rsidRPr="00FC44DD">
        <w:t xml:space="preserve"> and Beyond Potential and Goals Study”) </w:t>
      </w:r>
      <w:r w:rsidR="00877006">
        <w:t xml:space="preserve">for the California Public Utilities Commission (CPUC).  The purpose of this study is </w:t>
      </w:r>
      <w:r w:rsidRPr="00FC44DD">
        <w:t xml:space="preserve">to </w:t>
      </w:r>
      <w:r w:rsidR="00877006">
        <w:t xml:space="preserve">develop estimates of </w:t>
      </w:r>
      <w:r w:rsidRPr="00FC44DD">
        <w:t xml:space="preserve">energy and demand savings potential in the service territories of California’s </w:t>
      </w:r>
      <w:r w:rsidR="00877006">
        <w:t xml:space="preserve">major </w:t>
      </w:r>
      <w:r w:rsidRPr="00FC44DD">
        <w:t>investor-owned utilities (IOUs) during the post</w:t>
      </w:r>
      <w:r w:rsidR="00877006">
        <w:t>-</w:t>
      </w:r>
      <w:r w:rsidRPr="00FC44DD">
        <w:t>201</w:t>
      </w:r>
      <w:r>
        <w:t>7</w:t>
      </w:r>
      <w:r w:rsidRPr="00FC44DD">
        <w:t xml:space="preserve"> energy efficiency (EE) </w:t>
      </w:r>
      <w:r w:rsidR="00877006">
        <w:t xml:space="preserve">rolling </w:t>
      </w:r>
      <w:r w:rsidRPr="00FC44DD">
        <w:t xml:space="preserve">portfolio planning cycle. This report includes results for Pacific Gas and Electric (PG&amp;E), Southern California Edison (SCE), San Diego Gas and Electric (SDG&amp;E), and Southern California Gas (SCG). A key component of the </w:t>
      </w:r>
      <w:r>
        <w:t>2018 Potential and Goals Study (2018</w:t>
      </w:r>
      <w:r w:rsidRPr="00FC44DD">
        <w:t xml:space="preserve"> Study) is the Potential and Goals Model (PG Model), which provides a single platform in which to conduct robust quantitative scenario analysis that reflects the complex interactions among various inputs and Policy Drivers.</w:t>
      </w:r>
    </w:p>
    <w:p w14:paraId="0CEEEC30" w14:textId="77777777" w:rsidR="00903000" w:rsidRDefault="00903000" w:rsidP="00903000"/>
    <w:p w14:paraId="44E7B73E" w14:textId="77777777" w:rsidR="00903000" w:rsidRDefault="00903000" w:rsidP="00903000">
      <w:r>
        <w:t>A significant number of recent policy changes in California are driving updates to the approach and methodology of the 2018 study. These policy drivers include:</w:t>
      </w:r>
    </w:p>
    <w:p w14:paraId="086D9C25" w14:textId="77777777" w:rsidR="00903000" w:rsidRPr="00876767" w:rsidRDefault="00903000" w:rsidP="004E4E36">
      <w:pPr>
        <w:pStyle w:val="ListParagraph"/>
        <w:numPr>
          <w:ilvl w:val="0"/>
          <w:numId w:val="19"/>
        </w:numPr>
      </w:pPr>
      <w:r w:rsidRPr="00950406">
        <w:rPr>
          <w:b/>
          <w:snapToGrid w:val="0"/>
        </w:rPr>
        <w:t>California Assembly Bill 802 (AB802)</w:t>
      </w:r>
      <w:r w:rsidRPr="00950406">
        <w:rPr>
          <w:snapToGrid w:val="0"/>
        </w:rPr>
        <w:t xml:space="preserve"> </w:t>
      </w:r>
      <w:r>
        <w:rPr>
          <w:snapToGrid w:val="0"/>
        </w:rPr>
        <w:t xml:space="preserve">- </w:t>
      </w:r>
      <w:r w:rsidRPr="00950406">
        <w:rPr>
          <w:snapToGrid w:val="0"/>
        </w:rPr>
        <w:t>AB802 allow</w:t>
      </w:r>
      <w:r w:rsidR="00877006">
        <w:rPr>
          <w:snapToGrid w:val="0"/>
        </w:rPr>
        <w:t>s</w:t>
      </w:r>
      <w:r w:rsidRPr="00950406">
        <w:rPr>
          <w:snapToGrid w:val="0"/>
        </w:rPr>
        <w:t xml:space="preserve"> and incentivize</w:t>
      </w:r>
      <w:r w:rsidR="00877006">
        <w:rPr>
          <w:snapToGrid w:val="0"/>
        </w:rPr>
        <w:t>s</w:t>
      </w:r>
      <w:r w:rsidRPr="00950406">
        <w:rPr>
          <w:snapToGrid w:val="0"/>
        </w:rPr>
        <w:t xml:space="preserve"> all energy savings (including those that are “below-code”).</w:t>
      </w:r>
      <w:r w:rsidRPr="00950406">
        <w:rPr>
          <w:rStyle w:val="FootnoteReference"/>
          <w:snapToGrid w:val="0"/>
        </w:rPr>
        <w:footnoteReference w:id="2"/>
      </w:r>
      <w:r w:rsidRPr="00950406">
        <w:rPr>
          <w:snapToGrid w:val="0"/>
        </w:rPr>
        <w:t xml:space="preserve"> Furthermore, AB802 instructs energy </w:t>
      </w:r>
      <w:r w:rsidRPr="00876767">
        <w:rPr>
          <w:snapToGrid w:val="0"/>
        </w:rPr>
        <w:t xml:space="preserve">efficiency be achieved not only though equipment installations but also through behavior and operational efficiency interventions. </w:t>
      </w:r>
    </w:p>
    <w:p w14:paraId="700BEA04" w14:textId="77777777" w:rsidR="00903000" w:rsidRPr="00876767" w:rsidRDefault="00903000" w:rsidP="004E4E36">
      <w:pPr>
        <w:pStyle w:val="ListParagraph"/>
        <w:numPr>
          <w:ilvl w:val="0"/>
          <w:numId w:val="19"/>
        </w:numPr>
        <w:rPr>
          <w:b/>
        </w:rPr>
      </w:pPr>
      <w:r w:rsidRPr="00876767">
        <w:rPr>
          <w:b/>
        </w:rPr>
        <w:t xml:space="preserve">California Senate Bill 350 (SB350) </w:t>
      </w:r>
      <w:r>
        <w:t xml:space="preserve">- </w:t>
      </w:r>
      <w:r w:rsidRPr="00876767">
        <w:t xml:space="preserve"> SB350 </w:t>
      </w:r>
      <w:r w:rsidR="00877006">
        <w:t xml:space="preserve">mandates a </w:t>
      </w:r>
      <w:r w:rsidRPr="00876767">
        <w:t>doubl</w:t>
      </w:r>
      <w:r w:rsidR="00877006">
        <w:t>ing</w:t>
      </w:r>
      <w:r w:rsidRPr="00876767">
        <w:t xml:space="preserve"> </w:t>
      </w:r>
      <w:r w:rsidR="00877006">
        <w:t xml:space="preserve">of </w:t>
      </w:r>
      <w:r w:rsidRPr="00876767">
        <w:t>statewide energy efficiency savings in electricity and natural gas end uses by 2030</w:t>
      </w:r>
      <w:r>
        <w:t xml:space="preserve"> and that the goals not be constrained based on past program performance. </w:t>
      </w:r>
    </w:p>
    <w:p w14:paraId="141D8C99" w14:textId="77777777" w:rsidR="00903000" w:rsidRPr="00876767" w:rsidRDefault="00903000" w:rsidP="004E4E36">
      <w:pPr>
        <w:pStyle w:val="ListParagraph"/>
        <w:numPr>
          <w:ilvl w:val="0"/>
          <w:numId w:val="19"/>
        </w:numPr>
      </w:pPr>
      <w:r w:rsidRPr="00876767">
        <w:rPr>
          <w:b/>
        </w:rPr>
        <w:t>CPUC Cost Effectiveness Test</w:t>
      </w:r>
      <w:r w:rsidR="00A9318F">
        <w:rPr>
          <w:b/>
        </w:rPr>
        <w:t>s and Inputs</w:t>
      </w:r>
      <w:r w:rsidRPr="00876767">
        <w:rPr>
          <w:b/>
        </w:rPr>
        <w:t xml:space="preserve"> Updates</w:t>
      </w:r>
      <w:r w:rsidRPr="00876767">
        <w:t xml:space="preserve"> </w:t>
      </w:r>
      <w:r>
        <w:t xml:space="preserve">- </w:t>
      </w:r>
      <w:r w:rsidRPr="00876767">
        <w:t>Multiple changes have been or are be</w:t>
      </w:r>
      <w:r>
        <w:t xml:space="preserve">ing considered </w:t>
      </w:r>
      <w:r w:rsidRPr="00876767">
        <w:t xml:space="preserve">though the </w:t>
      </w:r>
      <w:r>
        <w:t xml:space="preserve">Integrated Distributed Energy Resources (IDER) </w:t>
      </w:r>
      <w:r w:rsidRPr="00876767">
        <w:t>proceeding</w:t>
      </w:r>
      <w:r>
        <w:t xml:space="preserve"> (R. 14-10-003). </w:t>
      </w:r>
      <w:r w:rsidR="00A9318F" w:rsidRPr="00A9318F">
        <w:t xml:space="preserve">The CPUC has been considering the application of the </w:t>
      </w:r>
      <w:r w:rsidR="00877006">
        <w:t xml:space="preserve">California </w:t>
      </w:r>
      <w:r w:rsidR="00A9318F" w:rsidRPr="00A9318F">
        <w:t xml:space="preserve">Standard Practice Manual tests for DER needs including the use of a </w:t>
      </w:r>
      <w:r w:rsidR="00877006">
        <w:t>greenhouse gas (</w:t>
      </w:r>
      <w:r w:rsidR="00A9318F" w:rsidRPr="00A9318F">
        <w:t>GHG</w:t>
      </w:r>
      <w:r w:rsidR="00877006">
        <w:t>)</w:t>
      </w:r>
      <w:r w:rsidR="00A9318F" w:rsidRPr="00A9318F">
        <w:t xml:space="preserve"> adder to be incorporated</w:t>
      </w:r>
      <w:r w:rsidR="00A9318F">
        <w:t xml:space="preserve"> into the current avoided costs.</w:t>
      </w:r>
      <w:r w:rsidR="00A9318F">
        <w:rPr>
          <w:rStyle w:val="FootnoteReference"/>
        </w:rPr>
        <w:footnoteReference w:id="3"/>
      </w:r>
      <w:r w:rsidR="00877006" w:rsidDel="00877006">
        <w:rPr>
          <w:rStyle w:val="FootnoteReference"/>
        </w:rPr>
        <w:t xml:space="preserve"> </w:t>
      </w:r>
    </w:p>
    <w:p w14:paraId="4CA787D9" w14:textId="77777777" w:rsidR="00903000" w:rsidRPr="00FC44DD" w:rsidRDefault="00903000" w:rsidP="00903000"/>
    <w:p w14:paraId="5213677F" w14:textId="77777777" w:rsidR="00903000" w:rsidRPr="00D94F63" w:rsidRDefault="00903000" w:rsidP="00903000">
      <w:r w:rsidRPr="00D94F63">
        <w:t xml:space="preserve">The </w:t>
      </w:r>
      <w:r>
        <w:t>2018</w:t>
      </w:r>
      <w:r w:rsidRPr="00D94F63">
        <w:t xml:space="preserve"> Potential and Goals Study supports multiple related efforts:</w:t>
      </w:r>
    </w:p>
    <w:p w14:paraId="4D7660E8" w14:textId="77777777" w:rsidR="00903000" w:rsidRPr="00D94F63" w:rsidRDefault="00903000" w:rsidP="004E4E36">
      <w:pPr>
        <w:pStyle w:val="ListParagraph"/>
        <w:numPr>
          <w:ilvl w:val="0"/>
          <w:numId w:val="37"/>
        </w:numPr>
        <w:ind w:left="900" w:hanging="360"/>
      </w:pPr>
      <w:r w:rsidRPr="00D94F63">
        <w:t xml:space="preserve">Inform the CPUC as it proceeds to adopt goals and targets, providing guidance for the next IOU energy efficiency portfolios. </w:t>
      </w:r>
    </w:p>
    <w:p w14:paraId="51708217" w14:textId="77777777" w:rsidR="00903000" w:rsidRPr="00FC44DD" w:rsidRDefault="00903000" w:rsidP="004E4E36">
      <w:pPr>
        <w:pStyle w:val="ListParagraph"/>
        <w:numPr>
          <w:ilvl w:val="0"/>
          <w:numId w:val="37"/>
        </w:numPr>
        <w:ind w:left="900" w:hanging="360"/>
      </w:pPr>
      <w:r w:rsidRPr="00D94F63">
        <w:t>Guide the IOUs in portfolio planning and the state’ principal energy agencies in forecasting for procurement, including the planning efforts of the CPUC, California Energy Commission (CEC), and California Independent System Operator (CAISO</w:t>
      </w:r>
      <w:r w:rsidR="00B942FA">
        <w:t>).</w:t>
      </w:r>
      <w:r w:rsidRPr="00FC44DD">
        <w:t xml:space="preserve"> </w:t>
      </w:r>
    </w:p>
    <w:p w14:paraId="643B9614" w14:textId="060E7BEF" w:rsidR="00903000" w:rsidRPr="00FC44DD" w:rsidRDefault="00903000" w:rsidP="004E4E36">
      <w:pPr>
        <w:pStyle w:val="ListParagraph"/>
        <w:numPr>
          <w:ilvl w:val="0"/>
          <w:numId w:val="37"/>
        </w:numPr>
        <w:ind w:left="900" w:hanging="360"/>
      </w:pPr>
      <w:r w:rsidRPr="005260A8">
        <w:t>Inform strategic contributions to SB350 targets. The CEC has historically used the PG study to develop its forecast of Additional Achievable Ener</w:t>
      </w:r>
      <w:r w:rsidR="005260A8" w:rsidRPr="005260A8">
        <w:t xml:space="preserve">gy Efficiency Potential (AAEE; </w:t>
      </w:r>
      <w:r w:rsidRPr="005260A8">
        <w:t xml:space="preserve">SB350 </w:t>
      </w:r>
      <w:r w:rsidR="005260A8" w:rsidRPr="005260A8">
        <w:lastRenderedPageBreak/>
        <w:t>requires</w:t>
      </w:r>
      <w:r w:rsidRPr="005260A8">
        <w:t xml:space="preserve"> doubling AAEE by 2030. The</w:t>
      </w:r>
      <w:r>
        <w:t xml:space="preserve"> CEC will continue to rely upon the PG study as an input to AAEE; the PG study will also serve as an input to SB350 target setting. </w:t>
      </w:r>
    </w:p>
    <w:p w14:paraId="5CF9626B" w14:textId="77777777" w:rsidR="00903000" w:rsidRPr="00FC44DD" w:rsidRDefault="00903000" w:rsidP="00903000"/>
    <w:p w14:paraId="664184F3" w14:textId="77777777" w:rsidR="00903000" w:rsidRPr="00FC44DD" w:rsidRDefault="00903000" w:rsidP="00903000">
      <w:r w:rsidRPr="00D94F63">
        <w:t>The study period spans from 2018-2030 based on the direction provided by CPUC and focuses on curr</w:t>
      </w:r>
      <w:r w:rsidRPr="00FC44DD">
        <w:t>ent and potential drivers of energy savings in IOU service areas. Analysis of energy efficiency savings in publicly owned utility service territories is not pa</w:t>
      </w:r>
      <w:r>
        <w:t>rt of the scope of this effort.</w:t>
      </w:r>
    </w:p>
    <w:p w14:paraId="7A96558F" w14:textId="77777777" w:rsidR="00903000" w:rsidRDefault="00903000" w:rsidP="00903000"/>
    <w:p w14:paraId="745D55BE" w14:textId="77777777" w:rsidR="00903000" w:rsidRDefault="00903000" w:rsidP="00903000">
      <w:r>
        <w:t>Consistent with the 2015 Study</w:t>
      </w:r>
      <w:r w:rsidR="00094F14">
        <w:t xml:space="preserve"> and consistent with common industry practice</w:t>
      </w:r>
      <w:r>
        <w:t>, the 2018 Study forecasts energy efficiency potential at four levels for rebate programs:</w:t>
      </w:r>
    </w:p>
    <w:p w14:paraId="3BAF5189" w14:textId="77777777" w:rsidR="00903000" w:rsidRPr="00045431" w:rsidRDefault="00903000" w:rsidP="004E4E36">
      <w:pPr>
        <w:pStyle w:val="ListParagraph"/>
        <w:numPr>
          <w:ilvl w:val="0"/>
          <w:numId w:val="9"/>
        </w:numPr>
        <w:ind w:left="900" w:hanging="360"/>
      </w:pPr>
      <w:r w:rsidRPr="00066D79">
        <w:rPr>
          <w:b/>
        </w:rPr>
        <w:t>Technical Potential:</w:t>
      </w:r>
      <w:r>
        <w:t xml:space="preserve"> Technical potential is defined as the amount of energy savings that would be possible if the highest level of efficiency for all technically applicable opportunities to improve energy efficiency were taken, including retrofit measures, replace-on-burnout measures, and new construction measures. </w:t>
      </w:r>
    </w:p>
    <w:p w14:paraId="4FD7C3D1" w14:textId="77777777" w:rsidR="00903000" w:rsidRPr="00A01325" w:rsidRDefault="00903000" w:rsidP="004E4E36">
      <w:pPr>
        <w:pStyle w:val="ListParagraph"/>
        <w:numPr>
          <w:ilvl w:val="0"/>
          <w:numId w:val="9"/>
        </w:numPr>
        <w:ind w:left="900" w:hanging="360"/>
      </w:pPr>
      <w:r w:rsidRPr="00045431">
        <w:rPr>
          <w:b/>
        </w:rPr>
        <w:t>Economic Potential:</w:t>
      </w:r>
      <w:r w:rsidRPr="00045431">
        <w:t xml:space="preserve"> Using the results of the technical</w:t>
      </w:r>
      <w:r>
        <w:t xml:space="preserve"> potential analysis, the economic potential is calculated as the total energy efficiency potential available when limited to only cost effective measures.</w:t>
      </w:r>
      <w:r>
        <w:rPr>
          <w:rStyle w:val="FootnoteReference"/>
        </w:rPr>
        <w:footnoteReference w:id="4"/>
      </w:r>
      <w:r>
        <w:t xml:space="preserve"> All components of economic potential are a subset of technical potential.  </w:t>
      </w:r>
      <w:r w:rsidRPr="00E05E8F">
        <w:t>Like technical potential, economic</w:t>
      </w:r>
      <w:r>
        <w:t xml:space="preserve"> potential can be represented as i</w:t>
      </w:r>
      <w:r w:rsidRPr="00045431">
        <w:t>nstantaneous</w:t>
      </w:r>
      <w:r>
        <w:t xml:space="preserve"> or annualized.  </w:t>
      </w:r>
    </w:p>
    <w:p w14:paraId="23801AF8" w14:textId="77777777" w:rsidR="00903000" w:rsidRDefault="00903000" w:rsidP="004E4E36">
      <w:pPr>
        <w:pStyle w:val="ListParagraph"/>
        <w:numPr>
          <w:ilvl w:val="0"/>
          <w:numId w:val="9"/>
        </w:numPr>
        <w:ind w:left="900" w:hanging="360"/>
      </w:pPr>
      <w:r w:rsidRPr="00066D79">
        <w:rPr>
          <w:b/>
        </w:rPr>
        <w:t>Market Potential:</w:t>
      </w:r>
      <w:r>
        <w:t xml:space="preserve"> The final output of the potential study is a market potential analysis, which calculates the energy efficiency savings that could be expected in response to specific levels of incentives and assumptions about </w:t>
      </w:r>
      <w:r w:rsidR="00094F14">
        <w:t xml:space="preserve">existing CPUC </w:t>
      </w:r>
      <w:r>
        <w:t xml:space="preserve">policies, market influences, and barriers. All components of market potential are a subset of economic potential. Market potential has historically been used by the CPUC to inform the goal-setting process. </w:t>
      </w:r>
    </w:p>
    <w:p w14:paraId="0497611B" w14:textId="77777777" w:rsidR="00903000" w:rsidRPr="00233FD1" w:rsidRDefault="00903000" w:rsidP="004E4E36">
      <w:pPr>
        <w:pStyle w:val="ListParagraph"/>
        <w:numPr>
          <w:ilvl w:val="0"/>
          <w:numId w:val="9"/>
        </w:numPr>
        <w:ind w:left="900" w:hanging="360"/>
      </w:pPr>
      <w:r w:rsidRPr="00E05E8F">
        <w:rPr>
          <w:b/>
        </w:rPr>
        <w:t>Stranded Potential</w:t>
      </w:r>
      <w:r>
        <w:t xml:space="preserve"> is a subset of the Market Potential. </w:t>
      </w:r>
      <w:r w:rsidRPr="00233FD1">
        <w:t xml:space="preserve">These savings are defined as the opportunities for EE that have not historically been captured by either EE program administrator (PA) rebate programs or codes and standards. Stranded Potential is below-code savings that is not materializing in the market because there is no incentive for the customer to upgrade their existing equipment given current program rebate policy. </w:t>
      </w:r>
    </w:p>
    <w:p w14:paraId="3E750773" w14:textId="77777777" w:rsidR="00903000" w:rsidRDefault="00903000" w:rsidP="00903000"/>
    <w:p w14:paraId="2AAB9AEC" w14:textId="77777777" w:rsidR="00E02DCA" w:rsidRDefault="00903000" w:rsidP="00903000">
      <w:r w:rsidRPr="00AD64D1">
        <w:t xml:space="preserve">This study forecasts </w:t>
      </w:r>
      <w:r>
        <w:t xml:space="preserve">the potential </w:t>
      </w:r>
      <w:r w:rsidRPr="00AD64D1">
        <w:t xml:space="preserve">energy savings from the energy efficiency programs and codes and standards across all customer sectors: Residential, Commercial, Agricultural, Industrial, Mining, and Street Lighting. </w:t>
      </w:r>
      <w:r>
        <w:t xml:space="preserve">This study does not set IOU goals nor does it make a recommendation as to how to set goals. Rather it informs the CPUC’s goal setting process. </w:t>
      </w:r>
      <w:r w:rsidRPr="00066D79">
        <w:t>The Navigant team engaged with stakeholders through the Demand Analysis Working Group</w:t>
      </w:r>
      <w:r w:rsidRPr="00066D79">
        <w:rPr>
          <w:rStyle w:val="FootnoteReference"/>
        </w:rPr>
        <w:footnoteReference w:id="5"/>
      </w:r>
      <w:r w:rsidRPr="00066D79">
        <w:t xml:space="preserve"> throughout the process of this study to </w:t>
      </w:r>
      <w:r>
        <w:t>request data</w:t>
      </w:r>
      <w:r w:rsidR="000A5A7E">
        <w:t>;</w:t>
      </w:r>
      <w:r>
        <w:t xml:space="preserve"> </w:t>
      </w:r>
      <w:r w:rsidRPr="00066D79">
        <w:t>collect feedback on scope, methodology, and key assumptions</w:t>
      </w:r>
      <w:r w:rsidR="000A5A7E">
        <w:t>; and review select interim results</w:t>
      </w:r>
      <w:r w:rsidRPr="00066D79">
        <w:t>.</w:t>
      </w:r>
    </w:p>
    <w:p w14:paraId="146328E7" w14:textId="77777777" w:rsidR="00A93CE5" w:rsidRDefault="00A93CE5" w:rsidP="00A93CE5">
      <w:pPr>
        <w:pStyle w:val="Heading8"/>
      </w:pPr>
      <w:bookmarkStart w:id="34" w:name="_Toc485126513"/>
      <w:r>
        <w:t>Scenarios</w:t>
      </w:r>
      <w:bookmarkEnd w:id="34"/>
    </w:p>
    <w:p w14:paraId="3B24DF3D" w14:textId="77777777" w:rsidR="00E05BCD" w:rsidRDefault="00E05BCD" w:rsidP="00E05BCD">
      <w:pPr>
        <w:rPr>
          <w:rFonts w:cs="Arial"/>
          <w:snapToGrid w:val="0"/>
        </w:rPr>
      </w:pPr>
      <w:r>
        <w:rPr>
          <w:rFonts w:cs="Arial"/>
          <w:snapToGrid w:val="0"/>
        </w:rPr>
        <w:t xml:space="preserve">In the recent past (2013 and 2015), the PG studies produced a single forecast of energy efficiency potential for the purposes of informing IOU goals. The forecast was calibrated to </w:t>
      </w:r>
      <w:r w:rsidRPr="00B11C2A">
        <w:rPr>
          <w:rFonts w:cs="Arial"/>
          <w:snapToGrid w:val="0"/>
        </w:rPr>
        <w:t>historic program activity</w:t>
      </w:r>
      <w:r>
        <w:rPr>
          <w:rFonts w:cs="Arial"/>
          <w:snapToGrid w:val="0"/>
        </w:rPr>
        <w:t xml:space="preserve">. </w:t>
      </w:r>
      <w:r>
        <w:rPr>
          <w:rFonts w:cs="Arial"/>
          <w:snapToGrid w:val="0"/>
        </w:rPr>
        <w:lastRenderedPageBreak/>
        <w:t>In these past studies, alternate s</w:t>
      </w:r>
      <w:r w:rsidRPr="00B11C2A">
        <w:rPr>
          <w:rFonts w:cs="Arial"/>
          <w:snapToGrid w:val="0"/>
        </w:rPr>
        <w:t xml:space="preserve">cenarios were only considered in the </w:t>
      </w:r>
      <w:r>
        <w:rPr>
          <w:rFonts w:cs="Arial"/>
          <w:snapToGrid w:val="0"/>
        </w:rPr>
        <w:t>Additional Achievable Energy Efficiency (</w:t>
      </w:r>
      <w:r w:rsidRPr="00B11C2A">
        <w:rPr>
          <w:rFonts w:cs="Arial"/>
          <w:snapToGrid w:val="0"/>
        </w:rPr>
        <w:t>AAEE</w:t>
      </w:r>
      <w:r>
        <w:rPr>
          <w:rFonts w:cs="Arial"/>
          <w:snapToGrid w:val="0"/>
        </w:rPr>
        <w:t>)</w:t>
      </w:r>
      <w:r w:rsidRPr="00B11C2A">
        <w:rPr>
          <w:rFonts w:cs="Arial"/>
          <w:snapToGrid w:val="0"/>
        </w:rPr>
        <w:t xml:space="preserve"> forecast </w:t>
      </w:r>
      <w:r>
        <w:rPr>
          <w:rFonts w:cs="Arial"/>
          <w:snapToGrid w:val="0"/>
        </w:rPr>
        <w:t xml:space="preserve">used by the California Energy Commission. The AAEE scenarios were developed </w:t>
      </w:r>
      <w:r w:rsidRPr="00B11C2A">
        <w:rPr>
          <w:rFonts w:cs="Arial"/>
          <w:snapToGrid w:val="0"/>
        </w:rPr>
        <w:t>after</w:t>
      </w:r>
      <w:r>
        <w:rPr>
          <w:rFonts w:cs="Arial"/>
          <w:snapToGrid w:val="0"/>
        </w:rPr>
        <w:t xml:space="preserve"> the CPUC had established goals and were primarily driven by the needs of the CEC. The 2018 PG study considers multiple scenarios to inform the goal setting process. </w:t>
      </w:r>
    </w:p>
    <w:p w14:paraId="1094FF47" w14:textId="77777777" w:rsidR="00E05BCD" w:rsidRDefault="00E05BCD" w:rsidP="00E05BCD">
      <w:pPr>
        <w:rPr>
          <w:rFonts w:cs="Arial"/>
          <w:snapToGrid w:val="0"/>
        </w:rPr>
      </w:pPr>
    </w:p>
    <w:p w14:paraId="3F1211A6" w14:textId="77777777" w:rsidR="00A93CE5" w:rsidRDefault="00E05BCD" w:rsidP="00E05BCD">
      <w:pPr>
        <w:rPr>
          <w:rFonts w:cs="Arial"/>
          <w:snapToGrid w:val="0"/>
          <w:szCs w:val="20"/>
        </w:rPr>
      </w:pPr>
      <w:r>
        <w:rPr>
          <w:rFonts w:cs="Arial"/>
          <w:snapToGrid w:val="0"/>
        </w:rPr>
        <w:t xml:space="preserve">SB 350 directed the CPUC to adopt goals based on </w:t>
      </w:r>
      <w:r w:rsidRPr="00116031">
        <w:rPr>
          <w:rFonts w:cs="Arial"/>
          <w:snapToGrid w:val="0"/>
        </w:rPr>
        <w:t xml:space="preserve">energy efficiency </w:t>
      </w:r>
      <w:r>
        <w:rPr>
          <w:rFonts w:cs="Arial"/>
          <w:snapToGrid w:val="0"/>
        </w:rPr>
        <w:t xml:space="preserve">potential </w:t>
      </w:r>
      <w:r w:rsidRPr="00116031">
        <w:rPr>
          <w:rFonts w:cs="Arial"/>
          <w:snapToGrid w:val="0"/>
        </w:rPr>
        <w:t xml:space="preserve">studies that are </w:t>
      </w:r>
      <w:r>
        <w:rPr>
          <w:rFonts w:cs="Arial"/>
          <w:snapToGrid w:val="0"/>
        </w:rPr>
        <w:t xml:space="preserve">not </w:t>
      </w:r>
      <w:r w:rsidRPr="00116031">
        <w:rPr>
          <w:rFonts w:cs="Arial"/>
          <w:snapToGrid w:val="0"/>
        </w:rPr>
        <w:t>restricted</w:t>
      </w:r>
      <w:r>
        <w:rPr>
          <w:rFonts w:cs="Arial"/>
          <w:snapToGrid w:val="0"/>
        </w:rPr>
        <w:t xml:space="preserve"> by previous </w:t>
      </w:r>
      <w:r w:rsidRPr="00116031">
        <w:rPr>
          <w:rFonts w:cs="Arial"/>
          <w:snapToGrid w:val="0"/>
        </w:rPr>
        <w:t>levels of utility energy efficiency savings</w:t>
      </w:r>
      <w:r>
        <w:rPr>
          <w:rFonts w:cs="Arial"/>
          <w:snapToGrid w:val="0"/>
        </w:rPr>
        <w:t xml:space="preserve">. Commission staff proposed to meet this direction by exploring scenarios reflecting alternative future outcomes based on variables that can be controlled by policy decisions or program influence. This study considers scenarios </w:t>
      </w:r>
      <w:r w:rsidRPr="006D0CAB">
        <w:rPr>
          <w:rFonts w:cs="Arial"/>
          <w:snapToGrid w:val="0"/>
          <w:szCs w:val="20"/>
        </w:rPr>
        <w:t>primarily built around policies and program decisions that are under control of the CPUC and IOUs collectively</w:t>
      </w:r>
      <w:r>
        <w:rPr>
          <w:rFonts w:cs="Arial"/>
          <w:snapToGrid w:val="0"/>
          <w:szCs w:val="20"/>
        </w:rPr>
        <w:t>.</w:t>
      </w:r>
    </w:p>
    <w:p w14:paraId="333BD264" w14:textId="77777777" w:rsidR="00E05BCD" w:rsidRDefault="00E05BCD" w:rsidP="00E05BCD">
      <w:pPr>
        <w:rPr>
          <w:rFonts w:cs="Arial"/>
          <w:snapToGrid w:val="0"/>
          <w:szCs w:val="20"/>
        </w:rPr>
      </w:pPr>
    </w:p>
    <w:p w14:paraId="19030BF0" w14:textId="342E5B19" w:rsidR="00E05BCD" w:rsidRPr="006E231E" w:rsidRDefault="000A3F3A" w:rsidP="00E05BCD">
      <w:pPr>
        <w:rPr>
          <w:rFonts w:cs="Arial"/>
          <w:snapToGrid w:val="0"/>
          <w:szCs w:val="20"/>
        </w:rPr>
      </w:pPr>
      <w:r>
        <w:rPr>
          <w:rFonts w:cs="Arial"/>
          <w:snapToGrid w:val="0"/>
          <w:szCs w:val="20"/>
        </w:rPr>
        <w:t xml:space="preserve">Commission staff </w:t>
      </w:r>
      <w:r w:rsidR="00E05BCD" w:rsidRPr="006E231E">
        <w:rPr>
          <w:rFonts w:cs="Arial"/>
          <w:snapToGrid w:val="0"/>
          <w:szCs w:val="20"/>
        </w:rPr>
        <w:t xml:space="preserve">took the following into consideration when </w:t>
      </w:r>
      <w:r w:rsidR="00801615" w:rsidRPr="006E231E">
        <w:rPr>
          <w:rFonts w:cs="Arial"/>
          <w:snapToGrid w:val="0"/>
          <w:szCs w:val="20"/>
        </w:rPr>
        <w:t xml:space="preserve">directing </w:t>
      </w:r>
      <w:r w:rsidR="00E05BCD" w:rsidRPr="006E231E">
        <w:rPr>
          <w:rFonts w:cs="Arial"/>
          <w:snapToGrid w:val="0"/>
          <w:szCs w:val="20"/>
        </w:rPr>
        <w:t>Navigant on the draft scenarios</w:t>
      </w:r>
    </w:p>
    <w:p w14:paraId="24EDC637" w14:textId="77777777" w:rsidR="00E05BCD" w:rsidRDefault="00E05BCD" w:rsidP="00E05BCD">
      <w:pPr>
        <w:pStyle w:val="ListParagraph"/>
        <w:numPr>
          <w:ilvl w:val="0"/>
          <w:numId w:val="21"/>
        </w:numPr>
        <w:rPr>
          <w:rFonts w:cs="Arial"/>
          <w:snapToGrid w:val="0"/>
        </w:rPr>
      </w:pPr>
      <w:r w:rsidRPr="006E231E">
        <w:rPr>
          <w:rFonts w:cs="Arial"/>
          <w:snapToGrid w:val="0"/>
        </w:rPr>
        <w:t>Commission</w:t>
      </w:r>
      <w:r w:rsidRPr="00F036AA">
        <w:rPr>
          <w:rFonts w:cs="Arial"/>
          <w:snapToGrid w:val="0"/>
        </w:rPr>
        <w:t xml:space="preserve"> staff followed closely the developments in the IDER proceeding</w:t>
      </w:r>
      <w:r>
        <w:rPr>
          <w:rFonts w:cs="Arial"/>
          <w:snapToGrid w:val="0"/>
        </w:rPr>
        <w:t xml:space="preserve">. This informed the </w:t>
      </w:r>
      <w:r w:rsidRPr="00F036AA">
        <w:rPr>
          <w:rFonts w:cs="Arial"/>
          <w:snapToGrid w:val="0"/>
        </w:rPr>
        <w:t xml:space="preserve">alternative cost-effective tests to </w:t>
      </w:r>
      <w:r>
        <w:rPr>
          <w:rFonts w:cs="Arial"/>
          <w:snapToGrid w:val="0"/>
        </w:rPr>
        <w:t>consider.</w:t>
      </w:r>
    </w:p>
    <w:p w14:paraId="50D9DF28" w14:textId="77777777" w:rsidR="00E05BCD" w:rsidRPr="00F036AA" w:rsidRDefault="00E05BCD" w:rsidP="00E05BCD">
      <w:pPr>
        <w:pStyle w:val="ListParagraph"/>
        <w:numPr>
          <w:ilvl w:val="0"/>
          <w:numId w:val="21"/>
        </w:numPr>
        <w:rPr>
          <w:rFonts w:cs="Arial"/>
          <w:snapToGrid w:val="0"/>
        </w:rPr>
      </w:pPr>
      <w:r>
        <w:rPr>
          <w:rFonts w:cs="Arial"/>
          <w:snapToGrid w:val="0"/>
        </w:rPr>
        <w:t>On February 2017, Commission staff released a Societal Cost Test (SCT) white paper with recommendations for parameters to support a SCT as well as modifications to currently used TRC and PAC.</w:t>
      </w:r>
    </w:p>
    <w:p w14:paraId="5152DDB1" w14:textId="77777777" w:rsidR="00E05BCD" w:rsidRDefault="00E05BCD" w:rsidP="00E05BCD">
      <w:pPr>
        <w:pStyle w:val="ListParagraph"/>
        <w:numPr>
          <w:ilvl w:val="0"/>
          <w:numId w:val="21"/>
        </w:numPr>
        <w:rPr>
          <w:rFonts w:cs="Arial"/>
          <w:snapToGrid w:val="0"/>
        </w:rPr>
      </w:pPr>
      <w:r>
        <w:rPr>
          <w:rFonts w:cs="Arial"/>
          <w:snapToGrid w:val="0"/>
        </w:rPr>
        <w:t xml:space="preserve">On April 2017, Commission staff proposed a GHG adder curve as an interim value that could inform goal setting. The interim GHG adder proposal followed the methods proposed in the SCT staff white paper. The GHG adder curve was developed based on draft runs of the RESOLVE model in the Integrated Resources Proceeding (IRP). </w:t>
      </w:r>
    </w:p>
    <w:p w14:paraId="730FB92C" w14:textId="77777777" w:rsidR="00E05BCD" w:rsidRDefault="00E05BCD" w:rsidP="00E05BCD">
      <w:pPr>
        <w:pStyle w:val="ListParagraph"/>
        <w:numPr>
          <w:ilvl w:val="0"/>
          <w:numId w:val="21"/>
        </w:numPr>
        <w:rPr>
          <w:rFonts w:cs="Arial"/>
          <w:snapToGrid w:val="0"/>
        </w:rPr>
      </w:pPr>
      <w:r>
        <w:rPr>
          <w:rFonts w:cs="Arial"/>
          <w:snapToGrid w:val="0"/>
        </w:rPr>
        <w:t xml:space="preserve">In the comments to the staff proposed interim GHG adder, the joint IOUs proposed an alternative GHG adder curve based on the </w:t>
      </w:r>
      <w:r w:rsidRPr="003822EF">
        <w:rPr>
          <w:rFonts w:cs="Arial"/>
          <w:bCs/>
          <w:snapToGrid w:val="0"/>
        </w:rPr>
        <w:t>Allowance Price Containment Reserve</w:t>
      </w:r>
      <w:r w:rsidRPr="00257039">
        <w:rPr>
          <w:rFonts w:cs="Arial"/>
          <w:snapToGrid w:val="0"/>
        </w:rPr>
        <w:t> </w:t>
      </w:r>
      <w:r>
        <w:rPr>
          <w:rFonts w:cs="Arial"/>
          <w:snapToGrid w:val="0"/>
        </w:rPr>
        <w:t>(</w:t>
      </w:r>
      <w:r w:rsidRPr="00257039">
        <w:rPr>
          <w:rFonts w:cs="Arial"/>
          <w:snapToGrid w:val="0"/>
        </w:rPr>
        <w:t>APCR</w:t>
      </w:r>
      <w:r>
        <w:rPr>
          <w:rFonts w:cs="Arial"/>
          <w:snapToGrid w:val="0"/>
        </w:rPr>
        <w:t>)</w:t>
      </w:r>
      <w:r>
        <w:rPr>
          <w:rStyle w:val="FootnoteReference"/>
          <w:rFonts w:cs="Arial"/>
          <w:snapToGrid w:val="0"/>
        </w:rPr>
        <w:footnoteReference w:id="6"/>
      </w:r>
      <w:r>
        <w:rPr>
          <w:rFonts w:cs="Arial"/>
          <w:snapToGrid w:val="0"/>
        </w:rPr>
        <w:t>. This curve is an extrapolation of preliminary values released by the ARB during the development of the California Air Resources Board</w:t>
      </w:r>
      <w:r w:rsidRPr="00257039">
        <w:rPr>
          <w:rFonts w:cs="Arial"/>
          <w:snapToGrid w:val="0"/>
        </w:rPr>
        <w:t xml:space="preserve"> </w:t>
      </w:r>
      <w:r>
        <w:rPr>
          <w:rFonts w:cs="Arial"/>
          <w:snapToGrid w:val="0"/>
        </w:rPr>
        <w:t>AB 32 Scoping Plan Update.</w:t>
      </w:r>
      <w:r w:rsidRPr="00257039">
        <w:rPr>
          <w:rFonts w:cs="Arial"/>
          <w:snapToGrid w:val="0"/>
        </w:rPr>
        <w:t xml:space="preserve"> </w:t>
      </w:r>
      <w:r>
        <w:rPr>
          <w:rFonts w:cs="Arial"/>
          <w:snapToGrid w:val="0"/>
        </w:rPr>
        <w:t xml:space="preserve">Although the proposed allowance prices are not final and are subject to change, Commission staff believes they are a reasonable alternative to the staff proposal and will give stakeholders the chance to see how market potential changes when using alternative GHG adder values. </w:t>
      </w:r>
    </w:p>
    <w:p w14:paraId="3D3FC013" w14:textId="77777777" w:rsidR="00E05BCD" w:rsidRDefault="00E05BCD" w:rsidP="00E05BCD">
      <w:pPr>
        <w:rPr>
          <w:rFonts w:cs="Arial"/>
          <w:snapToGrid w:val="0"/>
        </w:rPr>
      </w:pPr>
    </w:p>
    <w:p w14:paraId="51B872BE" w14:textId="7C2C17C9" w:rsidR="00E05BCD" w:rsidRDefault="000A3F3A" w:rsidP="00E05BCD">
      <w:pPr>
        <w:rPr>
          <w:rFonts w:cs="Arial"/>
          <w:snapToGrid w:val="0"/>
        </w:rPr>
      </w:pPr>
      <w:r>
        <w:rPr>
          <w:rFonts w:cs="Arial"/>
          <w:snapToGrid w:val="0"/>
        </w:rPr>
        <w:t>Commission staff</w:t>
      </w:r>
      <w:r w:rsidR="00E05BCD">
        <w:rPr>
          <w:rFonts w:cs="Arial"/>
          <w:snapToGrid w:val="0"/>
        </w:rPr>
        <w:t>’s intent was t</w:t>
      </w:r>
      <w:r w:rsidR="00E05BCD" w:rsidRPr="003822EF">
        <w:rPr>
          <w:rFonts w:cs="Arial"/>
          <w:snapToGrid w:val="0"/>
        </w:rPr>
        <w:t>o keep the number of scenarios manageable but still provide a range of alternatives to bound market potential</w:t>
      </w:r>
      <w:r w:rsidR="00E05BCD">
        <w:rPr>
          <w:rFonts w:cs="Arial"/>
          <w:snapToGrid w:val="0"/>
        </w:rPr>
        <w:t xml:space="preserve">. Therefore, five scenarios in total were proposed and are listed </w:t>
      </w:r>
      <w:r w:rsidR="00E05BCD" w:rsidRPr="008F2ADE">
        <w:rPr>
          <w:rFonts w:cs="Arial"/>
          <w:snapToGrid w:val="0"/>
          <w:szCs w:val="20"/>
        </w:rPr>
        <w:t>in</w:t>
      </w:r>
      <w:r w:rsidR="00E05BCD">
        <w:rPr>
          <w:rFonts w:cs="Arial"/>
          <w:snapToGrid w:val="0"/>
          <w:szCs w:val="20"/>
        </w:rPr>
        <w:t xml:space="preserve"> </w:t>
      </w:r>
      <w:r w:rsidR="00E05BCD">
        <w:rPr>
          <w:rFonts w:cs="Arial"/>
          <w:snapToGrid w:val="0"/>
          <w:szCs w:val="20"/>
        </w:rPr>
        <w:fldChar w:fldCharType="begin"/>
      </w:r>
      <w:r w:rsidR="00E05BCD">
        <w:rPr>
          <w:rFonts w:cs="Arial"/>
          <w:snapToGrid w:val="0"/>
          <w:szCs w:val="20"/>
        </w:rPr>
        <w:instrText xml:space="preserve"> REF _Ref484635488 \h </w:instrText>
      </w:r>
      <w:r w:rsidR="00E05BCD">
        <w:rPr>
          <w:rFonts w:cs="Arial"/>
          <w:snapToGrid w:val="0"/>
          <w:szCs w:val="20"/>
        </w:rPr>
      </w:r>
      <w:r w:rsidR="00E05BCD">
        <w:rPr>
          <w:rFonts w:cs="Arial"/>
          <w:snapToGrid w:val="0"/>
          <w:szCs w:val="20"/>
        </w:rPr>
        <w:fldChar w:fldCharType="separate"/>
      </w:r>
      <w:r w:rsidR="00C407F4">
        <w:t xml:space="preserve">Table ES- </w:t>
      </w:r>
      <w:r w:rsidR="00C407F4">
        <w:rPr>
          <w:noProof/>
        </w:rPr>
        <w:t>1</w:t>
      </w:r>
      <w:r w:rsidR="00E05BCD">
        <w:rPr>
          <w:rFonts w:cs="Arial"/>
          <w:snapToGrid w:val="0"/>
          <w:szCs w:val="20"/>
        </w:rPr>
        <w:fldChar w:fldCharType="end"/>
      </w:r>
      <w:r w:rsidR="00E05BCD">
        <w:rPr>
          <w:rFonts w:cs="Arial"/>
          <w:snapToGrid w:val="0"/>
          <w:szCs w:val="20"/>
        </w:rPr>
        <w:t>.</w:t>
      </w:r>
    </w:p>
    <w:p w14:paraId="2C16B4B2" w14:textId="77777777" w:rsidR="00E05BCD" w:rsidRDefault="00E05BCD" w:rsidP="00E05BCD">
      <w:pPr>
        <w:rPr>
          <w:rFonts w:cs="Arial"/>
          <w:snapToGrid w:val="0"/>
        </w:rPr>
      </w:pPr>
    </w:p>
    <w:p w14:paraId="7E1EEA0D" w14:textId="77777777" w:rsidR="00E05BCD" w:rsidRDefault="00E05BCD" w:rsidP="00E05BCD">
      <w:pPr>
        <w:pStyle w:val="Caption"/>
      </w:pPr>
      <w:bookmarkStart w:id="35" w:name="_Ref484635488"/>
      <w:bookmarkStart w:id="36" w:name="_Toc485125639"/>
      <w:r>
        <w:lastRenderedPageBreak/>
        <w:t xml:space="preserve">Table ES- </w:t>
      </w:r>
      <w:r w:rsidR="00272F76">
        <w:fldChar w:fldCharType="begin"/>
      </w:r>
      <w:r w:rsidR="00272F76">
        <w:instrText xml:space="preserve"> SEQ Table_ES- \* ARABIC </w:instrText>
      </w:r>
      <w:r w:rsidR="00272F76">
        <w:fldChar w:fldCharType="separate"/>
      </w:r>
      <w:r w:rsidR="00C407F4">
        <w:rPr>
          <w:noProof/>
        </w:rPr>
        <w:t>1</w:t>
      </w:r>
      <w:r w:rsidR="00272F76">
        <w:rPr>
          <w:noProof/>
        </w:rPr>
        <w:fldChar w:fldCharType="end"/>
      </w:r>
      <w:bookmarkEnd w:id="35"/>
      <w:r>
        <w:t xml:space="preserve">. </w:t>
      </w:r>
      <w:r w:rsidRPr="008F2ADE">
        <w:t>Draft Scenarios fo</w:t>
      </w:r>
      <w:r>
        <w:t>r Energy Efficiency Potential</w:t>
      </w:r>
      <w:bookmarkEnd w:id="36"/>
    </w:p>
    <w:tbl>
      <w:tblPr>
        <w:tblStyle w:val="EnergyTable1"/>
        <w:tblW w:w="0" w:type="auto"/>
        <w:tblLook w:val="04A0" w:firstRow="1" w:lastRow="0" w:firstColumn="1" w:lastColumn="0" w:noHBand="0" w:noVBand="1"/>
      </w:tblPr>
      <w:tblGrid>
        <w:gridCol w:w="3240"/>
        <w:gridCol w:w="3058"/>
        <w:gridCol w:w="1977"/>
      </w:tblGrid>
      <w:tr w:rsidR="00E05BCD" w:rsidRPr="00D84DAE" w14:paraId="08C6B3CF" w14:textId="77777777" w:rsidTr="00E05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0305E951" w14:textId="77777777" w:rsidR="00E05BCD" w:rsidRPr="00D84DAE" w:rsidRDefault="00E05BCD" w:rsidP="00E05BCD">
            <w:pPr>
              <w:keepNext/>
              <w:rPr>
                <w:rFonts w:ascii="Arial Narrow" w:hAnsi="Arial Narrow"/>
              </w:rPr>
            </w:pPr>
            <w:r w:rsidRPr="00D84DAE">
              <w:rPr>
                <w:rFonts w:ascii="Arial Narrow" w:hAnsi="Arial Narrow"/>
              </w:rPr>
              <w:t>Scenario</w:t>
            </w:r>
          </w:p>
        </w:tc>
        <w:tc>
          <w:tcPr>
            <w:tcW w:w="3058" w:type="dxa"/>
          </w:tcPr>
          <w:p w14:paraId="14D46DD1" w14:textId="77777777" w:rsidR="00E05BCD" w:rsidRPr="00D84DAE" w:rsidRDefault="00E05BCD" w:rsidP="00E05BCD">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84DAE">
              <w:rPr>
                <w:rFonts w:ascii="Arial Narrow" w:hAnsi="Arial Narrow"/>
              </w:rPr>
              <w:t>Cost Effectiveness Screen</w:t>
            </w:r>
          </w:p>
        </w:tc>
        <w:tc>
          <w:tcPr>
            <w:tcW w:w="1977" w:type="dxa"/>
          </w:tcPr>
          <w:p w14:paraId="3485B6E8" w14:textId="77777777" w:rsidR="00E05BCD" w:rsidRPr="00D84DAE" w:rsidRDefault="00E05BCD" w:rsidP="00E05BCD">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84DAE">
              <w:rPr>
                <w:rFonts w:ascii="Arial Narrow" w:hAnsi="Arial Narrow"/>
              </w:rPr>
              <w:t xml:space="preserve">Program </w:t>
            </w:r>
            <w:r>
              <w:rPr>
                <w:rFonts w:ascii="Arial Narrow" w:hAnsi="Arial Narrow"/>
              </w:rPr>
              <w:t>Engagement</w:t>
            </w:r>
            <w:r w:rsidRPr="00D84DAE">
              <w:rPr>
                <w:rFonts w:ascii="Arial Narrow" w:hAnsi="Arial Narrow"/>
              </w:rPr>
              <w:t xml:space="preserve"> </w:t>
            </w:r>
          </w:p>
        </w:tc>
      </w:tr>
      <w:tr w:rsidR="00E05BCD" w:rsidRPr="00D84DAE" w14:paraId="5BE6FB0C" w14:textId="77777777" w:rsidTr="00E05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9ECB14A" w14:textId="77777777" w:rsidR="00E05BCD" w:rsidRPr="00D84DAE" w:rsidRDefault="00E05BCD" w:rsidP="00E05BCD">
            <w:pPr>
              <w:keepNext/>
              <w:rPr>
                <w:rFonts w:ascii="Arial Narrow" w:hAnsi="Arial Narrow"/>
              </w:rPr>
            </w:pPr>
            <w:r w:rsidRPr="00D84DAE">
              <w:rPr>
                <w:rFonts w:ascii="Arial Narrow" w:hAnsi="Arial Narrow"/>
              </w:rPr>
              <w:t>TRC</w:t>
            </w:r>
            <w:r>
              <w:rPr>
                <w:rFonts w:ascii="Arial Narrow" w:hAnsi="Arial Narrow"/>
              </w:rPr>
              <w:t xml:space="preserve"> | Reference</w:t>
            </w:r>
          </w:p>
        </w:tc>
        <w:tc>
          <w:tcPr>
            <w:tcW w:w="3058" w:type="dxa"/>
          </w:tcPr>
          <w:p w14:paraId="185A3A5A" w14:textId="77777777" w:rsidR="00E05BCD" w:rsidRPr="00D84DAE" w:rsidRDefault="00E05BCD" w:rsidP="00E05BCD">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TRC</w:t>
            </w:r>
            <w:r>
              <w:rPr>
                <w:rFonts w:ascii="Arial Narrow" w:hAnsi="Arial Narrow"/>
              </w:rPr>
              <w:t xml:space="preserve"> test using 2016 Avoided Costs</w:t>
            </w:r>
          </w:p>
        </w:tc>
        <w:tc>
          <w:tcPr>
            <w:tcW w:w="1977" w:type="dxa"/>
          </w:tcPr>
          <w:p w14:paraId="587D59B3" w14:textId="77777777" w:rsidR="00E05BCD" w:rsidRPr="00D84DAE" w:rsidRDefault="00E05BCD" w:rsidP="00E05BCD">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Reference</w:t>
            </w:r>
          </w:p>
        </w:tc>
      </w:tr>
      <w:tr w:rsidR="00E05BCD" w:rsidRPr="00D84DAE" w14:paraId="3940985D" w14:textId="77777777" w:rsidTr="00E05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739DF17" w14:textId="77777777" w:rsidR="00E05BCD" w:rsidRPr="00D84DAE" w:rsidRDefault="00E05BCD" w:rsidP="00E05BCD">
            <w:pPr>
              <w:keepNext/>
              <w:rPr>
                <w:rFonts w:ascii="Arial Narrow" w:hAnsi="Arial Narrow"/>
              </w:rPr>
            </w:pPr>
            <w:r w:rsidRPr="00D84DAE">
              <w:rPr>
                <w:rFonts w:ascii="Arial Narrow" w:hAnsi="Arial Narrow"/>
              </w:rPr>
              <w:t>mTRC (GHG Adder #1)</w:t>
            </w:r>
            <w:r>
              <w:rPr>
                <w:rFonts w:ascii="Arial Narrow" w:hAnsi="Arial Narrow"/>
              </w:rPr>
              <w:t xml:space="preserve"> | Reference</w:t>
            </w:r>
          </w:p>
        </w:tc>
        <w:tc>
          <w:tcPr>
            <w:tcW w:w="3058" w:type="dxa"/>
          </w:tcPr>
          <w:p w14:paraId="12304622" w14:textId="77777777" w:rsidR="00E05BCD" w:rsidRPr="00D84DAE" w:rsidRDefault="00E05BCD" w:rsidP="00E05BCD">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TRC</w:t>
            </w:r>
            <w:r>
              <w:rPr>
                <w:rFonts w:ascii="Arial Narrow" w:hAnsi="Arial Narrow"/>
              </w:rPr>
              <w:t xml:space="preserve"> test using 2016 Avoided Costs + IOU proposed GHG Adder</w:t>
            </w:r>
          </w:p>
        </w:tc>
        <w:tc>
          <w:tcPr>
            <w:tcW w:w="1977" w:type="dxa"/>
          </w:tcPr>
          <w:p w14:paraId="60FF327C" w14:textId="77777777" w:rsidR="00E05BCD" w:rsidRPr="00D84DAE" w:rsidRDefault="00E05BCD" w:rsidP="00E05BCD">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Reference</w:t>
            </w:r>
          </w:p>
        </w:tc>
      </w:tr>
      <w:tr w:rsidR="00E05BCD" w:rsidRPr="00D84DAE" w14:paraId="03145142" w14:textId="77777777" w:rsidTr="00E05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7E21EF0A" w14:textId="77777777" w:rsidR="00E05BCD" w:rsidRPr="00D84DAE" w:rsidRDefault="00E05BCD" w:rsidP="00E05BCD">
            <w:pPr>
              <w:keepNext/>
              <w:rPr>
                <w:rFonts w:ascii="Arial Narrow" w:hAnsi="Arial Narrow"/>
              </w:rPr>
            </w:pPr>
            <w:r w:rsidRPr="00D84DAE">
              <w:rPr>
                <w:rFonts w:ascii="Arial Narrow" w:hAnsi="Arial Narrow"/>
              </w:rPr>
              <w:t>mTRC (GHG Adder #2)</w:t>
            </w:r>
            <w:r>
              <w:rPr>
                <w:rFonts w:ascii="Arial Narrow" w:hAnsi="Arial Narrow"/>
              </w:rPr>
              <w:t xml:space="preserve"> | Reference</w:t>
            </w:r>
          </w:p>
        </w:tc>
        <w:tc>
          <w:tcPr>
            <w:tcW w:w="3058" w:type="dxa"/>
          </w:tcPr>
          <w:p w14:paraId="76DC48DE" w14:textId="0EDE76BE" w:rsidR="00E05BCD" w:rsidRPr="00D84DAE" w:rsidRDefault="00E05BCD" w:rsidP="00E05BCD">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TRC</w:t>
            </w:r>
            <w:r>
              <w:rPr>
                <w:rFonts w:ascii="Arial Narrow" w:hAnsi="Arial Narrow"/>
              </w:rPr>
              <w:t xml:space="preserve"> test using 2016 Avoided Costs + </w:t>
            </w:r>
            <w:r w:rsidR="006E231E">
              <w:rPr>
                <w:rFonts w:ascii="Arial Narrow" w:hAnsi="Arial Narrow"/>
              </w:rPr>
              <w:t xml:space="preserve">Commission staff </w:t>
            </w:r>
            <w:r>
              <w:rPr>
                <w:rFonts w:ascii="Arial Narrow" w:hAnsi="Arial Narrow"/>
              </w:rPr>
              <w:t>proposed GHG Adder</w:t>
            </w:r>
          </w:p>
        </w:tc>
        <w:tc>
          <w:tcPr>
            <w:tcW w:w="1977" w:type="dxa"/>
          </w:tcPr>
          <w:p w14:paraId="7BE45EC3" w14:textId="77777777" w:rsidR="00E05BCD" w:rsidRPr="00D84DAE" w:rsidRDefault="00E05BCD" w:rsidP="00E05BCD">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Reference</w:t>
            </w:r>
          </w:p>
        </w:tc>
      </w:tr>
      <w:tr w:rsidR="00E05BCD" w:rsidRPr="00D84DAE" w14:paraId="08375049" w14:textId="77777777" w:rsidTr="00E05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3D7E128A" w14:textId="77777777" w:rsidR="00E05BCD" w:rsidRPr="00D84DAE" w:rsidRDefault="00E05BCD" w:rsidP="00E05BCD">
            <w:pPr>
              <w:keepNext/>
              <w:rPr>
                <w:rFonts w:ascii="Arial Narrow" w:hAnsi="Arial Narrow"/>
              </w:rPr>
            </w:pPr>
            <w:r w:rsidRPr="00D84DAE">
              <w:rPr>
                <w:rFonts w:ascii="Arial Narrow" w:hAnsi="Arial Narrow"/>
              </w:rPr>
              <w:t>PAC</w:t>
            </w:r>
            <w:r>
              <w:rPr>
                <w:rFonts w:ascii="Arial Narrow" w:hAnsi="Arial Narrow"/>
              </w:rPr>
              <w:t xml:space="preserve"> | Reference</w:t>
            </w:r>
          </w:p>
        </w:tc>
        <w:tc>
          <w:tcPr>
            <w:tcW w:w="3058" w:type="dxa"/>
          </w:tcPr>
          <w:p w14:paraId="289A0F81" w14:textId="77777777" w:rsidR="00E05BCD" w:rsidRPr="00D84DAE" w:rsidRDefault="00E05BCD" w:rsidP="00E05BCD">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PAC</w:t>
            </w:r>
            <w:r>
              <w:rPr>
                <w:rFonts w:ascii="Arial Narrow" w:hAnsi="Arial Narrow"/>
              </w:rPr>
              <w:t xml:space="preserve"> test using 2016 Avoided Costs</w:t>
            </w:r>
          </w:p>
        </w:tc>
        <w:tc>
          <w:tcPr>
            <w:tcW w:w="1977" w:type="dxa"/>
          </w:tcPr>
          <w:p w14:paraId="39518A66" w14:textId="77777777" w:rsidR="00E05BCD" w:rsidRPr="00D84DAE" w:rsidRDefault="00E05BCD" w:rsidP="00E05BCD">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Reference</w:t>
            </w:r>
          </w:p>
        </w:tc>
      </w:tr>
      <w:tr w:rsidR="00E05BCD" w:rsidRPr="00D84DAE" w14:paraId="08CB90BF" w14:textId="77777777" w:rsidTr="00E05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D0FC335" w14:textId="77777777" w:rsidR="00E05BCD" w:rsidRPr="00D84DAE" w:rsidRDefault="00E05BCD" w:rsidP="00E05BCD">
            <w:pPr>
              <w:rPr>
                <w:rFonts w:ascii="Arial Narrow" w:hAnsi="Arial Narrow"/>
              </w:rPr>
            </w:pPr>
            <w:r w:rsidRPr="00D84DAE">
              <w:rPr>
                <w:rFonts w:ascii="Arial Narrow" w:hAnsi="Arial Narrow"/>
              </w:rPr>
              <w:t>PAC</w:t>
            </w:r>
            <w:r>
              <w:rPr>
                <w:rFonts w:ascii="Arial Narrow" w:hAnsi="Arial Narrow"/>
              </w:rPr>
              <w:t xml:space="preserve"> | Aggressive</w:t>
            </w:r>
          </w:p>
        </w:tc>
        <w:tc>
          <w:tcPr>
            <w:tcW w:w="3058" w:type="dxa"/>
          </w:tcPr>
          <w:p w14:paraId="70C0950E" w14:textId="77777777" w:rsidR="00E05BCD" w:rsidRPr="00D84DAE" w:rsidRDefault="00E05BCD" w:rsidP="00E05BC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PAC</w:t>
            </w:r>
            <w:r>
              <w:rPr>
                <w:rFonts w:ascii="Arial Narrow" w:hAnsi="Arial Narrow"/>
              </w:rPr>
              <w:t xml:space="preserve"> test using 2016 Avoided Costs</w:t>
            </w:r>
          </w:p>
        </w:tc>
        <w:tc>
          <w:tcPr>
            <w:tcW w:w="1977" w:type="dxa"/>
          </w:tcPr>
          <w:p w14:paraId="27231AE5" w14:textId="77777777" w:rsidR="00E05BCD" w:rsidRPr="00D84DAE" w:rsidRDefault="00E05BCD" w:rsidP="00E05BC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Aggressive</w:t>
            </w:r>
          </w:p>
        </w:tc>
      </w:tr>
    </w:tbl>
    <w:p w14:paraId="047CA2CB" w14:textId="77777777" w:rsidR="00E05BCD" w:rsidRDefault="00E05BCD" w:rsidP="00E05BCD">
      <w:pPr>
        <w:rPr>
          <w:rFonts w:cs="Arial"/>
          <w:snapToGrid w:val="0"/>
        </w:rPr>
      </w:pPr>
    </w:p>
    <w:p w14:paraId="3C7DEA16" w14:textId="77777777" w:rsidR="00E05BCD" w:rsidRDefault="00E05BCD" w:rsidP="00E05BCD">
      <w:pPr>
        <w:rPr>
          <w:highlight w:val="yellow"/>
        </w:rPr>
      </w:pPr>
      <w:r w:rsidRPr="001A3F0C">
        <w:rPr>
          <w:rFonts w:cs="Arial"/>
          <w:snapToGrid w:val="0"/>
        </w:rPr>
        <w:t>The TRC | Reference scenario represent as “business as usual” and continuation of current policies. Three of the alternate scenarios continue to assume similar program design but apply different cost effectiveness tests and avoided costs. The final scenario (PAC | Aggressive) is meant to show an upper bound of the combination of program engagement and cost-effectiveness screens</w:t>
      </w:r>
      <w:r w:rsidR="000A5A7E">
        <w:rPr>
          <w:rFonts w:cs="Arial"/>
          <w:snapToGrid w:val="0"/>
        </w:rPr>
        <w:t xml:space="preserve"> and can be used to compare against SB350 targets</w:t>
      </w:r>
      <w:r w:rsidRPr="001A3F0C">
        <w:rPr>
          <w:rFonts w:cs="Arial"/>
          <w:snapToGrid w:val="0"/>
        </w:rPr>
        <w:t>.</w:t>
      </w:r>
    </w:p>
    <w:p w14:paraId="458A2B81" w14:textId="77777777" w:rsidR="00A93CE5" w:rsidRDefault="00A93CE5" w:rsidP="00A93CE5">
      <w:pPr>
        <w:pStyle w:val="Heading8"/>
      </w:pPr>
      <w:bookmarkStart w:id="37" w:name="_Toc485126514"/>
      <w:r>
        <w:t>Results</w:t>
      </w:r>
      <w:bookmarkEnd w:id="37"/>
    </w:p>
    <w:p w14:paraId="60B3C1B6" w14:textId="77777777" w:rsidR="00E05BCD" w:rsidRDefault="00502AC0" w:rsidP="00E05BCD">
      <w:r>
        <w:fldChar w:fldCharType="begin"/>
      </w:r>
      <w:r>
        <w:instrText xml:space="preserve"> REF _Ref484778764 \h </w:instrText>
      </w:r>
      <w:r>
        <w:fldChar w:fldCharType="separate"/>
      </w:r>
      <w:r w:rsidR="00C407F4">
        <w:t xml:space="preserve">Figure ES- </w:t>
      </w:r>
      <w:r w:rsidR="00C407F4">
        <w:rPr>
          <w:noProof/>
        </w:rPr>
        <w:t>1</w:t>
      </w:r>
      <w:r>
        <w:fldChar w:fldCharType="end"/>
      </w:r>
      <w:r>
        <w:t xml:space="preserve"> and </w:t>
      </w:r>
      <w:r>
        <w:fldChar w:fldCharType="begin"/>
      </w:r>
      <w:r>
        <w:instrText xml:space="preserve"> REF _Ref484778766 \h </w:instrText>
      </w:r>
      <w:r>
        <w:fldChar w:fldCharType="separate"/>
      </w:r>
      <w:r w:rsidR="00C407F4">
        <w:t xml:space="preserve">Figure ES- </w:t>
      </w:r>
      <w:r w:rsidR="00C407F4">
        <w:rPr>
          <w:noProof/>
        </w:rPr>
        <w:t>2</w:t>
      </w:r>
      <w:r>
        <w:fldChar w:fldCharType="end"/>
      </w:r>
      <w:r>
        <w:t xml:space="preserve"> </w:t>
      </w:r>
      <w:r w:rsidR="00E05BCD">
        <w:t>show</w:t>
      </w:r>
      <w:r w:rsidR="00E05BCD" w:rsidRPr="005B2ABA">
        <w:t xml:space="preserve"> the total incremental</w:t>
      </w:r>
      <w:r w:rsidR="00E05BCD">
        <w:t xml:space="preserve"> market</w:t>
      </w:r>
      <w:r w:rsidR="00E05BCD" w:rsidRPr="005B2ABA">
        <w:t xml:space="preserve"> potential from all savings sources by scenario. </w:t>
      </w:r>
      <w:r w:rsidR="00E05BCD">
        <w:t>A few important notes about these results:</w:t>
      </w:r>
    </w:p>
    <w:p w14:paraId="6B1B58C1" w14:textId="77777777" w:rsidR="00E05BCD" w:rsidRDefault="00E05BCD" w:rsidP="00E05BCD">
      <w:pPr>
        <w:pStyle w:val="ListParagraph"/>
        <w:numPr>
          <w:ilvl w:val="0"/>
          <w:numId w:val="76"/>
        </w:numPr>
      </w:pPr>
      <w:r>
        <w:t xml:space="preserve">Rebate program savings are different for each scenario based on parameters shown earlier in </w:t>
      </w:r>
      <w:r>
        <w:rPr>
          <w:rFonts w:cs="Arial"/>
          <w:snapToGrid w:val="0"/>
          <w:szCs w:val="20"/>
        </w:rPr>
        <w:fldChar w:fldCharType="begin"/>
      </w:r>
      <w:r>
        <w:rPr>
          <w:rFonts w:cs="Arial"/>
          <w:snapToGrid w:val="0"/>
          <w:szCs w:val="20"/>
        </w:rPr>
        <w:instrText xml:space="preserve"> REF _Ref484635488 \h </w:instrText>
      </w:r>
      <w:r>
        <w:rPr>
          <w:rFonts w:cs="Arial"/>
          <w:snapToGrid w:val="0"/>
          <w:szCs w:val="20"/>
        </w:rPr>
      </w:r>
      <w:r>
        <w:rPr>
          <w:rFonts w:cs="Arial"/>
          <w:snapToGrid w:val="0"/>
          <w:szCs w:val="20"/>
        </w:rPr>
        <w:fldChar w:fldCharType="separate"/>
      </w:r>
      <w:r w:rsidR="00C407F4">
        <w:t xml:space="preserve">Table ES- </w:t>
      </w:r>
      <w:r w:rsidR="00C407F4">
        <w:rPr>
          <w:noProof/>
        </w:rPr>
        <w:t>1</w:t>
      </w:r>
      <w:r>
        <w:rPr>
          <w:rFonts w:cs="Arial"/>
          <w:snapToGrid w:val="0"/>
          <w:szCs w:val="20"/>
        </w:rPr>
        <w:fldChar w:fldCharType="end"/>
      </w:r>
      <w:r>
        <w:rPr>
          <w:rFonts w:cs="Arial"/>
          <w:snapToGrid w:val="0"/>
          <w:szCs w:val="20"/>
        </w:rPr>
        <w:t>.</w:t>
      </w:r>
    </w:p>
    <w:p w14:paraId="1328C4B3" w14:textId="77777777" w:rsidR="00E05BCD" w:rsidRDefault="00E05BCD" w:rsidP="00E05BCD">
      <w:pPr>
        <w:pStyle w:val="ListParagraph"/>
        <w:numPr>
          <w:ilvl w:val="0"/>
          <w:numId w:val="76"/>
        </w:numPr>
      </w:pPr>
      <w:r>
        <w:t>BROs savings vary only in terms of Reference vs. Aggressive. Thus, four of the five scenarios have the same forecast of BROs savings.</w:t>
      </w:r>
      <w:r w:rsidRPr="005C58F8">
        <w:t xml:space="preserve"> </w:t>
      </w:r>
    </w:p>
    <w:p w14:paraId="1E0EBFC0" w14:textId="77777777" w:rsidR="00E05BCD" w:rsidRDefault="00E05BCD" w:rsidP="00E05BCD">
      <w:pPr>
        <w:pStyle w:val="ListParagraph"/>
        <w:numPr>
          <w:ilvl w:val="0"/>
          <w:numId w:val="76"/>
        </w:numPr>
      </w:pPr>
      <w:r>
        <w:t xml:space="preserve">Codes and Standards and Low Income Savings do not vary by scenario. </w:t>
      </w:r>
    </w:p>
    <w:p w14:paraId="36DEEF7C" w14:textId="77777777" w:rsidR="00E05BCD" w:rsidRDefault="00E05BCD" w:rsidP="00E05BCD"/>
    <w:p w14:paraId="21962D82" w14:textId="77777777" w:rsidR="00E05BCD" w:rsidRDefault="00E05BCD" w:rsidP="00E05BCD">
      <w:r>
        <w:t xml:space="preserve">Total savings are dominated by C&amp;S. Because C&amp;S savings do not vary by scenario, the overall variability in total savings may appear minimal. True variability in savings originates from Rebate Programs and BROs. </w:t>
      </w:r>
      <w:r w:rsidR="0066285E">
        <w:t xml:space="preserve"> Results in tabular form for each year are available in section </w:t>
      </w:r>
      <w:r w:rsidR="0066285E">
        <w:fldChar w:fldCharType="begin"/>
      </w:r>
      <w:r w:rsidR="0066285E">
        <w:instrText xml:space="preserve"> REF _Ref484780219 \n \h </w:instrText>
      </w:r>
      <w:r w:rsidR="0066285E">
        <w:fldChar w:fldCharType="separate"/>
      </w:r>
      <w:r w:rsidR="00C407F4">
        <w:t>4.1</w:t>
      </w:r>
      <w:r w:rsidR="0066285E">
        <w:fldChar w:fldCharType="end"/>
      </w:r>
      <w:r w:rsidR="0066285E">
        <w:t>.</w:t>
      </w:r>
    </w:p>
    <w:p w14:paraId="195C9651" w14:textId="77777777" w:rsidR="00E05BCD" w:rsidRDefault="00E05BCD" w:rsidP="00E05BCD"/>
    <w:p w14:paraId="0FFF5CD9" w14:textId="77777777" w:rsidR="00E05BCD" w:rsidRDefault="00E05BCD" w:rsidP="00E05BCD"/>
    <w:p w14:paraId="5299A5E1" w14:textId="77777777" w:rsidR="00E05BCD" w:rsidRDefault="00502AC0" w:rsidP="00E05BCD">
      <w:pPr>
        <w:pStyle w:val="Caption"/>
      </w:pPr>
      <w:bookmarkStart w:id="38" w:name="_Ref484778764"/>
      <w:bookmarkStart w:id="39" w:name="_Toc485125640"/>
      <w:r>
        <w:lastRenderedPageBreak/>
        <w:t xml:space="preserve">Figure ES- </w:t>
      </w:r>
      <w:r w:rsidR="00272F76">
        <w:fldChar w:fldCharType="begin"/>
      </w:r>
      <w:r w:rsidR="00272F76">
        <w:instrText xml:space="preserve"> SEQ Figure_ES- \* ARABIC </w:instrText>
      </w:r>
      <w:r w:rsidR="00272F76">
        <w:fldChar w:fldCharType="separate"/>
      </w:r>
      <w:r w:rsidR="00C407F4">
        <w:rPr>
          <w:noProof/>
        </w:rPr>
        <w:t>1</w:t>
      </w:r>
      <w:r w:rsidR="00272F76">
        <w:rPr>
          <w:noProof/>
        </w:rPr>
        <w:fldChar w:fldCharType="end"/>
      </w:r>
      <w:bookmarkEnd w:id="38"/>
      <w:r>
        <w:t>.</w:t>
      </w:r>
      <w:r w:rsidRPr="00F123A3">
        <w:t xml:space="preserve"> </w:t>
      </w:r>
      <w:r w:rsidR="00E05BCD">
        <w:t>Statewide Incremental Electric Savings by Scenario</w:t>
      </w:r>
      <w:bookmarkEnd w:id="39"/>
      <w:r w:rsidR="00E05BCD">
        <w:t xml:space="preserve"> </w:t>
      </w:r>
    </w:p>
    <w:p w14:paraId="6B7D99A7" w14:textId="77777777" w:rsidR="00502AC0" w:rsidRPr="00502AC0" w:rsidRDefault="00502AC0" w:rsidP="00502AC0">
      <w:r>
        <w:rPr>
          <w:noProof/>
        </w:rPr>
        <w:drawing>
          <wp:inline distT="0" distB="0" distL="0" distR="0" wp14:anchorId="63CBCBDE" wp14:editId="1C58FADD">
            <wp:extent cx="5870984" cy="395785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1336" cy="3964829"/>
                    </a:xfrm>
                    <a:prstGeom prst="rect">
                      <a:avLst/>
                    </a:prstGeom>
                    <a:noFill/>
                  </pic:spPr>
                </pic:pic>
              </a:graphicData>
            </a:graphic>
          </wp:inline>
        </w:drawing>
      </w:r>
    </w:p>
    <w:p w14:paraId="4C7C919B" w14:textId="77777777" w:rsidR="00E05BCD" w:rsidRPr="00502AC0" w:rsidRDefault="00332306" w:rsidP="00502AC0">
      <w:pPr>
        <w:jc w:val="center"/>
        <w:rPr>
          <w:sz w:val="16"/>
          <w:szCs w:val="16"/>
        </w:rPr>
      </w:pPr>
      <w:r w:rsidRPr="00502AC0">
        <w:rPr>
          <w:sz w:val="16"/>
          <w:szCs w:val="16"/>
        </w:rPr>
        <w:t>*includes interactive effects</w:t>
      </w:r>
    </w:p>
    <w:p w14:paraId="61EABD8D" w14:textId="77777777" w:rsidR="00502AC0" w:rsidRPr="00C25BCB" w:rsidRDefault="00502AC0" w:rsidP="00E05BCD"/>
    <w:p w14:paraId="0576A6B0" w14:textId="77777777" w:rsidR="00E05BCD" w:rsidRDefault="00502AC0" w:rsidP="00E05BCD">
      <w:pPr>
        <w:pStyle w:val="Caption"/>
      </w:pPr>
      <w:bookmarkStart w:id="40" w:name="_Ref484778766"/>
      <w:bookmarkStart w:id="41" w:name="_Toc485125641"/>
      <w:r>
        <w:lastRenderedPageBreak/>
        <w:t xml:space="preserve">Figure ES- </w:t>
      </w:r>
      <w:r w:rsidR="00272F76">
        <w:fldChar w:fldCharType="begin"/>
      </w:r>
      <w:r w:rsidR="00272F76">
        <w:instrText xml:space="preserve"> SEQ Figure_ES- \* ARABIC </w:instrText>
      </w:r>
      <w:r w:rsidR="00272F76">
        <w:fldChar w:fldCharType="separate"/>
      </w:r>
      <w:r w:rsidR="00C407F4">
        <w:rPr>
          <w:noProof/>
        </w:rPr>
        <w:t>2</w:t>
      </w:r>
      <w:r w:rsidR="00272F76">
        <w:rPr>
          <w:noProof/>
        </w:rPr>
        <w:fldChar w:fldCharType="end"/>
      </w:r>
      <w:bookmarkEnd w:id="40"/>
      <w:r>
        <w:t>.</w:t>
      </w:r>
      <w:r w:rsidRPr="00F123A3">
        <w:t xml:space="preserve"> </w:t>
      </w:r>
      <w:r w:rsidR="00E05BCD">
        <w:t>Statewide Incremental Gas Savings by Scenario</w:t>
      </w:r>
      <w:bookmarkEnd w:id="41"/>
      <w:r w:rsidR="00E05BCD">
        <w:t xml:space="preserve"> </w:t>
      </w:r>
    </w:p>
    <w:p w14:paraId="33E566F6" w14:textId="77777777" w:rsidR="00502AC0" w:rsidRPr="00502AC0" w:rsidRDefault="00502AC0" w:rsidP="00502AC0">
      <w:r>
        <w:rPr>
          <w:noProof/>
        </w:rPr>
        <w:drawing>
          <wp:inline distT="0" distB="0" distL="0" distR="0" wp14:anchorId="1C9CA364" wp14:editId="4034E229">
            <wp:extent cx="5892553" cy="397239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256" cy="3983650"/>
                    </a:xfrm>
                    <a:prstGeom prst="rect">
                      <a:avLst/>
                    </a:prstGeom>
                    <a:noFill/>
                  </pic:spPr>
                </pic:pic>
              </a:graphicData>
            </a:graphic>
          </wp:inline>
        </w:drawing>
      </w:r>
    </w:p>
    <w:p w14:paraId="02ABA79D" w14:textId="77777777" w:rsidR="00332306" w:rsidRDefault="00332306" w:rsidP="00502AC0">
      <w:pPr>
        <w:jc w:val="center"/>
        <w:rPr>
          <w:sz w:val="16"/>
          <w:szCs w:val="16"/>
        </w:rPr>
      </w:pPr>
      <w:r w:rsidRPr="00502AC0">
        <w:rPr>
          <w:sz w:val="16"/>
          <w:szCs w:val="16"/>
        </w:rPr>
        <w:t>*includes interactive effects</w:t>
      </w:r>
    </w:p>
    <w:p w14:paraId="0E49E703" w14:textId="77777777" w:rsidR="00502AC0" w:rsidRDefault="00502AC0" w:rsidP="00502AC0">
      <w:pPr>
        <w:rPr>
          <w:sz w:val="16"/>
          <w:szCs w:val="16"/>
        </w:rPr>
      </w:pPr>
    </w:p>
    <w:p w14:paraId="443021AD" w14:textId="77777777" w:rsidR="006B0582" w:rsidRDefault="006B0582" w:rsidP="006B0582">
      <w:r>
        <w:fldChar w:fldCharType="begin"/>
      </w:r>
      <w:r>
        <w:instrText xml:space="preserve"> REF _Ref484779936 \h </w:instrText>
      </w:r>
      <w:r>
        <w:fldChar w:fldCharType="separate"/>
      </w:r>
      <w:r w:rsidR="00C407F4">
        <w:t xml:space="preserve">Figure ES- </w:t>
      </w:r>
      <w:r w:rsidR="00C407F4">
        <w:rPr>
          <w:noProof/>
        </w:rPr>
        <w:t>3</w:t>
      </w:r>
      <w:r>
        <w:fldChar w:fldCharType="end"/>
      </w:r>
      <w:r>
        <w:t xml:space="preserve"> and </w:t>
      </w:r>
      <w:r>
        <w:fldChar w:fldCharType="begin"/>
      </w:r>
      <w:r>
        <w:instrText xml:space="preserve"> REF _Ref484779937 \h </w:instrText>
      </w:r>
      <w:r>
        <w:fldChar w:fldCharType="separate"/>
      </w:r>
      <w:r w:rsidR="00C407F4">
        <w:t xml:space="preserve">Figure ES- </w:t>
      </w:r>
      <w:r w:rsidR="00C407F4">
        <w:rPr>
          <w:noProof/>
        </w:rPr>
        <w:t>4</w:t>
      </w:r>
      <w:r>
        <w:fldChar w:fldCharType="end"/>
      </w:r>
      <w:r>
        <w:t xml:space="preserve"> compares the savings from Rebate Programs plus BROs interventions as a percent of IOU sales. Savings as a percent of sales is a common metric provided in other potentials studies and industry standard practice is to exclude savings from C&amp;S from such calculations.  Energy sales are sourced from the CEC’s IEPR Mid-Case. </w:t>
      </w:r>
    </w:p>
    <w:p w14:paraId="0588D48D" w14:textId="77777777" w:rsidR="006B0582" w:rsidRDefault="006B0582" w:rsidP="006B0582"/>
    <w:p w14:paraId="6D4ECB82" w14:textId="77777777" w:rsidR="006B0582" w:rsidRPr="00F123A3" w:rsidRDefault="006B0582" w:rsidP="006B0582">
      <w:pPr>
        <w:pStyle w:val="Caption"/>
      </w:pPr>
      <w:bookmarkStart w:id="42" w:name="_Ref484779936"/>
      <w:bookmarkStart w:id="43" w:name="_Toc485125642"/>
      <w:r>
        <w:lastRenderedPageBreak/>
        <w:t xml:space="preserve">Figure ES- </w:t>
      </w:r>
      <w:r w:rsidR="00272F76">
        <w:fldChar w:fldCharType="begin"/>
      </w:r>
      <w:r w:rsidR="00272F76">
        <w:instrText xml:space="preserve"> SEQ Figure_ES- \* ARABIC </w:instrText>
      </w:r>
      <w:r w:rsidR="00272F76">
        <w:fldChar w:fldCharType="separate"/>
      </w:r>
      <w:r w:rsidR="00C407F4">
        <w:rPr>
          <w:noProof/>
        </w:rPr>
        <w:t>3</w:t>
      </w:r>
      <w:r w:rsidR="00272F76">
        <w:rPr>
          <w:noProof/>
        </w:rPr>
        <w:fldChar w:fldCharType="end"/>
      </w:r>
      <w:bookmarkEnd w:id="42"/>
      <w:r>
        <w:t>. Incremental Electric</w:t>
      </w:r>
      <w:r w:rsidRPr="00F123A3">
        <w:t xml:space="preserve"> Potential </w:t>
      </w:r>
      <w:r>
        <w:t>Percent Savings</w:t>
      </w:r>
      <w:bookmarkEnd w:id="43"/>
    </w:p>
    <w:p w14:paraId="02E23377" w14:textId="77777777" w:rsidR="006B0582" w:rsidRDefault="006B0582" w:rsidP="006B0582">
      <w:pPr>
        <w:jc w:val="center"/>
      </w:pPr>
      <w:r>
        <w:rPr>
          <w:noProof/>
        </w:rPr>
        <w:drawing>
          <wp:inline distT="0" distB="0" distL="0" distR="0" wp14:anchorId="47D50687" wp14:editId="52683565">
            <wp:extent cx="5411299" cy="2758544"/>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2890" cy="2764453"/>
                    </a:xfrm>
                    <a:prstGeom prst="rect">
                      <a:avLst/>
                    </a:prstGeom>
                    <a:noFill/>
                  </pic:spPr>
                </pic:pic>
              </a:graphicData>
            </a:graphic>
          </wp:inline>
        </w:drawing>
      </w:r>
    </w:p>
    <w:p w14:paraId="3ADD0BD0" w14:textId="77777777" w:rsidR="006B0582" w:rsidRDefault="006B0582" w:rsidP="006B0582">
      <w:pPr>
        <w:jc w:val="center"/>
        <w:rPr>
          <w:sz w:val="16"/>
        </w:rPr>
      </w:pPr>
      <w:r w:rsidRPr="00A47C15">
        <w:rPr>
          <w:sz w:val="16"/>
        </w:rPr>
        <w:t>Note: Excludes C&amp;S and Low Income</w:t>
      </w:r>
    </w:p>
    <w:p w14:paraId="4D1AEB27" w14:textId="77777777" w:rsidR="006B0582" w:rsidRDefault="006B0582" w:rsidP="006B0582">
      <w:pPr>
        <w:pStyle w:val="Caption"/>
      </w:pPr>
    </w:p>
    <w:p w14:paraId="1CBC17AE" w14:textId="77777777" w:rsidR="006B0582" w:rsidRPr="00F123A3" w:rsidRDefault="006B0582" w:rsidP="006B0582">
      <w:pPr>
        <w:pStyle w:val="Caption"/>
      </w:pPr>
      <w:bookmarkStart w:id="44" w:name="_Ref484779937"/>
      <w:bookmarkStart w:id="45" w:name="_Toc485125643"/>
      <w:r>
        <w:t xml:space="preserve">Figure ES- </w:t>
      </w:r>
      <w:r w:rsidR="00272F76">
        <w:fldChar w:fldCharType="begin"/>
      </w:r>
      <w:r w:rsidR="00272F76">
        <w:instrText xml:space="preserve"> SEQ Figure_ES- \* ARABIC </w:instrText>
      </w:r>
      <w:r w:rsidR="00272F76">
        <w:fldChar w:fldCharType="separate"/>
      </w:r>
      <w:r w:rsidR="00C407F4">
        <w:rPr>
          <w:noProof/>
        </w:rPr>
        <w:t>4</w:t>
      </w:r>
      <w:r w:rsidR="00272F76">
        <w:rPr>
          <w:noProof/>
        </w:rPr>
        <w:fldChar w:fldCharType="end"/>
      </w:r>
      <w:bookmarkEnd w:id="44"/>
      <w:r>
        <w:t>. Incremental Gas</w:t>
      </w:r>
      <w:r w:rsidRPr="00F123A3">
        <w:t xml:space="preserve"> Potential </w:t>
      </w:r>
      <w:r>
        <w:t>Percent Savings</w:t>
      </w:r>
      <w:bookmarkEnd w:id="45"/>
    </w:p>
    <w:p w14:paraId="76E51FE3" w14:textId="77777777" w:rsidR="006B0582" w:rsidRDefault="006B0582" w:rsidP="006B0582">
      <w:pPr>
        <w:jc w:val="center"/>
      </w:pPr>
      <w:r>
        <w:rPr>
          <w:noProof/>
        </w:rPr>
        <w:drawing>
          <wp:inline distT="0" distB="0" distL="0" distR="0" wp14:anchorId="02D5410E" wp14:editId="4A2D7600">
            <wp:extent cx="5322589" cy="27133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4301" cy="2724390"/>
                    </a:xfrm>
                    <a:prstGeom prst="rect">
                      <a:avLst/>
                    </a:prstGeom>
                    <a:noFill/>
                  </pic:spPr>
                </pic:pic>
              </a:graphicData>
            </a:graphic>
          </wp:inline>
        </w:drawing>
      </w:r>
    </w:p>
    <w:p w14:paraId="4F0531B6" w14:textId="77777777" w:rsidR="006B0582" w:rsidRDefault="006B0582" w:rsidP="006B0582">
      <w:pPr>
        <w:jc w:val="center"/>
        <w:rPr>
          <w:sz w:val="16"/>
        </w:rPr>
      </w:pPr>
      <w:r w:rsidRPr="00A47C15">
        <w:rPr>
          <w:sz w:val="16"/>
        </w:rPr>
        <w:t>Note: Excludes C&amp;S and Low Income</w:t>
      </w:r>
    </w:p>
    <w:p w14:paraId="155102D7" w14:textId="77777777" w:rsidR="00E05BCD" w:rsidRDefault="00E05BCD" w:rsidP="00E05BCD">
      <w:pPr>
        <w:pStyle w:val="Heading9"/>
      </w:pPr>
      <w:bookmarkStart w:id="46" w:name="_Toc485126515"/>
      <w:r>
        <w:t>Rebate Program Scenario Results</w:t>
      </w:r>
      <w:bookmarkEnd w:id="46"/>
    </w:p>
    <w:p w14:paraId="5FE69EE9" w14:textId="77777777" w:rsidR="00E05BCD" w:rsidRDefault="00A949E2" w:rsidP="00E05BCD">
      <w:pPr>
        <w:jc w:val="both"/>
      </w:pPr>
      <w:r>
        <w:fldChar w:fldCharType="begin"/>
      </w:r>
      <w:r>
        <w:instrText xml:space="preserve"> REF _Ref484636042 \h </w:instrText>
      </w:r>
      <w:r>
        <w:fldChar w:fldCharType="separate"/>
      </w:r>
      <w:r w:rsidR="00C407F4">
        <w:t xml:space="preserve">Figure ES- </w:t>
      </w:r>
      <w:r w:rsidR="00C407F4">
        <w:rPr>
          <w:noProof/>
        </w:rPr>
        <w:t>5</w:t>
      </w:r>
      <w:r>
        <w:fldChar w:fldCharType="end"/>
      </w:r>
      <w:r>
        <w:t xml:space="preserve"> </w:t>
      </w:r>
      <w:r w:rsidR="00E05BCD" w:rsidRPr="00F123A3">
        <w:t xml:space="preserve">and </w:t>
      </w:r>
      <w:r>
        <w:fldChar w:fldCharType="begin"/>
      </w:r>
      <w:r>
        <w:instrText xml:space="preserve"> REF _Ref484636048 \h </w:instrText>
      </w:r>
      <w:r>
        <w:fldChar w:fldCharType="separate"/>
      </w:r>
      <w:r w:rsidR="00C407F4">
        <w:t xml:space="preserve">Figure ES- </w:t>
      </w:r>
      <w:r w:rsidR="00C407F4">
        <w:rPr>
          <w:noProof/>
        </w:rPr>
        <w:t>6</w:t>
      </w:r>
      <w:r>
        <w:fldChar w:fldCharType="end"/>
      </w:r>
      <w:r w:rsidR="00E05BCD">
        <w:t xml:space="preserve"> illustrate the statewide incremental market potential from equipment savings in IOU rebate programs by scenario for electric (GWh) and gas (MMTherms) respectively</w:t>
      </w:r>
      <w:r w:rsidR="00347E08">
        <w:t xml:space="preserve">. </w:t>
      </w:r>
      <w:r>
        <w:fldChar w:fldCharType="begin"/>
      </w:r>
      <w:r>
        <w:instrText xml:space="preserve"> REF _Ref484636042 \h </w:instrText>
      </w:r>
      <w:r>
        <w:fldChar w:fldCharType="separate"/>
      </w:r>
      <w:r w:rsidR="00C407F4">
        <w:t xml:space="preserve">Figure ES- </w:t>
      </w:r>
      <w:r w:rsidR="00C407F4">
        <w:rPr>
          <w:noProof/>
        </w:rPr>
        <w:t>5</w:t>
      </w:r>
      <w:r>
        <w:fldChar w:fldCharType="end"/>
      </w:r>
      <w:r w:rsidR="00E05BCD" w:rsidRPr="00F123A3">
        <w:t xml:space="preserve"> </w:t>
      </w:r>
      <w:r w:rsidR="00E05BCD">
        <w:t xml:space="preserve">shows that electric potential increases as the cost test used to screen measures becomes less stringent, with the TRC test yielding the least </w:t>
      </w:r>
      <w:r w:rsidR="00E05BCD" w:rsidRPr="00B84B6E">
        <w:t>potential and the PAC test yielding the most potential. By 2030, the PAC | Reference scenario produces about 1</w:t>
      </w:r>
      <w:r w:rsidR="00B84B6E" w:rsidRPr="00B84B6E">
        <w:t>6</w:t>
      </w:r>
      <w:r w:rsidR="00E05BCD" w:rsidRPr="00B84B6E">
        <w:t xml:space="preserve">% more electric savings than the TRC | Reference </w:t>
      </w:r>
      <w:r w:rsidR="00E05BCD" w:rsidRPr="00B84B6E">
        <w:lastRenderedPageBreak/>
        <w:t>scenario. The figure also shows that aggressive program engagement in the form of financing as well as increased marketing and incentives can yield additional savings beyond business-as-usual program engagement as illustrated by the PAC | Aggressive scenario, which produces about 6% more electric savings than the PAC | Reference scenario. Overall, the PAC | Aggressive scenario produces about 2</w:t>
      </w:r>
      <w:r w:rsidR="00B84B6E" w:rsidRPr="00B84B6E">
        <w:t>3</w:t>
      </w:r>
      <w:r w:rsidR="00E05BCD" w:rsidRPr="00B84B6E">
        <w:t>%</w:t>
      </w:r>
      <w:r w:rsidR="00E05BCD">
        <w:t xml:space="preserve"> more electric savings than the TRC | Reference scenario.  </w:t>
      </w:r>
    </w:p>
    <w:p w14:paraId="2D6B4250" w14:textId="77777777" w:rsidR="00332306" w:rsidRDefault="00332306" w:rsidP="00E05BCD">
      <w:pPr>
        <w:jc w:val="both"/>
      </w:pPr>
    </w:p>
    <w:p w14:paraId="06DBBF99" w14:textId="77777777" w:rsidR="00E05BCD" w:rsidRPr="00F123A3" w:rsidRDefault="00332306" w:rsidP="00E05BCD">
      <w:pPr>
        <w:pStyle w:val="Caption"/>
      </w:pPr>
      <w:bookmarkStart w:id="47" w:name="_Ref484636042"/>
      <w:bookmarkStart w:id="48" w:name="_Toc485125644"/>
      <w:r>
        <w:t xml:space="preserve">Figure ES- </w:t>
      </w:r>
      <w:r w:rsidR="00272F76">
        <w:fldChar w:fldCharType="begin"/>
      </w:r>
      <w:r w:rsidR="00272F76">
        <w:instrText xml:space="preserve"> SEQ Figure_ES- \* ARABIC </w:instrText>
      </w:r>
      <w:r w:rsidR="00272F76">
        <w:fldChar w:fldCharType="separate"/>
      </w:r>
      <w:r w:rsidR="00C407F4">
        <w:rPr>
          <w:noProof/>
        </w:rPr>
        <w:t>5</w:t>
      </w:r>
      <w:r w:rsidR="00272F76">
        <w:rPr>
          <w:noProof/>
        </w:rPr>
        <w:fldChar w:fldCharType="end"/>
      </w:r>
      <w:bookmarkEnd w:id="47"/>
      <w:r>
        <w:t xml:space="preserve">. </w:t>
      </w:r>
      <w:r w:rsidR="00E05BCD" w:rsidRPr="00F123A3">
        <w:t>Statewide Incremental Electric Market Potential by Scenario</w:t>
      </w:r>
      <w:bookmarkEnd w:id="48"/>
    </w:p>
    <w:p w14:paraId="3751FD77" w14:textId="77777777" w:rsidR="00E05BCD" w:rsidRDefault="004B242C" w:rsidP="00E05BCD">
      <w:pPr>
        <w:jc w:val="center"/>
      </w:pPr>
      <w:r>
        <w:rPr>
          <w:noProof/>
        </w:rPr>
        <w:drawing>
          <wp:inline distT="0" distB="0" distL="0" distR="0" wp14:anchorId="4D14B585" wp14:editId="2E847FCA">
            <wp:extent cx="5943600" cy="25550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55073"/>
                    </a:xfrm>
                    <a:prstGeom prst="rect">
                      <a:avLst/>
                    </a:prstGeom>
                    <a:noFill/>
                  </pic:spPr>
                </pic:pic>
              </a:graphicData>
            </a:graphic>
          </wp:inline>
        </w:drawing>
      </w:r>
    </w:p>
    <w:p w14:paraId="5F759080" w14:textId="77777777" w:rsidR="00E05BCD" w:rsidRDefault="00E05BCD" w:rsidP="00E05BCD">
      <w:pPr>
        <w:jc w:val="both"/>
      </w:pPr>
    </w:p>
    <w:p w14:paraId="3C356946" w14:textId="77777777" w:rsidR="00E05BCD" w:rsidRDefault="00E05BCD" w:rsidP="00E05BCD">
      <w:pPr>
        <w:jc w:val="both"/>
      </w:pPr>
      <w:r>
        <w:t xml:space="preserve">Like </w:t>
      </w:r>
      <w:r w:rsidR="00A949E2">
        <w:fldChar w:fldCharType="begin"/>
      </w:r>
      <w:r w:rsidR="00A949E2">
        <w:instrText xml:space="preserve"> REF _Ref484636042 \h </w:instrText>
      </w:r>
      <w:r w:rsidR="00A949E2">
        <w:fldChar w:fldCharType="separate"/>
      </w:r>
      <w:r w:rsidR="00C407F4">
        <w:t xml:space="preserve">Figure ES- </w:t>
      </w:r>
      <w:r w:rsidR="00C407F4">
        <w:rPr>
          <w:noProof/>
        </w:rPr>
        <w:t>5</w:t>
      </w:r>
      <w:r w:rsidR="00A949E2">
        <w:fldChar w:fldCharType="end"/>
      </w:r>
      <w:r w:rsidR="00A949E2">
        <w:t xml:space="preserve">, </w:t>
      </w:r>
      <w:r w:rsidR="00A949E2">
        <w:fldChar w:fldCharType="begin"/>
      </w:r>
      <w:r w:rsidR="00A949E2">
        <w:instrText xml:space="preserve"> REF _Ref484636048 \h </w:instrText>
      </w:r>
      <w:r w:rsidR="00A949E2">
        <w:fldChar w:fldCharType="separate"/>
      </w:r>
      <w:r w:rsidR="00C407F4">
        <w:t xml:space="preserve">Figure ES- </w:t>
      </w:r>
      <w:r w:rsidR="00C407F4">
        <w:rPr>
          <w:noProof/>
        </w:rPr>
        <w:t>6</w:t>
      </w:r>
      <w:r w:rsidR="00A949E2">
        <w:fldChar w:fldCharType="end"/>
      </w:r>
      <w:r w:rsidR="00A949E2">
        <w:t xml:space="preserve"> </w:t>
      </w:r>
      <w:r>
        <w:t xml:space="preserve">shows that gas potential generally increases as the cost test used to screen measures becomes less stringent. The only exception to this trend is the mTRC (GHG adder 2) | Reference scenario. While one might expect to see the PAC scenarios to yield the highest potential, the mTRC (GHG adder 2) | Reference scenario yields the most gas savings during most of the forecast </w:t>
      </w:r>
      <w:r w:rsidR="00347E08">
        <w:t xml:space="preserve">primarily due to the way GHG adders are uniformly applied to all gas efficiency measures. </w:t>
      </w:r>
    </w:p>
    <w:p w14:paraId="6814760C" w14:textId="77777777" w:rsidR="00E05BCD" w:rsidRDefault="00E05BCD" w:rsidP="00E05BCD">
      <w:pPr>
        <w:jc w:val="both"/>
      </w:pPr>
    </w:p>
    <w:p w14:paraId="74019F78" w14:textId="77777777" w:rsidR="00E05BCD" w:rsidRDefault="00E05BCD" w:rsidP="00E05BCD">
      <w:pPr>
        <w:jc w:val="both"/>
      </w:pPr>
      <w:r>
        <w:t xml:space="preserve">By 2030, the mTRC (GHG adder 2) | </w:t>
      </w:r>
      <w:r w:rsidRPr="0040478E">
        <w:t>Reference scenario produces about 34% more gas savings than the TRC | Reference scenario. Another noteworthy trend is that the PAC | Aggressive scenario surpasses the mTRC (GHG adder 2) | Reference scenario by about 17% at the end of the forecast period. This is attributable to aggressive program engagement. Overall, the PAC | Aggressive scenario produces about 5</w:t>
      </w:r>
      <w:r w:rsidR="0040478E" w:rsidRPr="0040478E">
        <w:t>7</w:t>
      </w:r>
      <w:r w:rsidRPr="0040478E">
        <w:t>% more gas savings than the TRC | Reference scenario by 2030.</w:t>
      </w:r>
    </w:p>
    <w:p w14:paraId="7D4FBB1F" w14:textId="77777777" w:rsidR="00332306" w:rsidRDefault="00332306" w:rsidP="00E05BCD">
      <w:pPr>
        <w:jc w:val="both"/>
      </w:pPr>
    </w:p>
    <w:p w14:paraId="76CA9044" w14:textId="77777777" w:rsidR="00E05BCD" w:rsidRDefault="00332306" w:rsidP="00332306">
      <w:pPr>
        <w:pStyle w:val="Caption"/>
      </w:pPr>
      <w:bookmarkStart w:id="49" w:name="_Ref484636048"/>
      <w:bookmarkStart w:id="50" w:name="_Toc485125645"/>
      <w:r>
        <w:lastRenderedPageBreak/>
        <w:t xml:space="preserve">Figure ES- </w:t>
      </w:r>
      <w:r w:rsidR="00272F76">
        <w:fldChar w:fldCharType="begin"/>
      </w:r>
      <w:r w:rsidR="00272F76">
        <w:instrText xml:space="preserve"> SEQ Figure_ES- \* ARABIC </w:instrText>
      </w:r>
      <w:r w:rsidR="00272F76">
        <w:fldChar w:fldCharType="separate"/>
      </w:r>
      <w:r w:rsidR="00C407F4">
        <w:rPr>
          <w:noProof/>
        </w:rPr>
        <w:t>6</w:t>
      </w:r>
      <w:r w:rsidR="00272F76">
        <w:rPr>
          <w:noProof/>
        </w:rPr>
        <w:fldChar w:fldCharType="end"/>
      </w:r>
      <w:bookmarkEnd w:id="49"/>
      <w:r>
        <w:t>.</w:t>
      </w:r>
      <w:r w:rsidR="00E05BCD" w:rsidRPr="00F123A3">
        <w:t xml:space="preserve"> Statewide Incremental Gas Market Potential by Scenario</w:t>
      </w:r>
      <w:bookmarkEnd w:id="50"/>
    </w:p>
    <w:p w14:paraId="540D7238" w14:textId="77777777" w:rsidR="00E05BCD" w:rsidRDefault="0040478E" w:rsidP="00E05BCD">
      <w:pPr>
        <w:jc w:val="center"/>
      </w:pPr>
      <w:r>
        <w:rPr>
          <w:noProof/>
        </w:rPr>
        <w:drawing>
          <wp:inline distT="0" distB="0" distL="0" distR="0" wp14:anchorId="2C27455F" wp14:editId="799D10F2">
            <wp:extent cx="5861304" cy="2520007"/>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1304" cy="2520007"/>
                    </a:xfrm>
                    <a:prstGeom prst="rect">
                      <a:avLst/>
                    </a:prstGeom>
                    <a:noFill/>
                  </pic:spPr>
                </pic:pic>
              </a:graphicData>
            </a:graphic>
          </wp:inline>
        </w:drawing>
      </w:r>
    </w:p>
    <w:p w14:paraId="22E3AF61" w14:textId="77777777" w:rsidR="00E05BCD" w:rsidRDefault="00E05BCD" w:rsidP="00E05BCD"/>
    <w:p w14:paraId="13CBD855" w14:textId="77777777" w:rsidR="00E05BCD" w:rsidRDefault="00A949E2" w:rsidP="00E05BCD">
      <w:pPr>
        <w:jc w:val="both"/>
      </w:pPr>
      <w:r>
        <w:fldChar w:fldCharType="begin"/>
      </w:r>
      <w:r>
        <w:instrText xml:space="preserve"> REF _Ref484636086 \h </w:instrText>
      </w:r>
      <w:r>
        <w:fldChar w:fldCharType="separate"/>
      </w:r>
      <w:r w:rsidR="00C407F4">
        <w:t xml:space="preserve">Figure ES- </w:t>
      </w:r>
      <w:r w:rsidR="00C407F4">
        <w:rPr>
          <w:noProof/>
        </w:rPr>
        <w:t>7</w:t>
      </w:r>
      <w:r>
        <w:fldChar w:fldCharType="end"/>
      </w:r>
      <w:r w:rsidR="00E05BCD">
        <w:t xml:space="preserve"> shows projected statewide spending by scenario. Spending includes both incentive a</w:t>
      </w:r>
      <w:r w:rsidR="009265B9">
        <w:t xml:space="preserve">nd non-incentive program costs. </w:t>
      </w:r>
      <w:r w:rsidR="00E05BCD">
        <w:t xml:space="preserve">Since overall potential is driven by electric savings, the trend generally follows that of electric potential whereby the PAC | Aggressive scenario produces the most expensive portfolio for equipment savings, and the TRC | Reference, the least. By 2030, the PAC | Reference scenario is expected to cost </w:t>
      </w:r>
      <w:r w:rsidR="00E05BCD" w:rsidRPr="000837A7">
        <w:t xml:space="preserve">about </w:t>
      </w:r>
      <w:r w:rsidR="000837A7" w:rsidRPr="000837A7">
        <w:t>45</w:t>
      </w:r>
      <w:r w:rsidR="00E05BCD" w:rsidRPr="000837A7">
        <w:t xml:space="preserve">% more than the TRC | Reference scenario. Aggressive program engagement further increases spending as illustrated by the PAC | Aggressive scenario, which costs about </w:t>
      </w:r>
      <w:r w:rsidR="000837A7" w:rsidRPr="000837A7">
        <w:t>32</w:t>
      </w:r>
      <w:r w:rsidR="00E05BCD" w:rsidRPr="000837A7">
        <w:t>% more</w:t>
      </w:r>
      <w:r w:rsidR="00E05BCD">
        <w:t xml:space="preserve"> than the PAC | Reference scenario. </w:t>
      </w:r>
    </w:p>
    <w:p w14:paraId="0E370248" w14:textId="77777777" w:rsidR="00E05BCD" w:rsidRDefault="00E05BCD" w:rsidP="00E05BCD"/>
    <w:p w14:paraId="6F5F4FFB" w14:textId="77777777" w:rsidR="00E05BCD" w:rsidRPr="00F123A3" w:rsidRDefault="00332306" w:rsidP="00E05BCD">
      <w:pPr>
        <w:pStyle w:val="Caption"/>
      </w:pPr>
      <w:bookmarkStart w:id="51" w:name="_Ref484636086"/>
      <w:bookmarkStart w:id="52" w:name="_Toc485125646"/>
      <w:r>
        <w:t xml:space="preserve">Figure ES- </w:t>
      </w:r>
      <w:r w:rsidR="00272F76">
        <w:fldChar w:fldCharType="begin"/>
      </w:r>
      <w:r w:rsidR="00272F76">
        <w:instrText xml:space="preserve"> SEQ Figure_ES- \* ARABIC </w:instrText>
      </w:r>
      <w:r w:rsidR="00272F76">
        <w:fldChar w:fldCharType="separate"/>
      </w:r>
      <w:r w:rsidR="00C407F4">
        <w:rPr>
          <w:noProof/>
        </w:rPr>
        <w:t>7</w:t>
      </w:r>
      <w:r w:rsidR="00272F76">
        <w:rPr>
          <w:noProof/>
        </w:rPr>
        <w:fldChar w:fldCharType="end"/>
      </w:r>
      <w:bookmarkEnd w:id="51"/>
      <w:r>
        <w:t>.</w:t>
      </w:r>
      <w:r w:rsidRPr="00F123A3">
        <w:t xml:space="preserve"> </w:t>
      </w:r>
      <w:r w:rsidR="00E05BCD" w:rsidRPr="00F123A3">
        <w:t>Statewide Spending by Scenario for IOU Rebate Programs</w:t>
      </w:r>
      <w:bookmarkEnd w:id="52"/>
    </w:p>
    <w:p w14:paraId="368C497E" w14:textId="77777777" w:rsidR="00E05BCD" w:rsidRDefault="00E32B0C" w:rsidP="00E05BCD">
      <w:r>
        <w:rPr>
          <w:noProof/>
        </w:rPr>
        <w:drawing>
          <wp:inline distT="0" distB="0" distL="0" distR="0" wp14:anchorId="19A0000A" wp14:editId="2A2E374E">
            <wp:extent cx="6089904" cy="2710801"/>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9904" cy="2710801"/>
                    </a:xfrm>
                    <a:prstGeom prst="rect">
                      <a:avLst/>
                    </a:prstGeom>
                    <a:noFill/>
                  </pic:spPr>
                </pic:pic>
              </a:graphicData>
            </a:graphic>
          </wp:inline>
        </w:drawing>
      </w:r>
    </w:p>
    <w:p w14:paraId="3EEC439C" w14:textId="77777777" w:rsidR="00E05BCD" w:rsidRDefault="00E05BCD" w:rsidP="00E05BCD">
      <w:pPr>
        <w:pStyle w:val="Heading9"/>
      </w:pPr>
      <w:bookmarkStart w:id="53" w:name="_Toc485126516"/>
      <w:r>
        <w:t>BROS Scenario Results</w:t>
      </w:r>
      <w:bookmarkEnd w:id="53"/>
    </w:p>
    <w:p w14:paraId="08EA938A" w14:textId="77777777" w:rsidR="00E05BCD" w:rsidRDefault="00E05BCD" w:rsidP="0066285E">
      <w:r>
        <w:lastRenderedPageBreak/>
        <w:t>BROs savings do not vary by cost effectiveness screen in our model. The reference scenario is dominated by savings from residen</w:t>
      </w:r>
      <w:r w:rsidR="006E231E">
        <w:t xml:space="preserve">tial home energy reports (HERs). </w:t>
      </w:r>
      <w:r>
        <w:t>As such program spending is also es</w:t>
      </w:r>
      <w:r w:rsidR="006E231E">
        <w:t xml:space="preserve">timated to be dominated by HERs. </w:t>
      </w:r>
      <w:r>
        <w:t xml:space="preserve">Additional high impact interventions after HERS include web-based real time feedback, strategic energy management, retrocommissioning, and BEIMs. HERS dominates savings as it is one of the largest, most well-studied existing interventions with reliable data upon which to base a forecast. Savings from all interventions increase over time as we expect enrollment in programs to gradually increase. </w:t>
      </w:r>
    </w:p>
    <w:p w14:paraId="2A2ABCC6" w14:textId="77777777" w:rsidR="00E05BCD" w:rsidRPr="00A9675F" w:rsidRDefault="00E05BCD" w:rsidP="00E05BCD"/>
    <w:p w14:paraId="4498AEC7" w14:textId="77777777" w:rsidR="00E05BCD" w:rsidRDefault="00E05BCD" w:rsidP="00E05BCD">
      <w:r>
        <w:t>The aggressive scenario still shows a large portion o</w:t>
      </w:r>
      <w:r w:rsidR="006E231E">
        <w:t xml:space="preserve">r savings originating from HERs. </w:t>
      </w:r>
      <w:r>
        <w:t xml:space="preserve">However, web-based real time feedback, strategic energy management, retrocommissioning, building benchmarking, and BEIMs combined offer more electric savings than HERs in this scenario.  The aggressive scenario </w:t>
      </w:r>
      <w:r w:rsidRPr="00442652">
        <w:t xml:space="preserve">contains savings from in home displays and building benchmarking while the Reference scenario left these out. </w:t>
      </w:r>
      <w:r w:rsidR="006E231E">
        <w:t xml:space="preserve">Savings and spending </w:t>
      </w:r>
      <w:r>
        <w:t xml:space="preserve">in the aggressive scenario is just short of a doubling of the reference scenario. </w:t>
      </w:r>
    </w:p>
    <w:p w14:paraId="3075E0A2" w14:textId="77777777" w:rsidR="006E231E" w:rsidRDefault="006E231E" w:rsidP="00E05BCD"/>
    <w:p w14:paraId="3537869C" w14:textId="77777777" w:rsidR="006E231E" w:rsidRDefault="006E231E" w:rsidP="00E05BCD">
      <w:r>
        <w:t xml:space="preserve">Graphs depicting BROs results can be found in section </w:t>
      </w:r>
      <w:r>
        <w:fldChar w:fldCharType="begin"/>
      </w:r>
      <w:r>
        <w:instrText xml:space="preserve"> REF _Ref484595975 \n \h </w:instrText>
      </w:r>
      <w:r>
        <w:fldChar w:fldCharType="separate"/>
      </w:r>
      <w:r>
        <w:t>4.1.1.3</w:t>
      </w:r>
      <w:r>
        <w:fldChar w:fldCharType="end"/>
      </w:r>
      <w:r>
        <w:t xml:space="preserve">. </w:t>
      </w:r>
    </w:p>
    <w:p w14:paraId="2E33EDC2" w14:textId="13EB53B9" w:rsidR="006E231E" w:rsidRDefault="006E231E" w:rsidP="006E231E">
      <w:pPr>
        <w:pStyle w:val="Heading9"/>
      </w:pPr>
      <w:bookmarkStart w:id="54" w:name="_Toc485126517"/>
      <w:r>
        <w:t>TRC Reference Scenario Results</w:t>
      </w:r>
      <w:bookmarkEnd w:id="54"/>
      <w:r>
        <w:t xml:space="preserve"> </w:t>
      </w:r>
    </w:p>
    <w:p w14:paraId="7EEE78FC" w14:textId="05F9E51A" w:rsidR="00813C15" w:rsidRDefault="00C453CA" w:rsidP="00813C15">
      <w:pPr>
        <w:jc w:val="both"/>
      </w:pPr>
      <w:r>
        <w:fldChar w:fldCharType="begin"/>
      </w:r>
      <w:r>
        <w:instrText xml:space="preserve"> REF _Ref485064838 \h </w:instrText>
      </w:r>
      <w:r>
        <w:fldChar w:fldCharType="separate"/>
      </w:r>
      <w:r>
        <w:t xml:space="preserve">Figure ES- </w:t>
      </w:r>
      <w:r>
        <w:rPr>
          <w:noProof/>
        </w:rPr>
        <w:t>8</w:t>
      </w:r>
      <w:r>
        <w:fldChar w:fldCharType="end"/>
      </w:r>
      <w:r>
        <w:t xml:space="preserve"> and </w:t>
      </w:r>
      <w:r>
        <w:fldChar w:fldCharType="begin"/>
      </w:r>
      <w:r>
        <w:instrText xml:space="preserve"> REF _Ref485064839 \h </w:instrText>
      </w:r>
      <w:r>
        <w:fldChar w:fldCharType="separate"/>
      </w:r>
      <w:r>
        <w:t xml:space="preserve">Figure ES- </w:t>
      </w:r>
      <w:r>
        <w:rPr>
          <w:noProof/>
        </w:rPr>
        <w:t>9</w:t>
      </w:r>
      <w:r>
        <w:fldChar w:fldCharType="end"/>
      </w:r>
      <w:r>
        <w:t xml:space="preserve"> </w:t>
      </w:r>
      <w:r w:rsidR="00813C15">
        <w:t>show the breakdown of electric and gas savings respectively by sector and/or program type</w:t>
      </w:r>
      <w:r w:rsidR="001F3A09">
        <w:t xml:space="preserve"> for the TRC | Reference Scenario</w:t>
      </w:r>
      <w:r w:rsidR="00813C15">
        <w:t xml:space="preserve">. Key observations from these graphs are: </w:t>
      </w:r>
    </w:p>
    <w:p w14:paraId="1DA44DBD" w14:textId="3E93F03C" w:rsidR="00813C15" w:rsidRDefault="00813C15" w:rsidP="00D61850">
      <w:pPr>
        <w:pStyle w:val="ListParagraph"/>
        <w:numPr>
          <w:ilvl w:val="0"/>
          <w:numId w:val="70"/>
        </w:numPr>
        <w:jc w:val="both"/>
      </w:pPr>
      <w:r>
        <w:t xml:space="preserve">C&amp;S advocacy dominates market potential for both electric and gas savings. </w:t>
      </w:r>
      <w:r w:rsidR="001F3A09">
        <w:t xml:space="preserve">C&amp;S </w:t>
      </w:r>
      <w:r w:rsidR="00A3746C">
        <w:t xml:space="preserve">electric </w:t>
      </w:r>
      <w:r w:rsidR="001F3A09">
        <w:t xml:space="preserve">savings in 2018 </w:t>
      </w:r>
      <w:r w:rsidR="001F3A09" w:rsidRPr="00A3746C">
        <w:t xml:space="preserve">are </w:t>
      </w:r>
      <w:r w:rsidR="00A3746C" w:rsidRPr="00A3746C">
        <w:t>63</w:t>
      </w:r>
      <w:r w:rsidR="001F3A09" w:rsidRPr="00A3746C">
        <w:t>% higher co</w:t>
      </w:r>
      <w:r w:rsidR="00A3746C" w:rsidRPr="00A3746C">
        <w:t xml:space="preserve">mpared to the previous PG study, 118% for gas. This is </w:t>
      </w:r>
      <w:r w:rsidR="001F3A09" w:rsidRPr="00A3746C">
        <w:t>owing mostly to update</w:t>
      </w:r>
      <w:r w:rsidR="00C453CA" w:rsidRPr="00A3746C">
        <w:t>d</w:t>
      </w:r>
      <w:r w:rsidR="001F3A09" w:rsidRPr="00A3746C">
        <w:t xml:space="preserve"> evaluation and IOU claims data related to Title 24 building codes. </w:t>
      </w:r>
      <w:r w:rsidRPr="00A3746C">
        <w:t xml:space="preserve">See additional discussion in section </w:t>
      </w:r>
      <w:r w:rsidRPr="00A3746C">
        <w:fldChar w:fldCharType="begin"/>
      </w:r>
      <w:r w:rsidRPr="00A3746C">
        <w:instrText xml:space="preserve"> REF _Ref484547969 \n \h </w:instrText>
      </w:r>
      <w:r w:rsidR="00A3746C">
        <w:instrText xml:space="preserve"> \* MERGEFORMAT </w:instrText>
      </w:r>
      <w:r w:rsidRPr="00A3746C">
        <w:fldChar w:fldCharType="separate"/>
      </w:r>
      <w:r w:rsidR="00C453CA" w:rsidRPr="00A3746C">
        <w:t>4.1.3</w:t>
      </w:r>
      <w:r w:rsidRPr="00A3746C">
        <w:fldChar w:fldCharType="end"/>
      </w:r>
      <w:r w:rsidRPr="00A3746C">
        <w:t>.</w:t>
      </w:r>
    </w:p>
    <w:p w14:paraId="43471E9B" w14:textId="5FEF5C30" w:rsidR="00813C15" w:rsidRDefault="00813C15" w:rsidP="00813C15">
      <w:pPr>
        <w:pStyle w:val="ListParagraph"/>
        <w:numPr>
          <w:ilvl w:val="0"/>
          <w:numId w:val="70"/>
        </w:numPr>
        <w:jc w:val="both"/>
      </w:pPr>
      <w:r>
        <w:t xml:space="preserve">Behavior programs contribute significantly to market potential for both electric and gas savings. </w:t>
      </w:r>
      <w:r w:rsidR="001F3A09">
        <w:t xml:space="preserve">BROs </w:t>
      </w:r>
      <w:r w:rsidR="00A3746C">
        <w:t xml:space="preserve">electric savings </w:t>
      </w:r>
      <w:r w:rsidR="00A3746C" w:rsidRPr="00A3746C">
        <w:t xml:space="preserve">in 2018 are 39-73% higher compared to the previous PG study (depending on the scenario), 126-146% for gas. This is </w:t>
      </w:r>
      <w:r w:rsidR="001F3A09" w:rsidRPr="00A3746C">
        <w:t>owing</w:t>
      </w:r>
      <w:r w:rsidR="001F3A09">
        <w:t xml:space="preserve"> mostly to added scope of BROs models and updated data. </w:t>
      </w:r>
      <w:r>
        <w:t xml:space="preserve">See additional discussion in section </w:t>
      </w:r>
      <w:r>
        <w:fldChar w:fldCharType="begin"/>
      </w:r>
      <w:r>
        <w:instrText xml:space="preserve"> REF _Ref484595975 \n \h </w:instrText>
      </w:r>
      <w:r>
        <w:fldChar w:fldCharType="separate"/>
      </w:r>
      <w:r w:rsidR="00C453CA">
        <w:t>4.1.1.3</w:t>
      </w:r>
      <w:r>
        <w:fldChar w:fldCharType="end"/>
      </w:r>
      <w:r>
        <w:t>.</w:t>
      </w:r>
    </w:p>
    <w:p w14:paraId="1A6DFD13" w14:textId="4CD1BF66" w:rsidR="00813C15" w:rsidRDefault="00813C15" w:rsidP="00813C15">
      <w:pPr>
        <w:pStyle w:val="ListParagraph"/>
        <w:numPr>
          <w:ilvl w:val="0"/>
          <w:numId w:val="70"/>
        </w:numPr>
        <w:jc w:val="both"/>
      </w:pPr>
      <w:r>
        <w:t xml:space="preserve">Amongst rebated equipment savings, the commercial sector dominates market potential for electric savings, while the industrial sector dominates for gas savings. This aligns with the fact that there is less gas usage in the commercial sector and significant gas usage in the industrial sector. </w:t>
      </w:r>
    </w:p>
    <w:p w14:paraId="5A60AB49" w14:textId="4FE3D2CF" w:rsidR="00C453CA" w:rsidRDefault="00C453CA" w:rsidP="00D61850">
      <w:pPr>
        <w:pStyle w:val="ListParagraph"/>
        <w:numPr>
          <w:ilvl w:val="0"/>
          <w:numId w:val="70"/>
        </w:numPr>
        <w:jc w:val="both"/>
      </w:pPr>
      <w:r>
        <w:t xml:space="preserve">Lighting dominates electric potential, followed by Appliance and HVAC measures. Lighting potential is driven by LEDs. Whole building savings also contributes significantly. Water heating, HVAC and whole building end uses dominate gas savings. </w:t>
      </w:r>
    </w:p>
    <w:p w14:paraId="08927070" w14:textId="708DA922" w:rsidR="00813C15" w:rsidRPr="00C453CA" w:rsidRDefault="00813C15" w:rsidP="00813C15">
      <w:pPr>
        <w:pStyle w:val="ListParagraph"/>
        <w:numPr>
          <w:ilvl w:val="0"/>
          <w:numId w:val="70"/>
        </w:numPr>
        <w:jc w:val="both"/>
      </w:pPr>
      <w:r>
        <w:t xml:space="preserve">Low income programs implemented in the residential sector contribute minimally to market potential for electric savings. However, it produces savings that are approximately on par with non-low income potential in the residential sector for gas savings. This is because the TRC test shows limited cost effective residential gas savings opportunities meanwhile no cost effectiveness screen is applied to Low Income programs. </w:t>
      </w:r>
      <w:r w:rsidR="001F3A09" w:rsidRPr="00C453CA">
        <w:t>Low income</w:t>
      </w:r>
      <w:r w:rsidR="00C453CA">
        <w:t xml:space="preserve"> potential includes retreatment of customers. </w:t>
      </w:r>
    </w:p>
    <w:p w14:paraId="74F02471" w14:textId="77777777" w:rsidR="00813C15" w:rsidRDefault="00813C15" w:rsidP="00813C15">
      <w:pPr>
        <w:jc w:val="center"/>
        <w:rPr>
          <w:b/>
          <w:bCs/>
          <w:color w:val="3F4042"/>
          <w:szCs w:val="20"/>
        </w:rPr>
      </w:pPr>
    </w:p>
    <w:p w14:paraId="3BB30640" w14:textId="0FFEC293" w:rsidR="00813C15" w:rsidRPr="00F123A3" w:rsidRDefault="00C453CA" w:rsidP="00813C15">
      <w:pPr>
        <w:pStyle w:val="Caption"/>
      </w:pPr>
      <w:bookmarkStart w:id="55" w:name="_Ref485064838"/>
      <w:bookmarkStart w:id="56" w:name="_Toc485125647"/>
      <w:r>
        <w:lastRenderedPageBreak/>
        <w:t xml:space="preserve">Figure ES- </w:t>
      </w:r>
      <w:r w:rsidR="00272F76">
        <w:fldChar w:fldCharType="begin"/>
      </w:r>
      <w:r w:rsidR="00272F76">
        <w:instrText xml:space="preserve"> SEQ Figure_ES- \* ARABIC </w:instrText>
      </w:r>
      <w:r w:rsidR="00272F76">
        <w:fldChar w:fldCharType="separate"/>
      </w:r>
      <w:r>
        <w:rPr>
          <w:noProof/>
        </w:rPr>
        <w:t>8</w:t>
      </w:r>
      <w:r w:rsidR="00272F76">
        <w:rPr>
          <w:noProof/>
        </w:rPr>
        <w:fldChar w:fldCharType="end"/>
      </w:r>
      <w:bookmarkEnd w:id="55"/>
      <w:r>
        <w:t>.</w:t>
      </w:r>
      <w:r w:rsidRPr="00F123A3">
        <w:t xml:space="preserve"> </w:t>
      </w:r>
      <w:r>
        <w:t xml:space="preserve">Statewide </w:t>
      </w:r>
      <w:r w:rsidR="00813C15" w:rsidRPr="00F123A3">
        <w:t>Incremental Electric Market Potential by Sector</w:t>
      </w:r>
      <w:bookmarkEnd w:id="56"/>
    </w:p>
    <w:p w14:paraId="5E03A12F" w14:textId="77777777" w:rsidR="00813C15" w:rsidRDefault="00813C15" w:rsidP="00813C15">
      <w:pPr>
        <w:jc w:val="center"/>
      </w:pPr>
      <w:r>
        <w:rPr>
          <w:noProof/>
        </w:rPr>
        <w:drawing>
          <wp:inline distT="0" distB="0" distL="0" distR="0" wp14:anchorId="5EB83C19" wp14:editId="5CE6721B">
            <wp:extent cx="5882012" cy="2871851"/>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852" cy="2874214"/>
                    </a:xfrm>
                    <a:prstGeom prst="rect">
                      <a:avLst/>
                    </a:prstGeom>
                    <a:noFill/>
                  </pic:spPr>
                </pic:pic>
              </a:graphicData>
            </a:graphic>
          </wp:inline>
        </w:drawing>
      </w:r>
    </w:p>
    <w:p w14:paraId="4C4B8368" w14:textId="77777777" w:rsidR="00813C15" w:rsidRDefault="00813C15" w:rsidP="00813C15">
      <w:pPr>
        <w:jc w:val="center"/>
      </w:pPr>
    </w:p>
    <w:p w14:paraId="07FD05E0" w14:textId="43125907" w:rsidR="00813C15" w:rsidRPr="00F123A3" w:rsidRDefault="00C453CA" w:rsidP="00813C15">
      <w:pPr>
        <w:pStyle w:val="Caption"/>
      </w:pPr>
      <w:bookmarkStart w:id="57" w:name="_Ref485064839"/>
      <w:bookmarkStart w:id="58" w:name="_Toc485125648"/>
      <w:r>
        <w:t xml:space="preserve">Figure ES- </w:t>
      </w:r>
      <w:r w:rsidR="00272F76">
        <w:fldChar w:fldCharType="begin"/>
      </w:r>
      <w:r w:rsidR="00272F76">
        <w:instrText xml:space="preserve"> SEQ Figure_ES- \* ARABIC </w:instrText>
      </w:r>
      <w:r w:rsidR="00272F76">
        <w:fldChar w:fldCharType="separate"/>
      </w:r>
      <w:r>
        <w:rPr>
          <w:noProof/>
        </w:rPr>
        <w:t>9</w:t>
      </w:r>
      <w:r w:rsidR="00272F76">
        <w:rPr>
          <w:noProof/>
        </w:rPr>
        <w:fldChar w:fldCharType="end"/>
      </w:r>
      <w:bookmarkEnd w:id="57"/>
      <w:r>
        <w:t>.</w:t>
      </w:r>
      <w:r w:rsidRPr="00F123A3">
        <w:t xml:space="preserve"> </w:t>
      </w:r>
      <w:r w:rsidR="00813C15" w:rsidRPr="00F123A3">
        <w:t>Statewide Incremental Gas Market Potential by Sector</w:t>
      </w:r>
      <w:bookmarkEnd w:id="58"/>
    </w:p>
    <w:p w14:paraId="10D714BB" w14:textId="77777777" w:rsidR="00813C15" w:rsidRDefault="00813C15" w:rsidP="00813C15">
      <w:pPr>
        <w:jc w:val="center"/>
      </w:pPr>
      <w:r>
        <w:rPr>
          <w:noProof/>
        </w:rPr>
        <w:drawing>
          <wp:inline distT="0" distB="0" distL="0" distR="0" wp14:anchorId="0FB46CA6" wp14:editId="17B8D2EE">
            <wp:extent cx="5792117" cy="28279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5726" cy="2829722"/>
                    </a:xfrm>
                    <a:prstGeom prst="rect">
                      <a:avLst/>
                    </a:prstGeom>
                    <a:noFill/>
                  </pic:spPr>
                </pic:pic>
              </a:graphicData>
            </a:graphic>
          </wp:inline>
        </w:drawing>
      </w:r>
    </w:p>
    <w:p w14:paraId="2642FFCF" w14:textId="5FB398E0" w:rsidR="00813C15" w:rsidRDefault="00C52B7F" w:rsidP="00813C15">
      <w:pPr>
        <w:jc w:val="both"/>
      </w:pPr>
      <w:r>
        <w:fldChar w:fldCharType="begin"/>
      </w:r>
      <w:r>
        <w:instrText xml:space="preserve"> REF _Ref485064883 \h </w:instrText>
      </w:r>
      <w:r>
        <w:fldChar w:fldCharType="separate"/>
      </w:r>
      <w:r>
        <w:t xml:space="preserve">Figure ES- </w:t>
      </w:r>
      <w:r>
        <w:rPr>
          <w:noProof/>
        </w:rPr>
        <w:t>10</w:t>
      </w:r>
      <w:r>
        <w:fldChar w:fldCharType="end"/>
      </w:r>
      <w:r>
        <w:t xml:space="preserve"> </w:t>
      </w:r>
      <w:r w:rsidR="00813C15">
        <w:t xml:space="preserve">shows the breakdown of statewide spending by sector and/or program type. Since there are little costs to report for C&amp;S advocacy, spending is dominated by IOU rebate programs for equipment savings in the commercial sector, followed by the residential sector and behavior programs. We do not report spending for low income programs. </w:t>
      </w:r>
    </w:p>
    <w:p w14:paraId="735C72AD" w14:textId="77777777" w:rsidR="00813C15" w:rsidRDefault="00813C15" w:rsidP="00813C15">
      <w:pPr>
        <w:jc w:val="both"/>
      </w:pPr>
    </w:p>
    <w:p w14:paraId="3CA845D1" w14:textId="224D51C6" w:rsidR="00813C15" w:rsidRPr="00F123A3" w:rsidRDefault="00C453CA" w:rsidP="00813C15">
      <w:pPr>
        <w:pStyle w:val="Caption"/>
      </w:pPr>
      <w:bookmarkStart w:id="59" w:name="_Ref485064883"/>
      <w:bookmarkStart w:id="60" w:name="_Toc485125649"/>
      <w:r>
        <w:lastRenderedPageBreak/>
        <w:t xml:space="preserve">Figure ES- </w:t>
      </w:r>
      <w:r w:rsidR="00272F76">
        <w:fldChar w:fldCharType="begin"/>
      </w:r>
      <w:r w:rsidR="00272F76">
        <w:instrText xml:space="preserve"> SEQ Figure_ES- \* ARABIC </w:instrText>
      </w:r>
      <w:r w:rsidR="00272F76">
        <w:fldChar w:fldCharType="separate"/>
      </w:r>
      <w:r>
        <w:rPr>
          <w:noProof/>
        </w:rPr>
        <w:t>10</w:t>
      </w:r>
      <w:r w:rsidR="00272F76">
        <w:rPr>
          <w:noProof/>
        </w:rPr>
        <w:fldChar w:fldCharType="end"/>
      </w:r>
      <w:bookmarkEnd w:id="59"/>
      <w:r>
        <w:t>.</w:t>
      </w:r>
      <w:r w:rsidRPr="00F123A3">
        <w:t xml:space="preserve"> </w:t>
      </w:r>
      <w:r w:rsidR="00813C15" w:rsidRPr="00F123A3">
        <w:t>Statewide Spending by Sector</w:t>
      </w:r>
      <w:bookmarkEnd w:id="60"/>
    </w:p>
    <w:p w14:paraId="1E8B3D37" w14:textId="77777777" w:rsidR="00813C15" w:rsidRDefault="00813C15" w:rsidP="00813C15">
      <w:pPr>
        <w:jc w:val="center"/>
      </w:pPr>
      <w:r>
        <w:rPr>
          <w:noProof/>
        </w:rPr>
        <w:drawing>
          <wp:inline distT="0" distB="0" distL="0" distR="0" wp14:anchorId="2880B7E6" wp14:editId="6D1BB84F">
            <wp:extent cx="5618868" cy="3008147"/>
            <wp:effectExtent l="0" t="0" r="127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499" cy="3012232"/>
                    </a:xfrm>
                    <a:prstGeom prst="rect">
                      <a:avLst/>
                    </a:prstGeom>
                    <a:noFill/>
                  </pic:spPr>
                </pic:pic>
              </a:graphicData>
            </a:graphic>
          </wp:inline>
        </w:drawing>
      </w:r>
    </w:p>
    <w:p w14:paraId="1A426E2F" w14:textId="00D8F423" w:rsidR="00C52B7F" w:rsidRDefault="00C52B7F" w:rsidP="00C52B7F">
      <w:pPr>
        <w:jc w:val="both"/>
      </w:pPr>
      <w:r>
        <w:t xml:space="preserve">The 2018 PG study includes an assessment of stranded potential. Stranded electric potential makes up approximately 7% of total equipment savings in 2018, and 1% of total equipment savings in 2030. </w:t>
      </w:r>
      <w:r w:rsidRPr="00C52B7F">
        <w:t xml:space="preserve">Stranded </w:t>
      </w:r>
      <w:r>
        <w:t xml:space="preserve">gas </w:t>
      </w:r>
      <w:r w:rsidRPr="00C52B7F">
        <w:t>potential makes up approximately 2% of total equipment savings in 2018 and maintains that contribution through 2030.</w:t>
      </w:r>
    </w:p>
    <w:p w14:paraId="6295A5C2" w14:textId="40E8ECD7" w:rsidR="00C52B7F" w:rsidRDefault="00C52B7F" w:rsidP="00C52B7F">
      <w:pPr>
        <w:pStyle w:val="ListParagraph"/>
        <w:numPr>
          <w:ilvl w:val="0"/>
          <w:numId w:val="80"/>
        </w:numPr>
        <w:jc w:val="both"/>
      </w:pPr>
      <w:r>
        <w:t xml:space="preserve">Lighting measures contribute significantly to stranded electric potential. Potential from lighting measures is captured through customer decisions to upgrade existing equipment (eg. T12 linear fluorescent fixtures) to more efficient technologies (eg. T8 or T5 linear fluorescent fixtures). </w:t>
      </w:r>
    </w:p>
    <w:p w14:paraId="2204E9D5" w14:textId="77777777" w:rsidR="00C52B7F" w:rsidRDefault="00C52B7F" w:rsidP="00C52B7F">
      <w:pPr>
        <w:pStyle w:val="ListParagraph"/>
        <w:numPr>
          <w:ilvl w:val="0"/>
          <w:numId w:val="71"/>
        </w:numPr>
        <w:jc w:val="both"/>
      </w:pPr>
      <w:r>
        <w:t xml:space="preserve">HVAC measures also contribute significantly to stranded electric potential. Potential from HVAC measures is captured through customer decisions to upgrade existing equipment (eg. SEER 10 air conditioners) to more efficient technologies (eg. </w:t>
      </w:r>
      <w:r>
        <w:rPr>
          <w:rFonts w:cs="Arial"/>
        </w:rPr>
        <w:t>≥</w:t>
      </w:r>
      <w:r>
        <w:t xml:space="preserve"> SEER 14 air conditioners) instead of keeping their old equipment. </w:t>
      </w:r>
    </w:p>
    <w:p w14:paraId="5A2AB5CE" w14:textId="4EA594B6" w:rsidR="006A0D94" w:rsidRPr="00C52B7F" w:rsidRDefault="00C52B7F" w:rsidP="00C52B7F">
      <w:pPr>
        <w:pStyle w:val="ListParagraph"/>
        <w:numPr>
          <w:ilvl w:val="0"/>
          <w:numId w:val="71"/>
        </w:numPr>
        <w:jc w:val="both"/>
      </w:pPr>
      <w:r>
        <w:t xml:space="preserve">HVAC and water heating measures contribute significantly to stranded gas potential. </w:t>
      </w:r>
      <w:r w:rsidR="006A0D94" w:rsidRPr="00C52B7F">
        <w:rPr>
          <w:highlight w:val="yellow"/>
        </w:rPr>
        <w:t xml:space="preserve">    </w:t>
      </w:r>
    </w:p>
    <w:p w14:paraId="338D97B9" w14:textId="77777777" w:rsidR="00A93CE5" w:rsidRPr="00A93CE5" w:rsidRDefault="00A93CE5" w:rsidP="00A93CE5">
      <w:pPr>
        <w:rPr>
          <w:highlight w:val="yellow"/>
        </w:rPr>
      </w:pPr>
    </w:p>
    <w:p w14:paraId="5A025FA9" w14:textId="77777777" w:rsidR="00FA6EDD" w:rsidRDefault="00FA6EDD" w:rsidP="00903000"/>
    <w:p w14:paraId="281CACDD" w14:textId="77777777" w:rsidR="00FA6EDD" w:rsidRDefault="00FA6EDD" w:rsidP="00903000">
      <w:pPr>
        <w:sectPr w:rsidR="00FA6EDD" w:rsidSect="00DA7405">
          <w:pgSz w:w="12240" w:h="15840" w:code="1"/>
          <w:pgMar w:top="1440" w:right="1440" w:bottom="1440" w:left="1440" w:header="720" w:footer="720" w:gutter="0"/>
          <w:pgNumType w:fmt="lowerRoman"/>
          <w:cols w:space="720"/>
          <w:docGrid w:linePitch="360"/>
        </w:sectPr>
      </w:pPr>
    </w:p>
    <w:p w14:paraId="6F206549" w14:textId="77777777" w:rsidR="00CA2F4C" w:rsidRPr="002E129B" w:rsidRDefault="00E8575E" w:rsidP="004E4E36">
      <w:pPr>
        <w:pStyle w:val="Heading1"/>
        <w:numPr>
          <w:ilvl w:val="0"/>
          <w:numId w:val="46"/>
        </w:numPr>
      </w:pPr>
      <w:bookmarkStart w:id="61" w:name="_Toc478990486"/>
      <w:bookmarkStart w:id="62" w:name="_Toc479768559"/>
      <w:bookmarkStart w:id="63" w:name="_Toc482353481"/>
      <w:bookmarkStart w:id="64" w:name="_Toc482357284"/>
      <w:bookmarkStart w:id="65" w:name="_Toc482634260"/>
      <w:bookmarkStart w:id="66" w:name="_Toc482626392"/>
      <w:bookmarkStart w:id="67" w:name="_Toc484092463"/>
      <w:bookmarkStart w:id="68" w:name="_Toc484172666"/>
      <w:bookmarkStart w:id="69" w:name="_Toc484183003"/>
      <w:bookmarkStart w:id="70" w:name="_Toc485126518"/>
      <w:r w:rsidRPr="002E129B">
        <w:lastRenderedPageBreak/>
        <w:t>Introduction</w:t>
      </w:r>
      <w:bookmarkEnd w:id="61"/>
      <w:bookmarkEnd w:id="62"/>
      <w:bookmarkEnd w:id="63"/>
      <w:bookmarkEnd w:id="64"/>
      <w:bookmarkEnd w:id="65"/>
      <w:bookmarkEnd w:id="66"/>
      <w:bookmarkEnd w:id="67"/>
      <w:bookmarkEnd w:id="68"/>
      <w:bookmarkEnd w:id="69"/>
      <w:bookmarkEnd w:id="70"/>
    </w:p>
    <w:p w14:paraId="48DA9AE7" w14:textId="77777777" w:rsidR="00544D36" w:rsidRPr="00DA7405" w:rsidRDefault="00E8575E" w:rsidP="00DA7405">
      <w:pPr>
        <w:pStyle w:val="Heading2"/>
      </w:pPr>
      <w:bookmarkStart w:id="71" w:name="_Toc478990487"/>
      <w:bookmarkStart w:id="72" w:name="_Toc479768560"/>
      <w:bookmarkStart w:id="73" w:name="_Toc482353482"/>
      <w:bookmarkStart w:id="74" w:name="_Toc482357285"/>
      <w:bookmarkStart w:id="75" w:name="_Toc482634261"/>
      <w:bookmarkStart w:id="76" w:name="_Toc482626393"/>
      <w:bookmarkStart w:id="77" w:name="_Toc484092464"/>
      <w:bookmarkStart w:id="78" w:name="_Toc484172667"/>
      <w:bookmarkStart w:id="79" w:name="_Toc484183004"/>
      <w:bookmarkStart w:id="80" w:name="_Toc485126519"/>
      <w:r>
        <w:t>Context of the Goals and Potential Study</w:t>
      </w:r>
      <w:bookmarkEnd w:id="71"/>
      <w:bookmarkEnd w:id="72"/>
      <w:bookmarkEnd w:id="73"/>
      <w:bookmarkEnd w:id="74"/>
      <w:bookmarkEnd w:id="75"/>
      <w:bookmarkEnd w:id="76"/>
      <w:bookmarkEnd w:id="77"/>
      <w:bookmarkEnd w:id="78"/>
      <w:bookmarkEnd w:id="79"/>
      <w:bookmarkEnd w:id="80"/>
    </w:p>
    <w:p w14:paraId="057573A7" w14:textId="77777777" w:rsidR="000A5A7E" w:rsidRDefault="000A5A7E" w:rsidP="000A5A7E">
      <w:r w:rsidRPr="00FC44DD">
        <w:t>Navigant Consulting, Inc. along with its partners T</w:t>
      </w:r>
      <w:r>
        <w:t>ierra Resource Consultants LLC</w:t>
      </w:r>
      <w:r w:rsidRPr="00FC44DD">
        <w:t xml:space="preserve"> (collectively known as “the Navigant team”) </w:t>
      </w:r>
      <w:r>
        <w:t xml:space="preserve">prepared </w:t>
      </w:r>
      <w:r w:rsidRPr="00FC44DD">
        <w:t>this study (“</w:t>
      </w:r>
      <w:r>
        <w:t>2018</w:t>
      </w:r>
      <w:r w:rsidRPr="00FC44DD">
        <w:t xml:space="preserve"> and Beyond Potential and Goals Study”) </w:t>
      </w:r>
      <w:r>
        <w:t xml:space="preserve">for the California Public Utilities Commission (CPUC).  The purpose of this study is </w:t>
      </w:r>
      <w:r w:rsidRPr="00FC44DD">
        <w:t xml:space="preserve">to </w:t>
      </w:r>
      <w:r>
        <w:t xml:space="preserve">develop estimates of </w:t>
      </w:r>
      <w:r w:rsidRPr="00FC44DD">
        <w:t xml:space="preserve">energy and demand savings potential in the service territories of California’s </w:t>
      </w:r>
      <w:r>
        <w:t xml:space="preserve">major </w:t>
      </w:r>
      <w:r w:rsidRPr="00FC44DD">
        <w:t>investor-owned utilities (IOUs) during the post</w:t>
      </w:r>
      <w:r>
        <w:t>-</w:t>
      </w:r>
      <w:r w:rsidRPr="00FC44DD">
        <w:t>201</w:t>
      </w:r>
      <w:r>
        <w:t>7</w:t>
      </w:r>
      <w:r w:rsidRPr="00FC44DD">
        <w:t xml:space="preserve"> energy efficiency (EE) </w:t>
      </w:r>
      <w:r>
        <w:t xml:space="preserve">rolling </w:t>
      </w:r>
      <w:r w:rsidRPr="00FC44DD">
        <w:t xml:space="preserve">portfolio planning cycle. This report includes results for Pacific Gas and Electric (PG&amp;E), Southern California Edison (SCE), San Diego Gas and Electric (SDG&amp;E), and Southern California Gas (SCG). A key component of the </w:t>
      </w:r>
      <w:r>
        <w:t>2018 Potential and Goals Study (2018</w:t>
      </w:r>
      <w:r w:rsidRPr="00FC44DD">
        <w:t xml:space="preserve"> Study) is the Potential and Goals Model (PG Model), which provides a single platform in which to conduct robust quantitative scenario analysis that reflects the complex interactions among various inputs and Policy Drivers.</w:t>
      </w:r>
    </w:p>
    <w:p w14:paraId="05E27815" w14:textId="77777777" w:rsidR="00557792" w:rsidRDefault="00557792" w:rsidP="00A459FB"/>
    <w:p w14:paraId="5C2569C3" w14:textId="77777777" w:rsidR="00557792" w:rsidRDefault="00557792" w:rsidP="00557792">
      <w:r w:rsidRPr="00D94F63">
        <w:t>The 201</w:t>
      </w:r>
      <w:r w:rsidR="00903000">
        <w:t>8</w:t>
      </w:r>
      <w:r w:rsidRPr="00D94F63">
        <w:t xml:space="preserve"> Study is the fourth consecutive potential study conducted by the Navigant team on behalf of the California Public Utilities Commission (CPUC). Navigant conducted the 2011</w:t>
      </w:r>
      <w:r w:rsidRPr="00D94F63">
        <w:rPr>
          <w:rStyle w:val="FootnoteReference"/>
        </w:rPr>
        <w:footnoteReference w:id="7"/>
      </w:r>
      <w:r w:rsidRPr="00D94F63">
        <w:t xml:space="preserve"> study, which informed the 2013-14 IOU program goals, and the 2013 Study,</w:t>
      </w:r>
      <w:r w:rsidRPr="00D94F63">
        <w:rPr>
          <w:rStyle w:val="FootnoteReference"/>
        </w:rPr>
        <w:footnoteReference w:id="8"/>
      </w:r>
      <w:r w:rsidRPr="00D94F63">
        <w:t xml:space="preserve"> which was used to inform the 2015 goals for California IOUs, and the 2015</w:t>
      </w:r>
      <w:r w:rsidRPr="00D94F63">
        <w:rPr>
          <w:rStyle w:val="FootnoteReference"/>
        </w:rPr>
        <w:footnoteReference w:id="9"/>
      </w:r>
      <w:r w:rsidRPr="00D94F63">
        <w:t xml:space="preserve"> study which informed the 2016 and beyond goals. </w:t>
      </w:r>
      <w:r>
        <w:t xml:space="preserve">A significant number of recent policy changes in California are driving updates to the approach and methodology of the </w:t>
      </w:r>
      <w:r w:rsidR="00BB59F5">
        <w:t>2018</w:t>
      </w:r>
      <w:r>
        <w:t xml:space="preserve"> study. These policy drivers include:</w:t>
      </w:r>
    </w:p>
    <w:p w14:paraId="22573728" w14:textId="77777777" w:rsidR="00557792" w:rsidRPr="00876767" w:rsidRDefault="00557792" w:rsidP="004E4E36">
      <w:pPr>
        <w:pStyle w:val="ListParagraph"/>
        <w:numPr>
          <w:ilvl w:val="0"/>
          <w:numId w:val="19"/>
        </w:numPr>
      </w:pPr>
      <w:r w:rsidRPr="00950406">
        <w:rPr>
          <w:b/>
          <w:snapToGrid w:val="0"/>
        </w:rPr>
        <w:t>California Assembly Bill 802 (AB802)</w:t>
      </w:r>
      <w:r w:rsidRPr="00950406">
        <w:rPr>
          <w:snapToGrid w:val="0"/>
        </w:rPr>
        <w:t xml:space="preserve"> has the potential to significantly shift the way California energy efficiency Program Administrators (PAs) rebate and claim energy savings from energy efficiency programs. Historically Investor Owned Utilities (IOU) programs have been </w:t>
      </w:r>
      <w:r w:rsidR="001564FF">
        <w:rPr>
          <w:snapToGrid w:val="0"/>
        </w:rPr>
        <w:t xml:space="preserve">mostly </w:t>
      </w:r>
      <w:r w:rsidRPr="00950406">
        <w:rPr>
          <w:snapToGrid w:val="0"/>
        </w:rPr>
        <w:t xml:space="preserve">limited to seeking, rebating, and claiming energy efficiency savings for equipment that exceeds current code or standard. Furthermore, </w:t>
      </w:r>
      <w:r w:rsidR="001564FF">
        <w:rPr>
          <w:snapToGrid w:val="0"/>
        </w:rPr>
        <w:t>and with a few exceptions</w:t>
      </w:r>
      <w:r w:rsidRPr="00950406">
        <w:rPr>
          <w:snapToGrid w:val="0"/>
        </w:rPr>
        <w:t>, the only energy savings that could be claimed was the difference between code or standard and the high efficiency installation; this is referred to as “above-code savings”.</w:t>
      </w:r>
      <w:r w:rsidRPr="00950406">
        <w:rPr>
          <w:rStyle w:val="FootnoteReference"/>
          <w:snapToGrid w:val="0"/>
        </w:rPr>
        <w:footnoteReference w:id="10"/>
      </w:r>
      <w:r w:rsidRPr="00950406">
        <w:rPr>
          <w:snapToGrid w:val="0"/>
        </w:rPr>
        <w:t xml:space="preserve"> However, AB802 could shift away from this paradigm to allow and incentivize all energy savings (including those that are “below-code”).</w:t>
      </w:r>
      <w:r w:rsidRPr="00950406">
        <w:rPr>
          <w:rStyle w:val="FootnoteReference"/>
          <w:snapToGrid w:val="0"/>
        </w:rPr>
        <w:footnoteReference w:id="11"/>
      </w:r>
      <w:r w:rsidRPr="00950406">
        <w:rPr>
          <w:snapToGrid w:val="0"/>
        </w:rPr>
        <w:t xml:space="preserve"> Furthermore, AB802 instructs energy </w:t>
      </w:r>
      <w:r w:rsidRPr="00876767">
        <w:rPr>
          <w:snapToGrid w:val="0"/>
        </w:rPr>
        <w:t xml:space="preserve">efficiency be achieved not only though equipment installations but also through behavior and operational efficiency interventions. </w:t>
      </w:r>
      <w:r w:rsidRPr="00557792">
        <w:rPr>
          <w:snapToGrid w:val="0"/>
        </w:rPr>
        <w:t>Navigant produced a Technical Analy</w:t>
      </w:r>
      <w:r>
        <w:rPr>
          <w:snapToGrid w:val="0"/>
        </w:rPr>
        <w:t>sis of AB802 (AB802 TA) in 2016</w:t>
      </w:r>
      <w:r w:rsidRPr="00557792">
        <w:rPr>
          <w:snapToGrid w:val="0"/>
        </w:rPr>
        <w:t xml:space="preserve">. The AB802 TA did not inform goals but its methodological advances over prior studies serves as a basis for </w:t>
      </w:r>
      <w:r>
        <w:rPr>
          <w:snapToGrid w:val="0"/>
        </w:rPr>
        <w:t xml:space="preserve">the </w:t>
      </w:r>
      <w:r w:rsidR="00BB59F5">
        <w:rPr>
          <w:snapToGrid w:val="0"/>
        </w:rPr>
        <w:t>2018</w:t>
      </w:r>
      <w:r>
        <w:rPr>
          <w:snapToGrid w:val="0"/>
        </w:rPr>
        <w:t xml:space="preserve"> PG</w:t>
      </w:r>
      <w:r w:rsidRPr="00557792">
        <w:rPr>
          <w:snapToGrid w:val="0"/>
        </w:rPr>
        <w:t xml:space="preserve"> study.</w:t>
      </w:r>
    </w:p>
    <w:p w14:paraId="06EBC0CB" w14:textId="77777777" w:rsidR="00557792" w:rsidRPr="00876767" w:rsidRDefault="00557792" w:rsidP="004E4E36">
      <w:pPr>
        <w:pStyle w:val="ListParagraph"/>
        <w:numPr>
          <w:ilvl w:val="0"/>
          <w:numId w:val="19"/>
        </w:numPr>
        <w:rPr>
          <w:b/>
        </w:rPr>
      </w:pPr>
      <w:r w:rsidRPr="00876767">
        <w:rPr>
          <w:b/>
        </w:rPr>
        <w:t xml:space="preserve">California Senate Bill 350 (SB350) </w:t>
      </w:r>
      <w:r w:rsidRPr="00876767">
        <w:t xml:space="preserve">established California’s 2030 greenhouse gas reduction target of 40 percent below 1990 levels. To achieve this goal, SB 350 sets 2030 targets for energy efficiency and renewable electricity, among other actions aimed at reducing greenhouse gas emissions. Of concern to the PG study, SB350 requires the state to double statewide energy </w:t>
      </w:r>
      <w:r w:rsidRPr="00876767">
        <w:lastRenderedPageBreak/>
        <w:t>efficiency savings in electricity and natural gas end uses by 2030</w:t>
      </w:r>
      <w:r w:rsidR="00D13938">
        <w:t xml:space="preserve"> and that the </w:t>
      </w:r>
      <w:r w:rsidR="001564FF">
        <w:t xml:space="preserve">goals not be </w:t>
      </w:r>
      <w:r w:rsidR="00D13938">
        <w:t xml:space="preserve">constrained based on past program performance. </w:t>
      </w:r>
    </w:p>
    <w:p w14:paraId="1D4FD542" w14:textId="77777777" w:rsidR="00557792" w:rsidRPr="00876767" w:rsidRDefault="00557792" w:rsidP="00A9318F">
      <w:pPr>
        <w:pStyle w:val="ListParagraph"/>
        <w:numPr>
          <w:ilvl w:val="0"/>
          <w:numId w:val="19"/>
        </w:numPr>
      </w:pPr>
      <w:r w:rsidRPr="00876767">
        <w:rPr>
          <w:b/>
        </w:rPr>
        <w:t>CPUC Cost Effectiveness Test</w:t>
      </w:r>
      <w:r w:rsidR="00A9318F">
        <w:rPr>
          <w:b/>
        </w:rPr>
        <w:t>s and Inputs</w:t>
      </w:r>
      <w:r w:rsidRPr="00876767">
        <w:rPr>
          <w:b/>
        </w:rPr>
        <w:t xml:space="preserve"> Updates</w:t>
      </w:r>
      <w:r w:rsidRPr="00876767">
        <w:t xml:space="preserve"> are currently underway though the </w:t>
      </w:r>
      <w:r w:rsidR="001564FF">
        <w:t xml:space="preserve">Integrated Distributed Energy Resources (IDER) </w:t>
      </w:r>
      <w:r w:rsidRPr="00876767">
        <w:t>proceeding</w:t>
      </w:r>
      <w:r w:rsidR="001564FF">
        <w:t xml:space="preserve"> (R. 14-10-003)</w:t>
      </w:r>
      <w:r w:rsidRPr="00876767">
        <w:t xml:space="preserve">.  Multiple changes have been or are being considered. First, in mid-2016 the CPUC released updated energy avoided costs for use in </w:t>
      </w:r>
      <w:r w:rsidR="001564FF">
        <w:t xml:space="preserve">all distributed energy resources, including </w:t>
      </w:r>
      <w:r w:rsidRPr="00876767">
        <w:t xml:space="preserve">energy efficiency program planning and </w:t>
      </w:r>
      <w:r w:rsidR="001564FF">
        <w:t>budget approval</w:t>
      </w:r>
      <w:r w:rsidRPr="00876767">
        <w:t xml:space="preserve">. These avoided costs were generally observed to be lower than previous avoided cost thus </w:t>
      </w:r>
      <w:r w:rsidR="00762872">
        <w:t>potentially resulting in lower</w:t>
      </w:r>
      <w:r w:rsidRPr="00876767">
        <w:t xml:space="preserve"> overall portfolio cost effectives through the Total Resource Cost (TRC) Test.</w:t>
      </w:r>
      <w:r w:rsidR="00762872">
        <w:rPr>
          <w:rStyle w:val="FootnoteReference"/>
        </w:rPr>
        <w:footnoteReference w:id="12"/>
      </w:r>
      <w:r w:rsidR="00762872" w:rsidRPr="00876767">
        <w:t xml:space="preserve"> </w:t>
      </w:r>
      <w:r w:rsidR="00A9318F" w:rsidRPr="00A9318F">
        <w:t xml:space="preserve">The CPUC has been considering the application of the </w:t>
      </w:r>
      <w:r w:rsidR="000A5A7E">
        <w:t xml:space="preserve">California </w:t>
      </w:r>
      <w:r w:rsidR="00A9318F" w:rsidRPr="00A9318F">
        <w:t>Standard Practice Manual tests for DER needs including the use of a GHG adder to be incorporated</w:t>
      </w:r>
      <w:r w:rsidR="00A9318F">
        <w:t xml:space="preserve"> into the current avoided costs</w:t>
      </w:r>
      <w:r w:rsidR="00D13938">
        <w:t>.</w:t>
      </w:r>
      <w:r w:rsidR="00762872">
        <w:rPr>
          <w:rStyle w:val="FootnoteReference"/>
        </w:rPr>
        <w:footnoteReference w:id="13"/>
      </w:r>
    </w:p>
    <w:p w14:paraId="1AB51095" w14:textId="77777777" w:rsidR="00A459FB" w:rsidRPr="00FC44DD" w:rsidRDefault="00A459FB" w:rsidP="00A459FB"/>
    <w:p w14:paraId="2F49E22C" w14:textId="77777777" w:rsidR="00D94F63" w:rsidRPr="00D94F63" w:rsidRDefault="00D94F63" w:rsidP="00D94F63">
      <w:r w:rsidRPr="00D94F63">
        <w:t xml:space="preserve">The </w:t>
      </w:r>
      <w:r w:rsidR="00BB59F5">
        <w:t>2018</w:t>
      </w:r>
      <w:r w:rsidRPr="00D94F63">
        <w:t xml:space="preserve"> Potential and Goals Study supports multiple related efforts:</w:t>
      </w:r>
    </w:p>
    <w:p w14:paraId="407674BF" w14:textId="77777777" w:rsidR="00D94F63" w:rsidRPr="00D94F63" w:rsidRDefault="00D94F63" w:rsidP="004E4E36">
      <w:pPr>
        <w:pStyle w:val="ListParagraph"/>
        <w:numPr>
          <w:ilvl w:val="0"/>
          <w:numId w:val="74"/>
        </w:numPr>
        <w:ind w:left="900" w:hanging="360"/>
      </w:pPr>
      <w:r w:rsidRPr="00D94F63">
        <w:t>Inform the CPUC as it proceeds to adopt goals and targets, providing guidance for the next IOU energy efficiency portfolios. The potential model is a framework that facilitates the stakeholder process. The model helps build consensus for goals by soliciting agreement on inputs, methods, and model results.</w:t>
      </w:r>
    </w:p>
    <w:p w14:paraId="1B699729" w14:textId="77777777" w:rsidR="00D94F63" w:rsidRPr="00FC44DD" w:rsidRDefault="00D94F63" w:rsidP="004E4E36">
      <w:pPr>
        <w:pStyle w:val="ListParagraph"/>
        <w:numPr>
          <w:ilvl w:val="0"/>
          <w:numId w:val="74"/>
        </w:numPr>
        <w:ind w:left="900" w:hanging="360"/>
      </w:pPr>
      <w:r w:rsidRPr="00D94F63">
        <w:t>Guide the IOUs in portfolio planning and the state’ principal energy agencies in forecasting for procurement, including the planning efforts of the CPUC, California Energy Commission (CEC), and California Independent System Operator (CAISO). Although the model cannot be the sole source of data for IOU program planning activities, it can provide critical guidance for the IOUs as they develop their plans for the 2018 and beyond portfolio planning period.</w:t>
      </w:r>
      <w:r w:rsidRPr="00FC44DD">
        <w:t xml:space="preserve"> The study is also providing California’s principal energy agencies with the tools and resources necessary to develop outputs in a manner that is most appropriate for their planning and procurement needs. </w:t>
      </w:r>
    </w:p>
    <w:p w14:paraId="3CD8B638" w14:textId="77777777" w:rsidR="00D94F63" w:rsidRPr="00FC44DD" w:rsidRDefault="00D94F63" w:rsidP="004E4E36">
      <w:pPr>
        <w:pStyle w:val="ListParagraph"/>
        <w:numPr>
          <w:ilvl w:val="0"/>
          <w:numId w:val="74"/>
        </w:numPr>
        <w:ind w:left="900" w:hanging="360"/>
      </w:pPr>
      <w:r w:rsidRPr="00FC44DD">
        <w:t xml:space="preserve">Inform strategic contributions to </w:t>
      </w:r>
      <w:r>
        <w:t>SB350</w:t>
      </w:r>
      <w:r w:rsidR="009E7E39">
        <w:t xml:space="preserve"> targets. The CEC has historically used the PG study to develop its forecast of Additional Achievable Energy Efficiency Potential (AAEE). SB350 targets a doubling of the AAEE by 2030. The CEC will continue to rely upon the PG study as an input to AAEE; the PG study will also serve as an input to SB350 target setting. </w:t>
      </w:r>
    </w:p>
    <w:p w14:paraId="60D35044" w14:textId="77777777" w:rsidR="00A459FB" w:rsidRPr="00FC44DD" w:rsidRDefault="00A459FB" w:rsidP="00A459FB"/>
    <w:p w14:paraId="25BB3D50" w14:textId="77777777" w:rsidR="00A459FB" w:rsidRPr="00FC44DD" w:rsidRDefault="00A459FB" w:rsidP="00A459FB">
      <w:r w:rsidRPr="00D94F63">
        <w:t>The study period spans from 201</w:t>
      </w:r>
      <w:r w:rsidR="00D94F63" w:rsidRPr="00D94F63">
        <w:t>8-2030</w:t>
      </w:r>
      <w:r w:rsidRPr="00D94F63">
        <w:t xml:space="preserve"> based on the direction provided by CPUC and focuses on curr</w:t>
      </w:r>
      <w:r w:rsidRPr="00FC44DD">
        <w:t>ent and potential drivers of energy savings in IOU service areas. Analysis of energy efficiency savings in publicly owned utility service territories is not pa</w:t>
      </w:r>
      <w:r w:rsidR="00045431">
        <w:t>rt of the scope of this effort.</w:t>
      </w:r>
    </w:p>
    <w:p w14:paraId="1B2BDC2A" w14:textId="77777777" w:rsidR="00A459FB" w:rsidRPr="00A459FB" w:rsidRDefault="00A459FB" w:rsidP="00A459FB">
      <w:pPr>
        <w:pStyle w:val="Heading2"/>
      </w:pPr>
      <w:bookmarkStart w:id="81" w:name="_Ref474512846"/>
      <w:bookmarkStart w:id="82" w:name="_Toc478990488"/>
      <w:bookmarkStart w:id="83" w:name="_Toc479768561"/>
      <w:bookmarkStart w:id="84" w:name="_Toc482353483"/>
      <w:bookmarkStart w:id="85" w:name="_Toc482357286"/>
      <w:bookmarkStart w:id="86" w:name="_Toc482634262"/>
      <w:bookmarkStart w:id="87" w:name="_Toc482626394"/>
      <w:bookmarkStart w:id="88" w:name="_Toc484092465"/>
      <w:bookmarkStart w:id="89" w:name="_Toc484172668"/>
      <w:bookmarkStart w:id="90" w:name="_Toc484183005"/>
      <w:bookmarkStart w:id="91" w:name="_Toc485126520"/>
      <w:r>
        <w:t>Types of Potential</w:t>
      </w:r>
      <w:bookmarkEnd w:id="81"/>
      <w:bookmarkEnd w:id="82"/>
      <w:bookmarkEnd w:id="83"/>
      <w:bookmarkEnd w:id="84"/>
      <w:bookmarkEnd w:id="85"/>
      <w:bookmarkEnd w:id="86"/>
      <w:bookmarkEnd w:id="87"/>
      <w:bookmarkEnd w:id="88"/>
      <w:bookmarkEnd w:id="89"/>
      <w:bookmarkEnd w:id="90"/>
      <w:bookmarkEnd w:id="91"/>
    </w:p>
    <w:p w14:paraId="7CA9F046" w14:textId="77777777" w:rsidR="00A459FB" w:rsidRDefault="00A459FB" w:rsidP="00A459FB">
      <w:r>
        <w:t>Consistent with the 2015 Study</w:t>
      </w:r>
      <w:r w:rsidR="000A5A7E" w:rsidRPr="000A5A7E">
        <w:t xml:space="preserve"> </w:t>
      </w:r>
      <w:r w:rsidR="000A5A7E">
        <w:t>and consistent with common industry practice</w:t>
      </w:r>
      <w:r>
        <w:t xml:space="preserve">, the </w:t>
      </w:r>
      <w:r w:rsidR="00BB59F5">
        <w:t>2018</w:t>
      </w:r>
      <w:r>
        <w:t xml:space="preserve"> Study forecasts energy efficiency potential at </w:t>
      </w:r>
      <w:r w:rsidR="00233FD1">
        <w:t>four</w:t>
      </w:r>
      <w:r>
        <w:t xml:space="preserve"> levels for rebate programs:</w:t>
      </w:r>
    </w:p>
    <w:p w14:paraId="1E73B667" w14:textId="77777777" w:rsidR="00045431" w:rsidRDefault="00A459FB" w:rsidP="004E4E36">
      <w:pPr>
        <w:pStyle w:val="ListParagraph"/>
        <w:numPr>
          <w:ilvl w:val="0"/>
          <w:numId w:val="73"/>
        </w:numPr>
        <w:ind w:left="900" w:hanging="360"/>
      </w:pPr>
      <w:r w:rsidRPr="00066D79">
        <w:rPr>
          <w:b/>
        </w:rPr>
        <w:t>Technical Potential:</w:t>
      </w:r>
      <w:r w:rsidRPr="00211361">
        <w:rPr>
          <w:b/>
        </w:rPr>
        <w:t xml:space="preserve"> </w:t>
      </w:r>
      <w:r w:rsidRPr="00211361">
        <w:t xml:space="preserve">Technical potential is defined as the amount of energy savings that would be possible if the highest level of efficiency for all technically applicable opportunities to </w:t>
      </w:r>
      <w:r w:rsidRPr="00211361">
        <w:lastRenderedPageBreak/>
        <w:t xml:space="preserve">improve energy efficiency were taken, including retrofit measures, replace-on-burnout measures, and new construction measures. Technical potential </w:t>
      </w:r>
      <w:r w:rsidR="00211361">
        <w:t>r</w:t>
      </w:r>
      <w:r w:rsidR="00045431">
        <w:t xml:space="preserve">epresents </w:t>
      </w:r>
      <w:r>
        <w:t xml:space="preserve">the immediate replacement of applicable equipment-based technologies regardless of the remaining useful life of the existing measure. </w:t>
      </w:r>
      <w:r w:rsidR="00211361">
        <w:t xml:space="preserve">Technical potential is undefined for codes and standards, low income programs, whole building programs, and behavior/retrocommissioning/operational efficiency programs. </w:t>
      </w:r>
    </w:p>
    <w:p w14:paraId="58294264" w14:textId="77777777" w:rsidR="0007385F" w:rsidRDefault="00A459FB" w:rsidP="004E4E36">
      <w:pPr>
        <w:pStyle w:val="ListParagraph"/>
        <w:numPr>
          <w:ilvl w:val="0"/>
          <w:numId w:val="73"/>
        </w:numPr>
        <w:ind w:left="900" w:hanging="360"/>
      </w:pPr>
      <w:r w:rsidRPr="00045431">
        <w:rPr>
          <w:b/>
        </w:rPr>
        <w:t>Economic Potential:</w:t>
      </w:r>
      <w:r w:rsidRPr="00045431">
        <w:t xml:space="preserve"> Using the results of the technical</w:t>
      </w:r>
      <w:r>
        <w:t xml:space="preserve"> potential analysis, the economic potential is calculated as the total energy efficiency potential available when limited to only cost effective measures.</w:t>
      </w:r>
      <w:r>
        <w:rPr>
          <w:rStyle w:val="FootnoteReference"/>
        </w:rPr>
        <w:footnoteReference w:id="14"/>
      </w:r>
      <w:r>
        <w:t xml:space="preserve"> All components of economic potential are a subset of technical potential.  </w:t>
      </w:r>
      <w:r w:rsidR="00045431" w:rsidRPr="00E05E8F">
        <w:t>Like</w:t>
      </w:r>
      <w:r w:rsidRPr="00E05E8F">
        <w:t xml:space="preserve"> technical potential, economic</w:t>
      </w:r>
      <w:r w:rsidR="00045431">
        <w:t xml:space="preserve"> potential can be represented as i</w:t>
      </w:r>
      <w:r w:rsidR="00045431" w:rsidRPr="00045431">
        <w:t>nstantaneous</w:t>
      </w:r>
      <w:r w:rsidR="00045431">
        <w:t xml:space="preserve"> or annualized. </w:t>
      </w:r>
      <w:r w:rsidR="0007385F">
        <w:t xml:space="preserve"> Economic potential screens considered in this study include:</w:t>
      </w:r>
    </w:p>
    <w:p w14:paraId="41E4E047" w14:textId="77777777" w:rsidR="0007385F" w:rsidRDefault="0007385F" w:rsidP="004E4E36">
      <w:pPr>
        <w:pStyle w:val="ListParagraph"/>
        <w:numPr>
          <w:ilvl w:val="1"/>
          <w:numId w:val="73"/>
        </w:numPr>
      </w:pPr>
      <w:r w:rsidRPr="00A01325">
        <w:rPr>
          <w:b/>
          <w:i/>
        </w:rPr>
        <w:t>Total Resource Cost (TRC) Test</w:t>
      </w:r>
      <w:r w:rsidR="00A01325" w:rsidRPr="00A01325">
        <w:rPr>
          <w:b/>
        </w:rPr>
        <w:t xml:space="preserve"> </w:t>
      </w:r>
      <w:r w:rsidR="00A01325" w:rsidRPr="00A01325">
        <w:t xml:space="preserve">- The </w:t>
      </w:r>
      <w:r w:rsidR="00A01325">
        <w:t xml:space="preserve">CA </w:t>
      </w:r>
      <w:r w:rsidR="00A01325" w:rsidRPr="00A01325">
        <w:t>Standard Practice Manual defines the TRC test as the measurement of the net benefits and costs that accrue to society</w:t>
      </w:r>
      <w:r w:rsidR="00A01325">
        <w:t xml:space="preserve"> (p</w:t>
      </w:r>
      <w:r w:rsidR="00A01325" w:rsidRPr="00A01325">
        <w:t>rogram administrator all its customers</w:t>
      </w:r>
      <w:r w:rsidR="00A01325">
        <w:t>)</w:t>
      </w:r>
      <w:r w:rsidR="00A01325" w:rsidRPr="00A01325">
        <w:t xml:space="preserve">. It compares the benefits, which are the avoided cost of generating electricity and supplying natural gas, with the total costs, which include program administration and customer costs. The TRC does not include the costs of incentives. </w:t>
      </w:r>
    </w:p>
    <w:p w14:paraId="047CD77E" w14:textId="77777777" w:rsidR="00875ABD" w:rsidRPr="00875ABD" w:rsidRDefault="0007385F" w:rsidP="004E4E36">
      <w:pPr>
        <w:pStyle w:val="ListParagraph"/>
        <w:numPr>
          <w:ilvl w:val="1"/>
          <w:numId w:val="73"/>
        </w:numPr>
      </w:pPr>
      <w:r w:rsidRPr="00A01325">
        <w:rPr>
          <w:b/>
          <w:i/>
        </w:rPr>
        <w:t>Modified TRC</w:t>
      </w:r>
      <w:r w:rsidRPr="00A01325">
        <w:t xml:space="preserve"> </w:t>
      </w:r>
      <w:r w:rsidR="00A01325">
        <w:t>(</w:t>
      </w:r>
      <w:r w:rsidR="00A01325" w:rsidRPr="00A01325">
        <w:rPr>
          <w:b/>
        </w:rPr>
        <w:t>mTRC</w:t>
      </w:r>
      <w:r w:rsidR="00A01325">
        <w:t>)</w:t>
      </w:r>
      <w:r w:rsidR="00A01325" w:rsidRPr="00A01325">
        <w:rPr>
          <w:b/>
        </w:rPr>
        <w:t xml:space="preserve"> </w:t>
      </w:r>
      <w:r w:rsidR="00A01325" w:rsidRPr="00A01325">
        <w:t xml:space="preserve">- The </w:t>
      </w:r>
      <w:r w:rsidR="00A01325">
        <w:t>m</w:t>
      </w:r>
      <w:r w:rsidR="00A01325" w:rsidRPr="00A01325">
        <w:t xml:space="preserve">TRC test </w:t>
      </w:r>
      <w:r w:rsidR="00A01325">
        <w:t xml:space="preserve">builds upon the </w:t>
      </w:r>
      <w:r w:rsidR="00A01325" w:rsidRPr="00A01325">
        <w:t xml:space="preserve">TRC test </w:t>
      </w:r>
      <w:r w:rsidR="00A01325">
        <w:t>by</w:t>
      </w:r>
      <w:r w:rsidR="00A01325" w:rsidRPr="00A01325">
        <w:t xml:space="preserve"> </w:t>
      </w:r>
      <w:r w:rsidR="00A01325">
        <w:t xml:space="preserve">including a </w:t>
      </w:r>
      <w:r w:rsidR="00A01325" w:rsidRPr="00A01325">
        <w:t xml:space="preserve">GHG adder to the avoided cost of electricity and natural gas. </w:t>
      </w:r>
      <w:r w:rsidR="00875ABD">
        <w:t xml:space="preserve">The GHG adder is intended to </w:t>
      </w:r>
      <w:r w:rsidR="00875ABD" w:rsidRPr="00875ABD">
        <w:t xml:space="preserve">estimate the value of the reduced carbon emissions that </w:t>
      </w:r>
      <w:r w:rsidR="00875ABD">
        <w:t>energy efficiency</w:t>
      </w:r>
      <w:r w:rsidR="00875ABD" w:rsidRPr="00875ABD">
        <w:t xml:space="preserve"> provide, and that the value of the GHG adder should be based on the marginal cost of abatement (i.e., the cost of achieving California’s GHG reduction goals)</w:t>
      </w:r>
      <w:r w:rsidR="00875ABD">
        <w:t xml:space="preserve">. The GHG cost included in the 2016 avoided cost reflects the values of the </w:t>
      </w:r>
      <w:r w:rsidR="00875ABD" w:rsidRPr="00875ABD">
        <w:t>permits utilities are required to buy as part of California’s Assembly Bill (AB) 32 cap and trade program for 2020 GHG targets.</w:t>
      </w:r>
      <w:r w:rsidR="00875ABD">
        <w:t xml:space="preserve"> The GHG adder is intended to cover the anticipated additional costs to meet 2030 GHG targets. </w:t>
      </w:r>
    </w:p>
    <w:p w14:paraId="4463AC21" w14:textId="77777777" w:rsidR="00A459FB" w:rsidRPr="00A01325" w:rsidRDefault="00E27FA1" w:rsidP="004E4E36">
      <w:pPr>
        <w:pStyle w:val="ListParagraph"/>
        <w:numPr>
          <w:ilvl w:val="1"/>
          <w:numId w:val="73"/>
        </w:numPr>
      </w:pPr>
      <w:r>
        <w:rPr>
          <w:b/>
          <w:i/>
        </w:rPr>
        <w:t xml:space="preserve">Program Administrator </w:t>
      </w:r>
      <w:r w:rsidRPr="00A01325">
        <w:rPr>
          <w:b/>
          <w:i/>
        </w:rPr>
        <w:t>Cost (</w:t>
      </w:r>
      <w:r>
        <w:rPr>
          <w:b/>
          <w:i/>
        </w:rPr>
        <w:t>PAC</w:t>
      </w:r>
      <w:r w:rsidRPr="00A01325">
        <w:rPr>
          <w:b/>
          <w:i/>
        </w:rPr>
        <w:t>) Test</w:t>
      </w:r>
      <w:r w:rsidRPr="00A01325">
        <w:rPr>
          <w:b/>
        </w:rPr>
        <w:t xml:space="preserve"> </w:t>
      </w:r>
      <w:r w:rsidRPr="00A01325">
        <w:t xml:space="preserve">- The </w:t>
      </w:r>
      <w:r>
        <w:t xml:space="preserve">CA </w:t>
      </w:r>
      <w:r w:rsidRPr="00A01325">
        <w:t xml:space="preserve">Standard Practice Manual defines the </w:t>
      </w:r>
      <w:r>
        <w:t>PAC</w:t>
      </w:r>
      <w:r w:rsidRPr="00A01325">
        <w:t xml:space="preserve"> test as the measurement of the net be</w:t>
      </w:r>
      <w:r>
        <w:t>nefits and costs that accrue to the p</w:t>
      </w:r>
      <w:r w:rsidRPr="00A01325">
        <w:t>rogram administrator</w:t>
      </w:r>
      <w:r>
        <w:t xml:space="preserve"> (i.e. the utilities)</w:t>
      </w:r>
      <w:r w:rsidRPr="00A01325">
        <w:t xml:space="preserve">. It compares the benefits, which are the avoided cost of generating electricity and supplying natural gas, with the total costs, which include program administration and </w:t>
      </w:r>
      <w:r>
        <w:t>incentive costs</w:t>
      </w:r>
      <w:r w:rsidRPr="00A01325">
        <w:t xml:space="preserve">. The </w:t>
      </w:r>
      <w:r>
        <w:t>PAC</w:t>
      </w:r>
      <w:r w:rsidRPr="00A01325">
        <w:t xml:space="preserve"> does not include the</w:t>
      </w:r>
      <w:r>
        <w:t xml:space="preserve"> additional out-of-pocket </w:t>
      </w:r>
      <w:r w:rsidRPr="00A01325">
        <w:t xml:space="preserve">costs </w:t>
      </w:r>
      <w:r>
        <w:t>for equipment paid for by the customer</w:t>
      </w:r>
      <w:r w:rsidRPr="00A01325">
        <w:t xml:space="preserve">. </w:t>
      </w:r>
    </w:p>
    <w:p w14:paraId="3ECF4009" w14:textId="77777777" w:rsidR="00233FD1" w:rsidRDefault="00A459FB" w:rsidP="004E4E36">
      <w:pPr>
        <w:pStyle w:val="ListParagraph"/>
        <w:numPr>
          <w:ilvl w:val="0"/>
          <w:numId w:val="73"/>
        </w:numPr>
        <w:ind w:left="900" w:hanging="360"/>
      </w:pPr>
      <w:r w:rsidRPr="00066D79">
        <w:rPr>
          <w:b/>
        </w:rPr>
        <w:t>Market Potential:</w:t>
      </w:r>
      <w:r>
        <w:t xml:space="preserve"> The final output of the potential study is a market potential analysis, which calculates the energy efficiency savings that could be expected in response to specific levels of incentives and assumptions about </w:t>
      </w:r>
      <w:r w:rsidR="000A5A7E">
        <w:t xml:space="preserve">existing CPUC </w:t>
      </w:r>
      <w:r>
        <w:t>policies, market influences, and barriers. All components of market potential are a subset of economic potential. Some studies also refer to this as “achievable potential.” Market potential is used to inform the utilities’ energy efficiency goals, as determined by the CPUC.</w:t>
      </w:r>
      <w:r w:rsidR="00233FD1">
        <w:t xml:space="preserve"> Market potential has historically been used by the CPUC to inform the goal-setting process. </w:t>
      </w:r>
    </w:p>
    <w:p w14:paraId="2FD86F23" w14:textId="77777777" w:rsidR="00C80504" w:rsidRPr="00233FD1" w:rsidRDefault="00C80504" w:rsidP="004E4E36">
      <w:pPr>
        <w:pStyle w:val="ListParagraph"/>
        <w:numPr>
          <w:ilvl w:val="0"/>
          <w:numId w:val="73"/>
        </w:numPr>
        <w:ind w:left="900" w:hanging="360"/>
      </w:pPr>
      <w:r w:rsidRPr="00E05E8F">
        <w:rPr>
          <w:b/>
        </w:rPr>
        <w:t>Stranded Potential</w:t>
      </w:r>
      <w:r>
        <w:t xml:space="preserve"> </w:t>
      </w:r>
      <w:r w:rsidR="00233FD1">
        <w:t xml:space="preserve">is </w:t>
      </w:r>
      <w:r>
        <w:t xml:space="preserve">a </w:t>
      </w:r>
      <w:r w:rsidR="00233FD1">
        <w:t xml:space="preserve">subset of the Market Potential. </w:t>
      </w:r>
      <w:r w:rsidR="00927DB3" w:rsidRPr="00233FD1">
        <w:t>These savings are defined as th</w:t>
      </w:r>
      <w:r w:rsidR="00233FD1" w:rsidRPr="00233FD1">
        <w:t xml:space="preserve">e opportunities for EE that have not historically been captured </w:t>
      </w:r>
      <w:r w:rsidR="00927DB3" w:rsidRPr="00233FD1">
        <w:t xml:space="preserve">by either EE program administrator </w:t>
      </w:r>
      <w:r w:rsidR="00927DB3" w:rsidRPr="00233FD1">
        <w:lastRenderedPageBreak/>
        <w:t xml:space="preserve">(PA) rebate programs or codes and standards. Stranded Potential is below-code savings that is not materializing in the market because there is no incentive for the customer to upgrade their existing equipment given current program rebate policy. Under AB802, PAs could start offering rebates for bringing existing equipment up to code thus </w:t>
      </w:r>
      <w:r w:rsidR="00BC78BB">
        <w:t xml:space="preserve">potentially </w:t>
      </w:r>
      <w:r w:rsidR="00927DB3" w:rsidRPr="00233FD1">
        <w:t>motivating a whole new subset of customers to install EE measures and thus capture the Stranded Potential.</w:t>
      </w:r>
    </w:p>
    <w:p w14:paraId="1D2C71B3" w14:textId="77777777" w:rsidR="00A459FB" w:rsidRDefault="00A459FB" w:rsidP="00A459FB"/>
    <w:p w14:paraId="4D12ADA7" w14:textId="77777777" w:rsidR="00A459FB" w:rsidRDefault="00A459FB" w:rsidP="00A459FB">
      <w:r>
        <w:t xml:space="preserve">Market potential </w:t>
      </w:r>
      <w:r w:rsidR="00E27FA1">
        <w:t xml:space="preserve">is </w:t>
      </w:r>
      <w:r>
        <w:t xml:space="preserve">represented </w:t>
      </w:r>
      <w:r w:rsidR="00E27FA1">
        <w:t xml:space="preserve">in the 2018 PG study two </w:t>
      </w:r>
      <w:r>
        <w:t>different ways; each is based on the same data and assumptions though each serve separate needs and provide necessary perspectives.</w:t>
      </w:r>
    </w:p>
    <w:p w14:paraId="609CC066" w14:textId="77777777" w:rsidR="00A459FB" w:rsidRDefault="00A459FB" w:rsidP="004E4E36">
      <w:pPr>
        <w:pStyle w:val="ListParagraph"/>
        <w:numPr>
          <w:ilvl w:val="0"/>
          <w:numId w:val="10"/>
        </w:numPr>
        <w:ind w:left="900" w:hanging="360"/>
      </w:pPr>
      <w:r w:rsidRPr="00CD1669">
        <w:rPr>
          <w:b/>
        </w:rPr>
        <w:t xml:space="preserve">Incremental </w:t>
      </w:r>
      <w:r w:rsidR="00E05E8F">
        <w:rPr>
          <w:b/>
        </w:rPr>
        <w:t>S</w:t>
      </w:r>
      <w:r w:rsidRPr="00CD1669">
        <w:rPr>
          <w:b/>
        </w:rPr>
        <w:t>avings</w:t>
      </w:r>
      <w:r>
        <w:t xml:space="preserve"> represent the annual energy and demand savings achieved by the set of programs and measures in the first year that the measure is implemented. It does not consider the additional savings that the measure will produce over the life of the equipment. A view of incremental savings is necessary </w:t>
      </w:r>
      <w:r w:rsidR="00066D79">
        <w:t>to</w:t>
      </w:r>
      <w:r>
        <w:t xml:space="preserve"> understand what additional savings an individual year of energy efficiency programs will produce. This has historically been the basis for IOU program goals.</w:t>
      </w:r>
    </w:p>
    <w:p w14:paraId="788DF5FF" w14:textId="77777777" w:rsidR="00A459FB" w:rsidRPr="00E05E8F" w:rsidRDefault="00E05E8F" w:rsidP="004E4E36">
      <w:pPr>
        <w:pStyle w:val="ListParagraph"/>
        <w:numPr>
          <w:ilvl w:val="0"/>
          <w:numId w:val="10"/>
        </w:numPr>
        <w:ind w:left="900" w:hanging="360"/>
      </w:pPr>
      <w:r w:rsidRPr="00E05E8F">
        <w:rPr>
          <w:b/>
        </w:rPr>
        <w:t>Cumulative S</w:t>
      </w:r>
      <w:r w:rsidR="00A459FB" w:rsidRPr="00E05E8F">
        <w:rPr>
          <w:b/>
        </w:rPr>
        <w:t>avings</w:t>
      </w:r>
      <w:r w:rsidR="00A459FB" w:rsidRPr="00E05E8F">
        <w:t xml:space="preserve"> represent the total savings from energy efficiency program efforts from measures installed since </w:t>
      </w:r>
      <w:r w:rsidR="00BC78BB">
        <w:t>2015</w:t>
      </w:r>
      <w:r w:rsidR="00BC78BB" w:rsidRPr="00E05E8F">
        <w:t xml:space="preserve"> </w:t>
      </w:r>
      <w:r w:rsidR="00A459FB" w:rsidRPr="00E05E8F">
        <w:t>including the current program year, and are still active in the current year. It includes the decay of savings as measures reac</w:t>
      </w:r>
      <w:r w:rsidR="00066D79" w:rsidRPr="00E05E8F">
        <w:t>h the end of their useful lives and the continuation of savings as customer re-install high efficiency equipment that has reached the end of its EUL.</w:t>
      </w:r>
      <w:r w:rsidR="00A459FB" w:rsidRPr="00E05E8F">
        <w:t xml:space="preserve"> Cumulative savings also account for the timing effects of codes and standards that become effective after measure installation. </w:t>
      </w:r>
    </w:p>
    <w:p w14:paraId="79233BE2" w14:textId="77777777" w:rsidR="00A459FB" w:rsidRDefault="00A459FB" w:rsidP="00A459FB"/>
    <w:p w14:paraId="57BD3DDE" w14:textId="77777777" w:rsidR="000904DC" w:rsidRPr="000904DC" w:rsidRDefault="00066D79" w:rsidP="00016ACD">
      <w:r w:rsidRPr="00016ACD">
        <w:t>Many</w:t>
      </w:r>
      <w:r w:rsidR="00A459FB" w:rsidRPr="00016ACD">
        <w:t xml:space="preserve"> variables drive the calculation of market potential. These include assumptions about the </w:t>
      </w:r>
      <w:r w:rsidRPr="00016ACD">
        <w:t>way</w:t>
      </w:r>
      <w:r w:rsidR="00A459FB" w:rsidRPr="00016ACD">
        <w:t xml:space="preserve"> efficient products and services are marketed and delivered, the level of customer awareness of energy efficiency, and customer willingness to install efficient equipment or operate equipment in ways that are more efficient. The Navigant team used the best available current market knowledge </w:t>
      </w:r>
      <w:r w:rsidR="00016ACD" w:rsidRPr="00016ACD">
        <w:t>to calibrate market potential for voluntary rebate programs</w:t>
      </w:r>
    </w:p>
    <w:p w14:paraId="11FB55BA" w14:textId="77777777" w:rsidR="00AE0A46" w:rsidRDefault="00AE0A46" w:rsidP="00AE0A46">
      <w:pPr>
        <w:pStyle w:val="Heading2"/>
      </w:pPr>
      <w:bookmarkStart w:id="92" w:name="_Toc478990489"/>
      <w:bookmarkStart w:id="93" w:name="_Toc479768562"/>
      <w:bookmarkStart w:id="94" w:name="_Toc482353484"/>
      <w:bookmarkStart w:id="95" w:name="_Toc482357287"/>
      <w:bookmarkStart w:id="96" w:name="_Toc482634263"/>
      <w:bookmarkStart w:id="97" w:name="_Toc482626395"/>
      <w:bookmarkStart w:id="98" w:name="_Toc484092466"/>
      <w:bookmarkStart w:id="99" w:name="_Toc484172669"/>
      <w:bookmarkStart w:id="100" w:name="_Toc484183006"/>
      <w:bookmarkStart w:id="101" w:name="_Toc485126521"/>
      <w:r>
        <w:t>Scope of this Study</w:t>
      </w:r>
      <w:bookmarkEnd w:id="92"/>
      <w:bookmarkEnd w:id="93"/>
      <w:bookmarkEnd w:id="94"/>
      <w:bookmarkEnd w:id="95"/>
      <w:bookmarkEnd w:id="96"/>
      <w:bookmarkEnd w:id="97"/>
      <w:bookmarkEnd w:id="98"/>
      <w:bookmarkEnd w:id="99"/>
      <w:bookmarkEnd w:id="100"/>
      <w:bookmarkEnd w:id="101"/>
    </w:p>
    <w:p w14:paraId="72147F82" w14:textId="77777777" w:rsidR="00AD64D1" w:rsidRDefault="00E05E8F" w:rsidP="00AE0A46">
      <w:r w:rsidRPr="00AD64D1">
        <w:t xml:space="preserve">This study forecasts </w:t>
      </w:r>
      <w:r w:rsidR="00AD64D1">
        <w:t xml:space="preserve">the potential </w:t>
      </w:r>
      <w:r w:rsidRPr="00AD64D1">
        <w:t xml:space="preserve">energy savings from the energy efficiency programs and codes and standards across all customer sectors: Residential, Commercial, Agricultural, Industrial, Mining, and Street Lighting. </w:t>
      </w:r>
      <w:r w:rsidR="00AD64D1">
        <w:t xml:space="preserve">This study does not set IOU goals nor does it make a recommendation as to how to set goals. Rather it informs the CPUC’s goal setting process. </w:t>
      </w:r>
    </w:p>
    <w:p w14:paraId="176C8E3F" w14:textId="77777777" w:rsidR="00AD64D1" w:rsidRDefault="00AD64D1" w:rsidP="00AE0A46"/>
    <w:p w14:paraId="3A99CFA5" w14:textId="77777777" w:rsidR="00E05E8F" w:rsidRPr="00AD64D1" w:rsidRDefault="00E05E8F" w:rsidP="00AE0A46">
      <w:r w:rsidRPr="00AD64D1">
        <w:t>The study builds upon the 2015 PG Study as well as the AB802 TA. Notable updates to the 2018 PG study relative to the 2015 PG study include:</w:t>
      </w:r>
    </w:p>
    <w:p w14:paraId="39BFAEBB" w14:textId="77777777" w:rsidR="00AD64D1" w:rsidRPr="00AD64D1" w:rsidRDefault="00AD64D1" w:rsidP="004E4E36">
      <w:pPr>
        <w:pStyle w:val="ListParagraph"/>
        <w:numPr>
          <w:ilvl w:val="0"/>
          <w:numId w:val="38"/>
        </w:numPr>
      </w:pPr>
      <w:r w:rsidRPr="00AD64D1">
        <w:rPr>
          <w:b/>
        </w:rPr>
        <w:t>Fully accommodate calculation of Stranded Potential</w:t>
      </w:r>
      <w:r w:rsidRPr="00AD64D1">
        <w:t xml:space="preserve"> – Modeling algorithms pioneered in the AB802 TA were adapted and improved upon in the 2018 PG study to capture the impacts of AB802 and quantify Stranded Potential </w:t>
      </w:r>
    </w:p>
    <w:p w14:paraId="099F01D8" w14:textId="77777777" w:rsidR="00AD64D1" w:rsidRPr="00AD64D1" w:rsidRDefault="00AD64D1" w:rsidP="004E4E36">
      <w:pPr>
        <w:pStyle w:val="ListParagraph"/>
        <w:numPr>
          <w:ilvl w:val="0"/>
          <w:numId w:val="38"/>
        </w:numPr>
        <w:rPr>
          <w:b/>
        </w:rPr>
      </w:pPr>
      <w:r w:rsidRPr="00AD64D1">
        <w:rPr>
          <w:b/>
        </w:rPr>
        <w:t xml:space="preserve">Present Scenarios to inform Goal Setting </w:t>
      </w:r>
      <w:r w:rsidRPr="00AD64D1">
        <w:t xml:space="preserve">– The 2018 PG study integrated scenario analysis at a much earlier stage in the project allowing the CPUC to consider scenarios in the goal setting process. </w:t>
      </w:r>
    </w:p>
    <w:p w14:paraId="34168101" w14:textId="77777777" w:rsidR="00E05E8F" w:rsidRPr="00AD64D1" w:rsidRDefault="00E05E8F" w:rsidP="004E4E36">
      <w:pPr>
        <w:pStyle w:val="ListParagraph"/>
        <w:numPr>
          <w:ilvl w:val="0"/>
          <w:numId w:val="38"/>
        </w:numPr>
      </w:pPr>
      <w:r w:rsidRPr="00AD64D1">
        <w:rPr>
          <w:b/>
        </w:rPr>
        <w:t xml:space="preserve">Refresh </w:t>
      </w:r>
      <w:r w:rsidR="00AD64D1" w:rsidRPr="00AD64D1">
        <w:rPr>
          <w:b/>
        </w:rPr>
        <w:t xml:space="preserve">Residential and Commercial measure </w:t>
      </w:r>
      <w:r w:rsidRPr="00AD64D1">
        <w:rPr>
          <w:b/>
        </w:rPr>
        <w:t>list</w:t>
      </w:r>
      <w:r w:rsidRPr="00AD64D1">
        <w:t xml:space="preserve"> – The study conducted a holistic refresh of the rebated technologies to be included in the model. The previous measure list was not reference</w:t>
      </w:r>
      <w:r w:rsidR="009B381E">
        <w:t>d</w:t>
      </w:r>
      <w:r w:rsidRPr="00AD64D1">
        <w:t xml:space="preserve"> when creating the new measure list to a</w:t>
      </w:r>
      <w:r w:rsidR="00472284">
        <w:t>void any</w:t>
      </w:r>
      <w:r w:rsidRPr="00AD64D1">
        <w:t xml:space="preserve"> bias. Rather existing rebate </w:t>
      </w:r>
      <w:r w:rsidRPr="00AD64D1">
        <w:lastRenderedPageBreak/>
        <w:t xml:space="preserve">programs, stakeholder feedback, IOU emerging technology programs, and potential studies elsewhere around the nation were primarily considered in developing a new list. </w:t>
      </w:r>
      <w:r w:rsidR="00AD64D1" w:rsidRPr="00AD64D1">
        <w:t xml:space="preserve"> The new list was designed to better accommodate modeling of Stranded Potential</w:t>
      </w:r>
    </w:p>
    <w:p w14:paraId="5E5FCC6B" w14:textId="77777777" w:rsidR="00E05E8F" w:rsidRPr="00AD64D1" w:rsidRDefault="00AD64D1" w:rsidP="004E4E36">
      <w:pPr>
        <w:pStyle w:val="ListParagraph"/>
        <w:numPr>
          <w:ilvl w:val="0"/>
          <w:numId w:val="38"/>
        </w:numPr>
      </w:pPr>
      <w:r w:rsidRPr="00AD64D1">
        <w:rPr>
          <w:b/>
        </w:rPr>
        <w:t>Technology based model for Industrial/Agriculture sectors</w:t>
      </w:r>
      <w:r w:rsidRPr="00AD64D1">
        <w:t xml:space="preserve"> – The 2015 PG model forecasted savings in the Industrial and Agriculture sectors primarily using end-use energy efficiency supply curves derived from regional data available from the U.S. Department of Energy. The 201</w:t>
      </w:r>
      <w:r w:rsidR="00A27987">
        <w:t>8</w:t>
      </w:r>
      <w:r w:rsidRPr="00AD64D1">
        <w:t xml:space="preserve"> PG model dives deeper and forecasts savings at a representative technology level (rather than just at the end use level). </w:t>
      </w:r>
    </w:p>
    <w:p w14:paraId="1C320289" w14:textId="77777777" w:rsidR="00E05E8F" w:rsidRPr="003745E5" w:rsidRDefault="00E05E8F" w:rsidP="004E4E36">
      <w:pPr>
        <w:pStyle w:val="ListParagraph"/>
        <w:numPr>
          <w:ilvl w:val="0"/>
          <w:numId w:val="38"/>
        </w:numPr>
        <w:rPr>
          <w:b/>
        </w:rPr>
      </w:pPr>
      <w:r w:rsidRPr="00AD64D1">
        <w:rPr>
          <w:b/>
        </w:rPr>
        <w:t xml:space="preserve">Expand </w:t>
      </w:r>
      <w:r w:rsidR="007B0459">
        <w:rPr>
          <w:b/>
        </w:rPr>
        <w:t xml:space="preserve">Consideration of </w:t>
      </w:r>
      <w:r w:rsidRPr="00AD64D1">
        <w:rPr>
          <w:b/>
        </w:rPr>
        <w:t xml:space="preserve">Behavior, Operational, Retrocommissioning </w:t>
      </w:r>
      <w:r w:rsidR="00AD64D1" w:rsidRPr="00AD64D1">
        <w:rPr>
          <w:b/>
        </w:rPr>
        <w:t xml:space="preserve">(BROs) </w:t>
      </w:r>
      <w:r w:rsidRPr="00AD64D1">
        <w:rPr>
          <w:b/>
        </w:rPr>
        <w:t>Savings</w:t>
      </w:r>
      <w:r w:rsidR="00AD64D1" w:rsidRPr="00AD64D1">
        <w:rPr>
          <w:b/>
        </w:rPr>
        <w:t xml:space="preserve"> </w:t>
      </w:r>
      <w:r w:rsidR="00AD64D1" w:rsidRPr="00AD64D1">
        <w:t xml:space="preserve">– The model significantly expanded the consideration of BROs interventions in the residential and commercial sectors. Industrial Strategic Energy Management was also considered.  </w:t>
      </w:r>
    </w:p>
    <w:p w14:paraId="4597F732" w14:textId="77777777" w:rsidR="003745E5" w:rsidRPr="00AD64D1" w:rsidRDefault="003745E5" w:rsidP="004E4E36">
      <w:pPr>
        <w:pStyle w:val="ListParagraph"/>
        <w:numPr>
          <w:ilvl w:val="0"/>
          <w:numId w:val="38"/>
        </w:numPr>
        <w:rPr>
          <w:b/>
        </w:rPr>
      </w:pPr>
      <w:r>
        <w:rPr>
          <w:b/>
        </w:rPr>
        <w:t xml:space="preserve">Report Potential on a Net Basis </w:t>
      </w:r>
      <w:r w:rsidRPr="003745E5">
        <w:t>–</w:t>
      </w:r>
      <w:r>
        <w:t xml:space="preserve"> Past PG studies have reported potential on a gross basis for goal setting purposes. The CPUC is moving towards setting goals on a net basis</w:t>
      </w:r>
      <w:r w:rsidR="00BC78BB">
        <w:rPr>
          <w:rStyle w:val="FootnoteReference"/>
        </w:rPr>
        <w:footnoteReference w:id="15"/>
      </w:r>
      <w:r>
        <w:t xml:space="preserve">. Thus, all results are reported on a net basis. Because results are reported as net, and previous studies reported gross, direct comparison of results from this study to past studies may not be appropriate. </w:t>
      </w:r>
    </w:p>
    <w:p w14:paraId="71F30032" w14:textId="77777777" w:rsidR="00AE0A46" w:rsidRDefault="00AE0A46" w:rsidP="00A459FB">
      <w:pPr>
        <w:pStyle w:val="Heading2"/>
      </w:pPr>
      <w:bookmarkStart w:id="102" w:name="_Toc478990490"/>
      <w:bookmarkStart w:id="103" w:name="_Toc479768563"/>
      <w:bookmarkStart w:id="104" w:name="_Toc482353485"/>
      <w:bookmarkStart w:id="105" w:name="_Toc482357288"/>
      <w:bookmarkStart w:id="106" w:name="_Toc482634264"/>
      <w:bookmarkStart w:id="107" w:name="_Toc482626396"/>
      <w:bookmarkStart w:id="108" w:name="_Toc484092467"/>
      <w:bookmarkStart w:id="109" w:name="_Toc484172670"/>
      <w:bookmarkStart w:id="110" w:name="_Toc484183007"/>
      <w:bookmarkStart w:id="111" w:name="_Toc485126522"/>
      <w:r>
        <w:t>Stakeholder Engagement</w:t>
      </w:r>
      <w:bookmarkEnd w:id="102"/>
      <w:bookmarkEnd w:id="103"/>
      <w:bookmarkEnd w:id="104"/>
      <w:bookmarkEnd w:id="105"/>
      <w:bookmarkEnd w:id="106"/>
      <w:bookmarkEnd w:id="107"/>
      <w:bookmarkEnd w:id="108"/>
      <w:bookmarkEnd w:id="109"/>
      <w:bookmarkEnd w:id="110"/>
      <w:bookmarkEnd w:id="111"/>
    </w:p>
    <w:p w14:paraId="125B5F80" w14:textId="77777777" w:rsidR="009469FB" w:rsidRPr="00066D79" w:rsidRDefault="009469FB" w:rsidP="00AE0A46">
      <w:r w:rsidRPr="00066D79">
        <w:t>The Navigant team engaged with stakeholders through the Demand Analysis Working Group</w:t>
      </w:r>
      <w:r w:rsidRPr="00066D79">
        <w:rPr>
          <w:rStyle w:val="FootnoteReference"/>
        </w:rPr>
        <w:footnoteReference w:id="16"/>
      </w:r>
      <w:r w:rsidRPr="00066D79">
        <w:t xml:space="preserve"> throughout the process of this study to </w:t>
      </w:r>
      <w:r w:rsidR="00470BE3">
        <w:t xml:space="preserve">request data, </w:t>
      </w:r>
      <w:r w:rsidRPr="00066D79">
        <w:t xml:space="preserve">collect feedback on scope, methodology, and key assumptions. </w:t>
      </w:r>
      <w:r w:rsidR="00066D79">
        <w:fldChar w:fldCharType="begin"/>
      </w:r>
      <w:r w:rsidR="00066D79">
        <w:instrText xml:space="preserve"> REF _Ref481397709 \h </w:instrText>
      </w:r>
      <w:r w:rsidR="00066D79">
        <w:fldChar w:fldCharType="separate"/>
      </w:r>
      <w:r w:rsidR="00C407F4">
        <w:t xml:space="preserve">Table </w:t>
      </w:r>
      <w:r w:rsidR="00C407F4">
        <w:rPr>
          <w:noProof/>
        </w:rPr>
        <w:t>1</w:t>
      </w:r>
      <w:r w:rsidR="00C407F4">
        <w:noBreakHyphen/>
      </w:r>
      <w:r w:rsidR="00C407F4">
        <w:rPr>
          <w:noProof/>
        </w:rPr>
        <w:t>1</w:t>
      </w:r>
      <w:r w:rsidR="00066D79">
        <w:fldChar w:fldCharType="end"/>
      </w:r>
      <w:r w:rsidR="00066D79">
        <w:t xml:space="preserve"> below provides the schedule of meetings that were held. </w:t>
      </w:r>
      <w:r w:rsidR="00F41B45" w:rsidRPr="00066D79">
        <w:t>After each meeting, stakeholder</w:t>
      </w:r>
      <w:r w:rsidR="000C61DF" w:rsidRPr="00066D79">
        <w:t>s</w:t>
      </w:r>
      <w:r w:rsidR="00F41B45" w:rsidRPr="00066D79">
        <w:t xml:space="preserve"> </w:t>
      </w:r>
      <w:r w:rsidR="000C61DF" w:rsidRPr="00066D79">
        <w:t>were</w:t>
      </w:r>
      <w:r w:rsidR="00F41B45" w:rsidRPr="00066D79">
        <w:t xml:space="preserve"> pr</w:t>
      </w:r>
      <w:r w:rsidR="000C61DF" w:rsidRPr="00066D79">
        <w:t>ovided a</w:t>
      </w:r>
      <w:r w:rsidR="00F41B45" w:rsidRPr="00066D79">
        <w:t xml:space="preserve"> period in which they could submit informal comments to the Navigant team and CPUC. </w:t>
      </w:r>
      <w:r w:rsidR="00066D79">
        <w:t xml:space="preserve">The team reviewed all comments received and incorporated appropriate edits/changes in the study thus. </w:t>
      </w:r>
    </w:p>
    <w:p w14:paraId="566B632D" w14:textId="77777777" w:rsidR="000C61DF" w:rsidRDefault="000C61DF" w:rsidP="006D0ED2">
      <w:pPr>
        <w:tabs>
          <w:tab w:val="left" w:pos="3780"/>
        </w:tabs>
        <w:rPr>
          <w:highlight w:val="yellow"/>
        </w:rPr>
      </w:pPr>
    </w:p>
    <w:p w14:paraId="70C89F98" w14:textId="77777777" w:rsidR="009469FB" w:rsidRDefault="000C61DF" w:rsidP="006D0ED2">
      <w:pPr>
        <w:pStyle w:val="Caption"/>
        <w:tabs>
          <w:tab w:val="left" w:pos="3780"/>
        </w:tabs>
        <w:rPr>
          <w:highlight w:val="yellow"/>
        </w:rPr>
      </w:pPr>
      <w:bookmarkStart w:id="112" w:name="_Ref481397709"/>
      <w:bookmarkStart w:id="113" w:name="_Toc482634201"/>
      <w:bookmarkStart w:id="114" w:name="_Toc484436940"/>
      <w:bookmarkStart w:id="115" w:name="_Toc485125650"/>
      <w:r>
        <w:t xml:space="preserve">Table </w:t>
      </w:r>
      <w:r w:rsidR="00272F76">
        <w:fldChar w:fldCharType="begin"/>
      </w:r>
      <w:r w:rsidR="00272F76">
        <w:instrText xml:space="preserve"> STYLEREF 1 \s </w:instrText>
      </w:r>
      <w:r w:rsidR="00272F76">
        <w:fldChar w:fldCharType="separate"/>
      </w:r>
      <w:r w:rsidR="00C407F4">
        <w:rPr>
          <w:noProof/>
        </w:rPr>
        <w:t>1</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1</w:t>
      </w:r>
      <w:r w:rsidR="00272F76">
        <w:rPr>
          <w:noProof/>
        </w:rPr>
        <w:fldChar w:fldCharType="end"/>
      </w:r>
      <w:bookmarkEnd w:id="112"/>
      <w:r>
        <w:t>: Stakeholder Meeting Schedule</w:t>
      </w:r>
      <w:bookmarkEnd w:id="113"/>
      <w:bookmarkEnd w:id="114"/>
      <w:bookmarkEnd w:id="115"/>
    </w:p>
    <w:tbl>
      <w:tblPr>
        <w:tblStyle w:val="EnergyTable1"/>
        <w:tblW w:w="0" w:type="auto"/>
        <w:tblLook w:val="04A0" w:firstRow="1" w:lastRow="0" w:firstColumn="1" w:lastColumn="0" w:noHBand="0" w:noVBand="1"/>
      </w:tblPr>
      <w:tblGrid>
        <w:gridCol w:w="2070"/>
        <w:gridCol w:w="4230"/>
      </w:tblGrid>
      <w:tr w:rsidR="009469FB" w14:paraId="50D103D0" w14:textId="77777777" w:rsidTr="0011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B9F79C9" w14:textId="77777777" w:rsidR="009469FB" w:rsidRPr="00F41B45" w:rsidRDefault="009469FB" w:rsidP="00AE0A46">
            <w:r w:rsidRPr="00F41B45">
              <w:t>Date</w:t>
            </w:r>
          </w:p>
        </w:tc>
        <w:tc>
          <w:tcPr>
            <w:tcW w:w="4230" w:type="dxa"/>
          </w:tcPr>
          <w:p w14:paraId="100FFFB2" w14:textId="77777777" w:rsidR="009469FB" w:rsidRPr="00F41B45" w:rsidRDefault="000C61DF" w:rsidP="000C61DF">
            <w:pPr>
              <w:cnfStyle w:val="100000000000" w:firstRow="1" w:lastRow="0" w:firstColumn="0" w:lastColumn="0" w:oddVBand="0" w:evenVBand="0" w:oddHBand="0" w:evenHBand="0" w:firstRowFirstColumn="0" w:firstRowLastColumn="0" w:lastRowFirstColumn="0" w:lastRowLastColumn="0"/>
            </w:pPr>
            <w:r>
              <w:t>Topics of Discussion</w:t>
            </w:r>
          </w:p>
        </w:tc>
      </w:tr>
      <w:tr w:rsidR="009469FB" w14:paraId="19113D48"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D8C2C95" w14:textId="77777777" w:rsidR="009469FB" w:rsidRPr="00F41B45" w:rsidRDefault="00F41B45" w:rsidP="00AE0A46">
            <w:r w:rsidRPr="00F41B45">
              <w:t>July 19, 2016</w:t>
            </w:r>
          </w:p>
        </w:tc>
        <w:tc>
          <w:tcPr>
            <w:tcW w:w="4230" w:type="dxa"/>
          </w:tcPr>
          <w:p w14:paraId="05975129" w14:textId="77777777" w:rsidR="009469FB" w:rsidRPr="00F41B45" w:rsidRDefault="00F41B45" w:rsidP="00AE0A46">
            <w:pPr>
              <w:cnfStyle w:val="000000100000" w:firstRow="0" w:lastRow="0" w:firstColumn="0" w:lastColumn="0" w:oddVBand="0" w:evenVBand="0" w:oddHBand="1" w:evenHBand="0" w:firstRowFirstColumn="0" w:firstRowLastColumn="0" w:lastRowFirstColumn="0" w:lastRowLastColumn="0"/>
            </w:pPr>
            <w:r w:rsidRPr="00F41B45">
              <w:t>Overview of the scope of the 2018 Potential and Goals Study</w:t>
            </w:r>
          </w:p>
        </w:tc>
      </w:tr>
      <w:tr w:rsidR="009469FB" w14:paraId="0ED0F88F"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568AD27" w14:textId="77777777" w:rsidR="009469FB" w:rsidRPr="00F41B45" w:rsidRDefault="00F41B45" w:rsidP="00AE0A46">
            <w:r w:rsidRPr="00F41B45">
              <w:t>August 29, 2016</w:t>
            </w:r>
          </w:p>
        </w:tc>
        <w:tc>
          <w:tcPr>
            <w:tcW w:w="4230" w:type="dxa"/>
          </w:tcPr>
          <w:p w14:paraId="5BC77B45" w14:textId="77777777" w:rsidR="009469FB" w:rsidRPr="00F41B45" w:rsidRDefault="00F41B45" w:rsidP="00AE0A46">
            <w:pPr>
              <w:cnfStyle w:val="000000010000" w:firstRow="0" w:lastRow="0" w:firstColumn="0" w:lastColumn="0" w:oddVBand="0" w:evenVBand="0" w:oddHBand="0" w:evenHBand="1" w:firstRowFirstColumn="0" w:firstRowLastColumn="0" w:lastRowFirstColumn="0" w:lastRowLastColumn="0"/>
            </w:pPr>
            <w:r w:rsidRPr="00F41B45">
              <w:t>Residential, Commercial and AIMS Measure Selection</w:t>
            </w:r>
          </w:p>
        </w:tc>
      </w:tr>
      <w:tr w:rsidR="009469FB" w14:paraId="7879EDD7"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1DC4E69" w14:textId="77777777" w:rsidR="009469FB" w:rsidRPr="00F41B45" w:rsidRDefault="00F41B45" w:rsidP="00AE0A46">
            <w:r w:rsidRPr="00F41B45">
              <w:t>November 4, 2016</w:t>
            </w:r>
          </w:p>
        </w:tc>
        <w:tc>
          <w:tcPr>
            <w:tcW w:w="4230" w:type="dxa"/>
          </w:tcPr>
          <w:p w14:paraId="7BB8B80E" w14:textId="77777777" w:rsidR="009469FB" w:rsidRPr="00F41B45" w:rsidRDefault="00F41B45" w:rsidP="00AE0A46">
            <w:pPr>
              <w:cnfStyle w:val="000000100000" w:firstRow="0" w:lastRow="0" w:firstColumn="0" w:lastColumn="0" w:oddVBand="0" w:evenVBand="0" w:oddHBand="1" w:evenHBand="0" w:firstRowFirstColumn="0" w:firstRowLastColumn="0" w:lastRowFirstColumn="0" w:lastRowLastColumn="0"/>
            </w:pPr>
            <w:r w:rsidRPr="00F41B45">
              <w:t>BROs intervention selection, Whole Building characterization methodology, and avoiding double counting</w:t>
            </w:r>
          </w:p>
        </w:tc>
      </w:tr>
      <w:tr w:rsidR="009469FB" w14:paraId="73CC3518"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8A65281" w14:textId="77777777" w:rsidR="009469FB" w:rsidRPr="00F41B45" w:rsidRDefault="00F41B45" w:rsidP="00AE0A46">
            <w:r w:rsidRPr="00F41B45">
              <w:t>December 9, 2016</w:t>
            </w:r>
          </w:p>
        </w:tc>
        <w:tc>
          <w:tcPr>
            <w:tcW w:w="4230" w:type="dxa"/>
          </w:tcPr>
          <w:p w14:paraId="1FB81361" w14:textId="77777777" w:rsidR="009469FB" w:rsidRPr="00F41B45" w:rsidRDefault="00F41B45" w:rsidP="00AE0A46">
            <w:pPr>
              <w:cnfStyle w:val="000000010000" w:firstRow="0" w:lastRow="0" w:firstColumn="0" w:lastColumn="0" w:oddVBand="0" w:evenVBand="0" w:oddHBand="0" w:evenHBand="1" w:firstRowFirstColumn="0" w:firstRowLastColumn="0" w:lastRowFirstColumn="0" w:lastRowLastColumn="0"/>
            </w:pPr>
            <w:r w:rsidRPr="00F41B45">
              <w:t xml:space="preserve">(Webinar) AIMS Methodology </w:t>
            </w:r>
          </w:p>
        </w:tc>
      </w:tr>
      <w:tr w:rsidR="009469FB" w14:paraId="16145509"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1DD725" w14:textId="77777777" w:rsidR="009469FB" w:rsidRPr="00F41B45" w:rsidRDefault="00F41B45" w:rsidP="00AE0A46">
            <w:r w:rsidRPr="00F41B45">
              <w:t>December 12, 2016</w:t>
            </w:r>
          </w:p>
        </w:tc>
        <w:tc>
          <w:tcPr>
            <w:tcW w:w="4230" w:type="dxa"/>
          </w:tcPr>
          <w:p w14:paraId="1FD3A958" w14:textId="77777777" w:rsidR="009469FB" w:rsidRPr="00F41B45" w:rsidRDefault="00F41B45" w:rsidP="00AE0A46">
            <w:pPr>
              <w:cnfStyle w:val="000000100000" w:firstRow="0" w:lastRow="0" w:firstColumn="0" w:lastColumn="0" w:oddVBand="0" w:evenVBand="0" w:oddHBand="1" w:evenHBand="0" w:firstRowFirstColumn="0" w:firstRowLastColumn="0" w:lastRowFirstColumn="0" w:lastRowLastColumn="0"/>
            </w:pPr>
            <w:r w:rsidRPr="00F41B45">
              <w:t>(Webinar) Calibration, Scenarios, and Cumulative Savings</w:t>
            </w:r>
          </w:p>
        </w:tc>
      </w:tr>
      <w:tr w:rsidR="00660DFE" w14:paraId="553657E4"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50EF95C" w14:textId="77777777" w:rsidR="00660DFE" w:rsidRDefault="00660DFE" w:rsidP="00AE0A46">
            <w:r>
              <w:t>April 20, 2017</w:t>
            </w:r>
          </w:p>
        </w:tc>
        <w:tc>
          <w:tcPr>
            <w:tcW w:w="4230" w:type="dxa"/>
          </w:tcPr>
          <w:p w14:paraId="4A811603" w14:textId="77777777" w:rsidR="00660DFE" w:rsidRDefault="00660DFE" w:rsidP="00AE0A46">
            <w:pPr>
              <w:cnfStyle w:val="000000010000" w:firstRow="0" w:lastRow="0" w:firstColumn="0" w:lastColumn="0" w:oddVBand="0" w:evenVBand="0" w:oddHBand="0" w:evenHBand="1" w:firstRowFirstColumn="0" w:firstRowLastColumn="0" w:lastRowFirstColumn="0" w:lastRowLastColumn="0"/>
            </w:pPr>
            <w:r>
              <w:t>(Webinar) BROs Draft Results</w:t>
            </w:r>
          </w:p>
        </w:tc>
      </w:tr>
      <w:tr w:rsidR="00660DFE" w14:paraId="0F82D555"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D6A7C3" w14:textId="77777777" w:rsidR="00660DFE" w:rsidRPr="00F41B45" w:rsidRDefault="00660DFE" w:rsidP="00AE0A46">
            <w:r>
              <w:lastRenderedPageBreak/>
              <w:t>April 28, 2017</w:t>
            </w:r>
          </w:p>
        </w:tc>
        <w:tc>
          <w:tcPr>
            <w:tcW w:w="4230" w:type="dxa"/>
          </w:tcPr>
          <w:p w14:paraId="65EEA6D3" w14:textId="77777777" w:rsidR="00660DFE" w:rsidRPr="00F41B45" w:rsidRDefault="00660DFE" w:rsidP="00AE0A46">
            <w:pPr>
              <w:cnfStyle w:val="000000100000" w:firstRow="0" w:lastRow="0" w:firstColumn="0" w:lastColumn="0" w:oddVBand="0" w:evenVBand="0" w:oddHBand="1" w:evenHBand="0" w:firstRowFirstColumn="0" w:firstRowLastColumn="0" w:lastRowFirstColumn="0" w:lastRowLastColumn="0"/>
            </w:pPr>
            <w:r>
              <w:t>(Webinar) Low Income Methodology/Data</w:t>
            </w:r>
          </w:p>
        </w:tc>
      </w:tr>
    </w:tbl>
    <w:p w14:paraId="293EC7D7" w14:textId="77777777" w:rsidR="009469FB" w:rsidRDefault="009469FB" w:rsidP="00AE0A46">
      <w:pPr>
        <w:rPr>
          <w:highlight w:val="yellow"/>
        </w:rPr>
      </w:pPr>
    </w:p>
    <w:p w14:paraId="68855227" w14:textId="77777777" w:rsidR="00C6321F" w:rsidRPr="00DA7405" w:rsidRDefault="00A459FB" w:rsidP="00A459FB">
      <w:pPr>
        <w:pStyle w:val="Heading2"/>
      </w:pPr>
      <w:bookmarkStart w:id="116" w:name="_Toc478990491"/>
      <w:bookmarkStart w:id="117" w:name="_Toc479768564"/>
      <w:bookmarkStart w:id="118" w:name="_Toc482353486"/>
      <w:bookmarkStart w:id="119" w:name="_Toc482357289"/>
      <w:bookmarkStart w:id="120" w:name="_Toc482634265"/>
      <w:bookmarkStart w:id="121" w:name="_Toc482626397"/>
      <w:bookmarkStart w:id="122" w:name="_Toc484092468"/>
      <w:bookmarkStart w:id="123" w:name="_Toc484172671"/>
      <w:bookmarkStart w:id="124" w:name="_Toc484183008"/>
      <w:bookmarkStart w:id="125" w:name="_Toc485126523"/>
      <w:r>
        <w:t>Content of this Report</w:t>
      </w:r>
      <w:bookmarkEnd w:id="116"/>
      <w:bookmarkEnd w:id="117"/>
      <w:bookmarkEnd w:id="118"/>
      <w:bookmarkEnd w:id="119"/>
      <w:bookmarkEnd w:id="120"/>
      <w:bookmarkEnd w:id="121"/>
      <w:bookmarkEnd w:id="122"/>
      <w:bookmarkEnd w:id="123"/>
      <w:bookmarkEnd w:id="124"/>
      <w:bookmarkEnd w:id="125"/>
    </w:p>
    <w:p w14:paraId="5DAD9435" w14:textId="361A8BC5" w:rsidR="00A459FB" w:rsidRDefault="00A459FB" w:rsidP="00A459FB">
      <w:r>
        <w:t>This report documents the data relied upon by and the results of the 201</w:t>
      </w:r>
      <w:r w:rsidR="00F83E36">
        <w:t>8</w:t>
      </w:r>
      <w:r>
        <w:t xml:space="preserve"> Study.</w:t>
      </w:r>
    </w:p>
    <w:p w14:paraId="671BA0A0" w14:textId="77777777" w:rsidR="00A459FB" w:rsidRPr="00D9432B" w:rsidRDefault="00A459FB" w:rsidP="004E4E36">
      <w:pPr>
        <w:pStyle w:val="ListParagraph"/>
        <w:numPr>
          <w:ilvl w:val="0"/>
          <w:numId w:val="11"/>
        </w:numPr>
      </w:pPr>
      <w:r w:rsidRPr="00D9432B">
        <w:rPr>
          <w:b/>
        </w:rPr>
        <w:t>Section 2</w:t>
      </w:r>
      <w:r w:rsidRPr="00D9432B">
        <w:t xml:space="preserve"> provides an over</w:t>
      </w:r>
      <w:r w:rsidR="005F3B8A" w:rsidRPr="00D9432B">
        <w:t>view of the study’s methodology</w:t>
      </w:r>
      <w:r w:rsidR="00D9432B" w:rsidRPr="00D9432B">
        <w:t xml:space="preserve"> for each key area of the study.</w:t>
      </w:r>
    </w:p>
    <w:p w14:paraId="29EDFF21" w14:textId="77777777" w:rsidR="00A459FB" w:rsidRPr="00D9432B" w:rsidRDefault="00A459FB" w:rsidP="004E4E36">
      <w:pPr>
        <w:pStyle w:val="ListParagraph"/>
        <w:numPr>
          <w:ilvl w:val="0"/>
          <w:numId w:val="11"/>
        </w:numPr>
      </w:pPr>
      <w:r w:rsidRPr="00D9432B">
        <w:rPr>
          <w:b/>
        </w:rPr>
        <w:t xml:space="preserve">Section 3 </w:t>
      </w:r>
      <w:r w:rsidR="00D9432B" w:rsidRPr="00D9432B">
        <w:t xml:space="preserve">provides details on the input data used </w:t>
      </w:r>
      <w:r w:rsidRPr="00D9432B">
        <w:t xml:space="preserve">for each key area of the study. </w:t>
      </w:r>
      <w:r w:rsidR="00D9432B" w:rsidRPr="00D9432B">
        <w:t>It</w:t>
      </w:r>
      <w:r w:rsidRPr="00D9432B">
        <w:t xml:space="preserve"> describes the data sources and process taken to incorporate the data into the PG Model.</w:t>
      </w:r>
    </w:p>
    <w:p w14:paraId="2A616922" w14:textId="1CD270F4" w:rsidR="00A459FB" w:rsidRDefault="00A459FB" w:rsidP="004E4E36">
      <w:pPr>
        <w:pStyle w:val="ListParagraph"/>
        <w:numPr>
          <w:ilvl w:val="0"/>
          <w:numId w:val="11"/>
        </w:numPr>
      </w:pPr>
      <w:r w:rsidRPr="00D9432B">
        <w:rPr>
          <w:b/>
        </w:rPr>
        <w:t>Section 4</w:t>
      </w:r>
      <w:r w:rsidRPr="00D9432B">
        <w:t xml:space="preserve"> provides the </w:t>
      </w:r>
      <w:r w:rsidR="00BB59F5">
        <w:t>2018</w:t>
      </w:r>
      <w:r w:rsidR="00D9432B" w:rsidRPr="00D9432B">
        <w:t xml:space="preserve"> </w:t>
      </w:r>
      <w:r w:rsidRPr="00D9432B">
        <w:t>PG Model results.</w:t>
      </w:r>
    </w:p>
    <w:p w14:paraId="506F8B57" w14:textId="07A644B1" w:rsidR="001F730E" w:rsidRPr="00D9432B" w:rsidRDefault="001F730E" w:rsidP="001F730E">
      <w:pPr>
        <w:pStyle w:val="ListParagraph"/>
        <w:numPr>
          <w:ilvl w:val="0"/>
          <w:numId w:val="11"/>
        </w:numPr>
      </w:pPr>
      <w:r w:rsidRPr="00D9432B">
        <w:rPr>
          <w:b/>
        </w:rPr>
        <w:t xml:space="preserve">Section </w:t>
      </w:r>
      <w:r>
        <w:rPr>
          <w:b/>
        </w:rPr>
        <w:t>5</w:t>
      </w:r>
      <w:r w:rsidRPr="00D9432B">
        <w:t xml:space="preserve"> </w:t>
      </w:r>
      <w:r>
        <w:t>compares the 2018</w:t>
      </w:r>
      <w:r w:rsidRPr="00D9432B">
        <w:t xml:space="preserve"> </w:t>
      </w:r>
      <w:r>
        <w:t>PG Model results to the 2015 PG Study</w:t>
      </w:r>
      <w:r w:rsidR="00F83E36">
        <w:t>.</w:t>
      </w:r>
    </w:p>
    <w:p w14:paraId="760B1683" w14:textId="77777777" w:rsidR="00A459FB" w:rsidRPr="00D9432B" w:rsidRDefault="00A459FB" w:rsidP="004E4E36">
      <w:pPr>
        <w:pStyle w:val="ListParagraph"/>
        <w:numPr>
          <w:ilvl w:val="0"/>
          <w:numId w:val="11"/>
        </w:numPr>
      </w:pPr>
      <w:r w:rsidRPr="00D9432B">
        <w:rPr>
          <w:b/>
        </w:rPr>
        <w:t>Appendices</w:t>
      </w:r>
      <w:r w:rsidRPr="00D9432B">
        <w:t xml:space="preserve"> provide additional details for key topic areas.</w:t>
      </w:r>
    </w:p>
    <w:p w14:paraId="226BA5A4" w14:textId="77777777" w:rsidR="00A459FB" w:rsidRPr="00142399" w:rsidRDefault="00A459FB" w:rsidP="00A459FB">
      <w:pPr>
        <w:rPr>
          <w:highlight w:val="yellow"/>
        </w:rPr>
      </w:pPr>
    </w:p>
    <w:p w14:paraId="16BE3669" w14:textId="77777777" w:rsidR="00A459FB" w:rsidRPr="00974FAC" w:rsidRDefault="00A459FB" w:rsidP="00A459FB">
      <w:r w:rsidRPr="00974FAC">
        <w:t>Aside from this report, the following are available to the public:</w:t>
      </w:r>
    </w:p>
    <w:p w14:paraId="1A3A059B" w14:textId="77777777" w:rsidR="00A459FB" w:rsidRDefault="00A459FB" w:rsidP="004E4E36">
      <w:pPr>
        <w:pStyle w:val="ListParagraph"/>
        <w:numPr>
          <w:ilvl w:val="0"/>
          <w:numId w:val="12"/>
        </w:numPr>
      </w:pPr>
      <w:r w:rsidRPr="00974FAC">
        <w:t>201</w:t>
      </w:r>
      <w:r w:rsidR="00472284">
        <w:t>8</w:t>
      </w:r>
      <w:r w:rsidRPr="00974FAC">
        <w:t xml:space="preserve"> PG Model File – an Analytica based file that contains the PG model used to create the results of this study;</w:t>
      </w:r>
    </w:p>
    <w:p w14:paraId="3EF5CC46" w14:textId="77777777" w:rsidR="00472284" w:rsidRPr="00974FAC" w:rsidRDefault="00472284" w:rsidP="004E4E36">
      <w:pPr>
        <w:pStyle w:val="ListParagraph"/>
        <w:numPr>
          <w:ilvl w:val="0"/>
          <w:numId w:val="12"/>
        </w:numPr>
      </w:pPr>
      <w:r w:rsidRPr="00974FAC">
        <w:t>201</w:t>
      </w:r>
      <w:r>
        <w:t>8</w:t>
      </w:r>
      <w:r w:rsidRPr="00974FAC">
        <w:t xml:space="preserve"> PG </w:t>
      </w:r>
      <w:r>
        <w:t xml:space="preserve">BROs Model File – a spreadsheet </w:t>
      </w:r>
      <w:r w:rsidRPr="00974FAC">
        <w:t xml:space="preserve">based file that contains the </w:t>
      </w:r>
      <w:r>
        <w:t>model used to create the BROs results for this study;</w:t>
      </w:r>
    </w:p>
    <w:p w14:paraId="76AA5F69" w14:textId="174D40E9" w:rsidR="00A459FB" w:rsidRPr="00974FAC" w:rsidRDefault="00A459FB" w:rsidP="004E4E36">
      <w:pPr>
        <w:pStyle w:val="ListParagraph"/>
        <w:numPr>
          <w:ilvl w:val="0"/>
          <w:numId w:val="12"/>
        </w:numPr>
      </w:pPr>
      <w:r w:rsidRPr="00974FAC">
        <w:t>201</w:t>
      </w:r>
      <w:r w:rsidR="00472284">
        <w:t>8</w:t>
      </w:r>
      <w:r w:rsidR="00D9432B" w:rsidRPr="00974FAC">
        <w:t xml:space="preserve"> </w:t>
      </w:r>
      <w:r w:rsidRPr="00974FAC">
        <w:t xml:space="preserve">PG Results Viewer – a spreadsheet viewer that contains detailed results at </w:t>
      </w:r>
      <w:r w:rsidR="001F730E">
        <w:t>the end use level</w:t>
      </w:r>
      <w:r w:rsidRPr="00974FAC">
        <w:t>; and</w:t>
      </w:r>
    </w:p>
    <w:p w14:paraId="011B3204" w14:textId="77777777" w:rsidR="00A459FB" w:rsidRPr="00974FAC" w:rsidRDefault="00A459FB" w:rsidP="004E4E36">
      <w:pPr>
        <w:pStyle w:val="ListParagraph"/>
        <w:numPr>
          <w:ilvl w:val="0"/>
          <w:numId w:val="12"/>
        </w:numPr>
      </w:pPr>
      <w:r w:rsidRPr="00974FAC">
        <w:t>201</w:t>
      </w:r>
      <w:r w:rsidR="00472284">
        <w:t>8</w:t>
      </w:r>
      <w:r w:rsidRPr="00974FAC">
        <w:t xml:space="preserve"> PG MICS – a spreadsheet version of the Measure Input Characterization System documenting all final values for all </w:t>
      </w:r>
      <w:r w:rsidR="005F3B8A" w:rsidRPr="00974FAC">
        <w:t xml:space="preserve">technologies forecasted in the </w:t>
      </w:r>
      <w:r w:rsidRPr="00974FAC">
        <w:t>model.</w:t>
      </w:r>
    </w:p>
    <w:p w14:paraId="0B5A621A" w14:textId="77777777" w:rsidR="00A459FB" w:rsidRPr="00974FAC" w:rsidRDefault="00A459FB" w:rsidP="00A459FB"/>
    <w:p w14:paraId="25723E17" w14:textId="77777777" w:rsidR="00772C76" w:rsidRDefault="00A459FB" w:rsidP="00D30C69">
      <w:pPr>
        <w:sectPr w:rsidR="00772C76" w:rsidSect="00772C76">
          <w:pgSz w:w="12240" w:h="15840" w:code="1"/>
          <w:pgMar w:top="1440" w:right="1440" w:bottom="1440" w:left="1440" w:header="720" w:footer="720" w:gutter="0"/>
          <w:pgNumType w:start="1"/>
          <w:cols w:space="720"/>
          <w:docGrid w:linePitch="360"/>
        </w:sectPr>
      </w:pPr>
      <w:r w:rsidRPr="00974FAC">
        <w:t>These additional documents and files can be found on</w:t>
      </w:r>
      <w:r w:rsidR="00CD1669" w:rsidRPr="00974FAC">
        <w:t xml:space="preserve"> the CPUC’s website.</w:t>
      </w:r>
      <w:r w:rsidR="00CD1669" w:rsidRPr="00974FAC">
        <w:rPr>
          <w:rStyle w:val="FootnoteReference"/>
        </w:rPr>
        <w:footnoteReference w:id="17"/>
      </w:r>
    </w:p>
    <w:p w14:paraId="2AC4B1A4" w14:textId="77777777" w:rsidR="00EB4B79" w:rsidRDefault="00CD1669" w:rsidP="007E62BF">
      <w:pPr>
        <w:pStyle w:val="Heading1"/>
      </w:pPr>
      <w:bookmarkStart w:id="126" w:name="_Toc478990492"/>
      <w:bookmarkStart w:id="127" w:name="_Toc479768565"/>
      <w:bookmarkStart w:id="128" w:name="_Toc482353487"/>
      <w:bookmarkStart w:id="129" w:name="_Toc482357290"/>
      <w:bookmarkStart w:id="130" w:name="_Toc482634266"/>
      <w:bookmarkStart w:id="131" w:name="_Toc482626398"/>
      <w:bookmarkStart w:id="132" w:name="_Toc484092469"/>
      <w:bookmarkStart w:id="133" w:name="_Toc484172672"/>
      <w:bookmarkStart w:id="134" w:name="_Toc484183009"/>
      <w:bookmarkStart w:id="135" w:name="_Toc485126524"/>
      <w:r>
        <w:lastRenderedPageBreak/>
        <w:t>Study Methodology</w:t>
      </w:r>
      <w:bookmarkEnd w:id="126"/>
      <w:bookmarkEnd w:id="127"/>
      <w:bookmarkEnd w:id="128"/>
      <w:bookmarkEnd w:id="129"/>
      <w:bookmarkEnd w:id="130"/>
      <w:bookmarkEnd w:id="131"/>
      <w:bookmarkEnd w:id="132"/>
      <w:bookmarkEnd w:id="133"/>
      <w:bookmarkEnd w:id="134"/>
      <w:bookmarkEnd w:id="135"/>
    </w:p>
    <w:p w14:paraId="56DFA207" w14:textId="77777777" w:rsidR="003C129D" w:rsidRDefault="003C129D" w:rsidP="008820EA">
      <w:r w:rsidRPr="00CD1669">
        <w:t xml:space="preserve">The primary purpose of the </w:t>
      </w:r>
      <w:r w:rsidR="00BB59F5">
        <w:t>2018</w:t>
      </w:r>
      <w:r w:rsidRPr="00CD1669">
        <w:t xml:space="preserve"> Study is to provide the CPUC with information and analytical tools to engage in goal setting for the IOU energy efficiency portfolio</w:t>
      </w:r>
      <w:r>
        <w:t>s</w:t>
      </w:r>
      <w:r w:rsidRPr="00CD1669">
        <w:t xml:space="preserve">. In addition, this study informs forecasts used for procurement planning. The model itself does not establish any regulatory requirements. </w:t>
      </w:r>
    </w:p>
    <w:p w14:paraId="5C57C6A3" w14:textId="77777777" w:rsidR="003C129D" w:rsidRDefault="003C129D" w:rsidP="008820EA"/>
    <w:p w14:paraId="2E6C4683" w14:textId="77777777" w:rsidR="00CD1669" w:rsidRPr="00CD1669" w:rsidRDefault="00CD1669" w:rsidP="00CD1669">
      <w:r>
        <w:t xml:space="preserve">The </w:t>
      </w:r>
      <w:r w:rsidR="00BB59F5">
        <w:t>2018</w:t>
      </w:r>
      <w:r w:rsidRPr="00CD1669">
        <w:t xml:space="preserve"> model forecasts potential energy savings from a variety of sources within six distinct sectors: Residential, Commercial, Agricultural, Industrial, Mining, and Street Lighting. </w:t>
      </w:r>
      <w:r w:rsidR="000A3493">
        <w:t xml:space="preserve">These </w:t>
      </w:r>
      <w:r w:rsidR="00950406">
        <w:t>sectors</w:t>
      </w:r>
      <w:r w:rsidR="000A3493">
        <w:t xml:space="preserve"> are also used in the CEC’s IEPR forecast. </w:t>
      </w:r>
      <w:r w:rsidRPr="00CD1669">
        <w:t xml:space="preserve">Within some or </w:t>
      </w:r>
      <w:r w:rsidR="00950406" w:rsidRPr="00CD1669">
        <w:t>all</w:t>
      </w:r>
      <w:r w:rsidRPr="00CD1669">
        <w:t xml:space="preserve"> the sectors, sources of savings include:</w:t>
      </w:r>
    </w:p>
    <w:p w14:paraId="0AD9EDA1" w14:textId="77777777" w:rsidR="00CD1669" w:rsidRPr="00CD1669" w:rsidRDefault="0059286E" w:rsidP="004E4E36">
      <w:pPr>
        <w:pStyle w:val="ListParagraph"/>
        <w:numPr>
          <w:ilvl w:val="0"/>
          <w:numId w:val="13"/>
        </w:numPr>
      </w:pPr>
      <w:r w:rsidRPr="00950406">
        <w:rPr>
          <w:b/>
        </w:rPr>
        <w:t xml:space="preserve">Rebated </w:t>
      </w:r>
      <w:r w:rsidR="00BF797A" w:rsidRPr="00950406">
        <w:rPr>
          <w:b/>
        </w:rPr>
        <w:t>Technologies</w:t>
      </w:r>
      <w:r w:rsidRPr="00950406">
        <w:rPr>
          <w:b/>
        </w:rPr>
        <w:t>:</w:t>
      </w:r>
      <w:r>
        <w:t xml:space="preserve"> </w:t>
      </w:r>
      <w:r w:rsidR="00BF797A">
        <w:t xml:space="preserve">Discrete mass market technologies </w:t>
      </w:r>
      <w:r w:rsidR="00796A37">
        <w:t xml:space="preserve">that are incentivized and provided to IOU customers in the </w:t>
      </w:r>
      <w:r w:rsidR="00CD1669" w:rsidRPr="00CD1669">
        <w:t xml:space="preserve">Residential, Commercial, </w:t>
      </w:r>
      <w:r w:rsidR="00796A37">
        <w:t xml:space="preserve">Industrial, Agricultural, Mining, and </w:t>
      </w:r>
      <w:r w:rsidR="00CD1669" w:rsidRPr="00CD1669">
        <w:t>Street-lighting sectors. These sectors are modeled using individual measures for specific applications.</w:t>
      </w:r>
    </w:p>
    <w:p w14:paraId="657DEB63" w14:textId="77777777" w:rsidR="00BF797A" w:rsidRDefault="00BF797A" w:rsidP="004E4E36">
      <w:pPr>
        <w:pStyle w:val="ListParagraph"/>
        <w:numPr>
          <w:ilvl w:val="0"/>
          <w:numId w:val="13"/>
        </w:numPr>
      </w:pPr>
      <w:r w:rsidRPr="00950406">
        <w:rPr>
          <w:b/>
        </w:rPr>
        <w:t>Whole Building Approaches:</w:t>
      </w:r>
      <w:r w:rsidRPr="00CD1669">
        <w:t xml:space="preserve"> In the case of whole-building initiatives, the “measure” is characterized for the building retrofit or house retrofit rather than for specific technology or end uses. Whole building initiatives are modeled for the Residential and Commercial sectors.</w:t>
      </w:r>
    </w:p>
    <w:p w14:paraId="2ABC341F" w14:textId="77777777" w:rsidR="00BF797A" w:rsidRPr="00283A99" w:rsidRDefault="00BF797A" w:rsidP="004E4E36">
      <w:pPr>
        <w:pStyle w:val="ListParagraph"/>
        <w:numPr>
          <w:ilvl w:val="0"/>
          <w:numId w:val="13"/>
        </w:numPr>
      </w:pPr>
      <w:r w:rsidRPr="00283A99">
        <w:rPr>
          <w:b/>
        </w:rPr>
        <w:t>Custom Measures and Emerging Technologies:</w:t>
      </w:r>
      <w:r w:rsidRPr="00283A99">
        <w:t xml:space="preserve"> </w:t>
      </w:r>
      <w:r w:rsidR="008530FD" w:rsidRPr="00283A99">
        <w:t>This study defines Custom Measures as improvements to processes specific to the industrial and agricultural sectors</w:t>
      </w:r>
      <w:r w:rsidR="00283A99" w:rsidRPr="00283A99">
        <w:t xml:space="preserve">, the measures themselves are not individually defined and rather represent a wide array of, niche technologies. Similarly, </w:t>
      </w:r>
      <w:r w:rsidR="008530FD" w:rsidRPr="00283A99">
        <w:t xml:space="preserve">Emerging Technologies </w:t>
      </w:r>
      <w:r w:rsidR="00283A99" w:rsidRPr="00283A99">
        <w:t>are represented as a wide array of technologies and not individually defined.</w:t>
      </w:r>
      <w:r w:rsidR="008530FD" w:rsidRPr="00283A99">
        <w:t xml:space="preserve">  </w:t>
      </w:r>
    </w:p>
    <w:p w14:paraId="1128461B" w14:textId="77777777" w:rsidR="00796A37" w:rsidRPr="00CF53E9" w:rsidRDefault="00796A37" w:rsidP="004E4E36">
      <w:pPr>
        <w:pStyle w:val="ListParagraph"/>
        <w:numPr>
          <w:ilvl w:val="0"/>
          <w:numId w:val="13"/>
        </w:numPr>
      </w:pPr>
      <w:r w:rsidRPr="00CF53E9">
        <w:rPr>
          <w:b/>
        </w:rPr>
        <w:t>Behavior, Retrocommissioning, Operational Efficiency</w:t>
      </w:r>
      <w:r w:rsidR="000874B8" w:rsidRPr="00CF53E9">
        <w:rPr>
          <w:b/>
        </w:rPr>
        <w:t xml:space="preserve"> (BROs)</w:t>
      </w:r>
      <w:r w:rsidRPr="00CF53E9">
        <w:rPr>
          <w:b/>
        </w:rPr>
        <w:t>:</w:t>
      </w:r>
      <w:r w:rsidRPr="00CF53E9">
        <w:t xml:space="preserve"> For the purposes of this study, the Navigant team defines behavior-based initiatives as those providing information about energy use and conservation actions, rather than financial incentives, equipment, or services.</w:t>
      </w:r>
      <w:r w:rsidR="00CF53E9" w:rsidRPr="00CF53E9">
        <w:t xml:space="preserve"> Savings from BROs are modeled as incremental impacts of behavior and operational changes beyond equipment changes. </w:t>
      </w:r>
    </w:p>
    <w:p w14:paraId="5116402A" w14:textId="77777777" w:rsidR="00796A37" w:rsidRPr="00CF53E9" w:rsidRDefault="000874B8" w:rsidP="004E4E36">
      <w:pPr>
        <w:pStyle w:val="ListParagraph"/>
        <w:numPr>
          <w:ilvl w:val="0"/>
          <w:numId w:val="13"/>
        </w:numPr>
      </w:pPr>
      <w:r w:rsidRPr="00950406">
        <w:rPr>
          <w:b/>
        </w:rPr>
        <w:t xml:space="preserve">Residential </w:t>
      </w:r>
      <w:r w:rsidR="00796A37" w:rsidRPr="00950406">
        <w:rPr>
          <w:b/>
        </w:rPr>
        <w:t>Low Income:</w:t>
      </w:r>
      <w:r w:rsidR="00796A37" w:rsidRPr="00CD1669">
        <w:t xml:space="preserve"> The methodology for the low-income sector remains unchanged from the 2013 Study. Data was updated to reflect the most recent information available from the CPUC </w:t>
      </w:r>
      <w:r w:rsidR="00796A37" w:rsidRPr="00CF53E9">
        <w:t xml:space="preserve">regarding savings per participant and forecasted participants. </w:t>
      </w:r>
    </w:p>
    <w:p w14:paraId="5DA87A9A" w14:textId="77777777" w:rsidR="00796A37" w:rsidRPr="00CF53E9" w:rsidRDefault="00796A37" w:rsidP="004E4E36">
      <w:pPr>
        <w:pStyle w:val="ListParagraph"/>
        <w:numPr>
          <w:ilvl w:val="0"/>
          <w:numId w:val="13"/>
        </w:numPr>
      </w:pPr>
      <w:r w:rsidRPr="00CF53E9">
        <w:rPr>
          <w:b/>
        </w:rPr>
        <w:t>Codes and Standards (C&amp;S)</w:t>
      </w:r>
      <w:r w:rsidR="000874B8" w:rsidRPr="00CF53E9">
        <w:rPr>
          <w:b/>
        </w:rPr>
        <w:t>:</w:t>
      </w:r>
      <w:r w:rsidRPr="00CF53E9">
        <w:t xml:space="preserve"> Codes regulate building design, requiring builders to incorporate high-efficiency measures. Standards set minimum efficiency levels for newly manufactured appliances. </w:t>
      </w:r>
      <w:r w:rsidR="00BF797A" w:rsidRPr="00CF53E9">
        <w:t xml:space="preserve">Savings are forecasting </w:t>
      </w:r>
      <w:r w:rsidR="000A3493" w:rsidRPr="00CF53E9">
        <w:t xml:space="preserve">from C&amp;S that went into effect starting in 2006. </w:t>
      </w:r>
    </w:p>
    <w:p w14:paraId="23743CA4" w14:textId="77777777" w:rsidR="00CD1669" w:rsidRPr="00CF53E9" w:rsidRDefault="00CD1669" w:rsidP="004E4E36">
      <w:pPr>
        <w:pStyle w:val="ListParagraph"/>
        <w:numPr>
          <w:ilvl w:val="0"/>
          <w:numId w:val="13"/>
        </w:numPr>
      </w:pPr>
      <w:r w:rsidRPr="00CF53E9">
        <w:rPr>
          <w:b/>
        </w:rPr>
        <w:t>Financing:</w:t>
      </w:r>
      <w:r w:rsidRPr="00CF53E9">
        <w:t xml:space="preserve"> Financing has the potential to break through </w:t>
      </w:r>
      <w:r w:rsidR="00CF53E9" w:rsidRPr="00CF53E9">
        <w:t>several</w:t>
      </w:r>
      <w:r w:rsidRPr="00CF53E9">
        <w:t xml:space="preserve"> market barriers that have limited the widespread market adoption of cost-effective energy efficiency measures. The PG Model estimates the effects of introducing energy efficiency financing on market potential and how shifting assumptions about financing affect the potential energy savings.</w:t>
      </w:r>
    </w:p>
    <w:p w14:paraId="3D471920" w14:textId="77777777" w:rsidR="008820EA" w:rsidRDefault="008820EA" w:rsidP="008820EA"/>
    <w:p w14:paraId="6B9BA748" w14:textId="77777777" w:rsidR="003C129D" w:rsidRDefault="00557792" w:rsidP="008820EA">
      <w:r>
        <w:t xml:space="preserve">AB802, SB350 and possible changes to the CPUC Cost Effectiveness </w:t>
      </w:r>
      <w:r w:rsidR="006E1C45">
        <w:t xml:space="preserve">policies </w:t>
      </w:r>
      <w:r>
        <w:t xml:space="preserve">have driven the PG study to update its methodology in several key areas. </w:t>
      </w:r>
      <w:r w:rsidR="003C129D" w:rsidRPr="00E51F0C">
        <w:t>The modeling methodology leverages much of what was used in the 2015 Study but further builds upon the analysis presented in the AB802 Technical Analysis.</w:t>
      </w:r>
      <w:r w:rsidR="00E51F0C" w:rsidRPr="00E51F0C">
        <w:t xml:space="preserve">  The rest of this section discusses the </w:t>
      </w:r>
      <w:r w:rsidR="00BB59F5">
        <w:t>2018</w:t>
      </w:r>
      <w:r w:rsidR="00E51F0C" w:rsidRPr="00E51F0C">
        <w:t xml:space="preserve"> Study methodology. </w:t>
      </w:r>
    </w:p>
    <w:p w14:paraId="4D6D5A02" w14:textId="77777777" w:rsidR="003C129D" w:rsidRDefault="003C129D" w:rsidP="003C129D">
      <w:pPr>
        <w:pStyle w:val="Heading2"/>
      </w:pPr>
      <w:bookmarkStart w:id="136" w:name="_Toc478990493"/>
      <w:bookmarkStart w:id="137" w:name="_Toc479768566"/>
      <w:bookmarkStart w:id="138" w:name="_Toc482353488"/>
      <w:bookmarkStart w:id="139" w:name="_Toc482357291"/>
      <w:bookmarkStart w:id="140" w:name="_Toc482634267"/>
      <w:bookmarkStart w:id="141" w:name="_Toc482626399"/>
      <w:bookmarkStart w:id="142" w:name="_Toc484092470"/>
      <w:bookmarkStart w:id="143" w:name="_Toc484172673"/>
      <w:bookmarkStart w:id="144" w:name="_Toc484183010"/>
      <w:bookmarkStart w:id="145" w:name="_Toc485126525"/>
      <w:r>
        <w:lastRenderedPageBreak/>
        <w:t>Modeling Methods</w:t>
      </w:r>
      <w:bookmarkEnd w:id="136"/>
      <w:bookmarkEnd w:id="137"/>
      <w:bookmarkEnd w:id="138"/>
      <w:bookmarkEnd w:id="139"/>
      <w:bookmarkEnd w:id="140"/>
      <w:bookmarkEnd w:id="141"/>
      <w:bookmarkEnd w:id="142"/>
      <w:bookmarkEnd w:id="143"/>
      <w:bookmarkEnd w:id="144"/>
      <w:bookmarkEnd w:id="145"/>
    </w:p>
    <w:p w14:paraId="7722EB72" w14:textId="77777777" w:rsidR="008820EA" w:rsidRDefault="00A93CE5" w:rsidP="008820EA">
      <w:r>
        <w:fldChar w:fldCharType="begin"/>
      </w:r>
      <w:r>
        <w:instrText xml:space="preserve"> REF _Ref484634888 \h </w:instrText>
      </w:r>
      <w:r>
        <w:fldChar w:fldCharType="separate"/>
      </w:r>
      <w:r w:rsidR="00C407F4">
        <w:t xml:space="preserve">Table </w:t>
      </w:r>
      <w:r w:rsidR="00C407F4">
        <w:rPr>
          <w:noProof/>
        </w:rPr>
        <w:t>2</w:t>
      </w:r>
      <w:r w:rsidR="00C407F4">
        <w:noBreakHyphen/>
      </w:r>
      <w:r w:rsidR="00C407F4">
        <w:rPr>
          <w:noProof/>
        </w:rPr>
        <w:t>1</w:t>
      </w:r>
      <w:r>
        <w:fldChar w:fldCharType="end"/>
      </w:r>
      <w:r>
        <w:t xml:space="preserve"> </w:t>
      </w:r>
      <w:r w:rsidR="008820EA">
        <w:t xml:space="preserve">below summarizes the modeling approach for each </w:t>
      </w:r>
      <w:r w:rsidR="0014776F">
        <w:t>source</w:t>
      </w:r>
      <w:r w:rsidR="008820EA">
        <w:t xml:space="preserve"> of savings. The modeling approaches are discussed in more detail in the subsequent subsections. </w:t>
      </w:r>
    </w:p>
    <w:p w14:paraId="11AF63C3" w14:textId="77777777" w:rsidR="00AE0A46" w:rsidRDefault="00AE0A46" w:rsidP="008820EA"/>
    <w:p w14:paraId="1092E052" w14:textId="77777777" w:rsidR="00796A37" w:rsidRDefault="00932B52" w:rsidP="007851FD">
      <w:pPr>
        <w:pStyle w:val="Caption"/>
      </w:pPr>
      <w:bookmarkStart w:id="146" w:name="_Ref476770763"/>
      <w:bookmarkStart w:id="147" w:name="_Ref484634888"/>
      <w:bookmarkStart w:id="148" w:name="_Toc482634202"/>
      <w:bookmarkStart w:id="149" w:name="_Toc484436941"/>
      <w:bookmarkStart w:id="150" w:name="_Toc485125651"/>
      <w:r>
        <w:t xml:space="preserve">Table </w:t>
      </w:r>
      <w:bookmarkEnd w:id="146"/>
      <w:r w:rsidR="00C17D59">
        <w:fldChar w:fldCharType="begin"/>
      </w:r>
      <w:r w:rsidR="00C17D59">
        <w:instrText xml:space="preserve"> STYLEREF 1 \s </w:instrText>
      </w:r>
      <w:r w:rsidR="00C17D59">
        <w:fldChar w:fldCharType="separate"/>
      </w:r>
      <w:r w:rsidR="00C407F4">
        <w:rPr>
          <w:noProof/>
        </w:rPr>
        <w:t>2</w:t>
      </w:r>
      <w:r w:rsidR="00C17D59">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1</w:t>
      </w:r>
      <w:r w:rsidR="00272F76">
        <w:rPr>
          <w:noProof/>
        </w:rPr>
        <w:fldChar w:fldCharType="end"/>
      </w:r>
      <w:bookmarkEnd w:id="147"/>
      <w:r w:rsidR="00BB59F5">
        <w:t>.</w:t>
      </w:r>
      <w:r>
        <w:t xml:space="preserve"> Overview of Modeling and Calibration Approach</w:t>
      </w:r>
      <w:bookmarkEnd w:id="148"/>
      <w:bookmarkEnd w:id="149"/>
      <w:bookmarkEnd w:id="150"/>
    </w:p>
    <w:tbl>
      <w:tblPr>
        <w:tblStyle w:val="EnergyTable1"/>
        <w:tblW w:w="8910" w:type="dxa"/>
        <w:tblLook w:val="04A0" w:firstRow="1" w:lastRow="0" w:firstColumn="1" w:lastColumn="0" w:noHBand="0" w:noVBand="1"/>
      </w:tblPr>
      <w:tblGrid>
        <w:gridCol w:w="2084"/>
        <w:gridCol w:w="4036"/>
        <w:gridCol w:w="2790"/>
      </w:tblGrid>
      <w:tr w:rsidR="004A66C4" w:rsidRPr="00CF53E9" w14:paraId="6336B3F0" w14:textId="77777777" w:rsidTr="0011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6DB47145" w14:textId="77777777" w:rsidR="004A66C4" w:rsidRPr="00CF53E9" w:rsidRDefault="004A66C4" w:rsidP="004A66C4">
            <w:pPr>
              <w:rPr>
                <w:rFonts w:ascii="Arial Narrow" w:hAnsi="Arial Narrow"/>
              </w:rPr>
            </w:pPr>
            <w:r w:rsidRPr="00CF53E9">
              <w:rPr>
                <w:rFonts w:ascii="Arial Narrow" w:hAnsi="Arial Narrow"/>
              </w:rPr>
              <w:t>Savings Source</w:t>
            </w:r>
          </w:p>
        </w:tc>
        <w:tc>
          <w:tcPr>
            <w:tcW w:w="4036" w:type="dxa"/>
          </w:tcPr>
          <w:p w14:paraId="3E6A48D8" w14:textId="77777777" w:rsidR="004A66C4" w:rsidRPr="00CF53E9" w:rsidRDefault="004A66C4" w:rsidP="004A66C4">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Summary of Modeling Approach</w:t>
            </w:r>
          </w:p>
        </w:tc>
        <w:tc>
          <w:tcPr>
            <w:tcW w:w="2790" w:type="dxa"/>
          </w:tcPr>
          <w:p w14:paraId="0E796C26" w14:textId="77777777" w:rsidR="004A66C4" w:rsidRPr="00CF53E9" w:rsidRDefault="004A66C4" w:rsidP="004A66C4">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Summary of Calibration Approach</w:t>
            </w:r>
          </w:p>
        </w:tc>
      </w:tr>
      <w:tr w:rsidR="004A66C4" w:rsidRPr="00CF53E9" w14:paraId="1A436D5D"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44A1D8A0" w14:textId="77777777" w:rsidR="004A66C4" w:rsidRPr="00CF53E9" w:rsidRDefault="004A66C4" w:rsidP="004A66C4">
            <w:pPr>
              <w:rPr>
                <w:rFonts w:ascii="Arial Narrow" w:hAnsi="Arial Narrow"/>
                <w:b/>
              </w:rPr>
            </w:pPr>
            <w:r w:rsidRPr="00CF53E9">
              <w:rPr>
                <w:rFonts w:ascii="Arial Narrow" w:hAnsi="Arial Narrow"/>
                <w:b/>
              </w:rPr>
              <w:t>Rebated Technologies</w:t>
            </w:r>
          </w:p>
        </w:tc>
        <w:tc>
          <w:tcPr>
            <w:tcW w:w="4036" w:type="dxa"/>
          </w:tcPr>
          <w:p w14:paraId="1000552F"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Bass diffusion forecast competes below code, at code and above code technologies against each other.</w:t>
            </w:r>
          </w:p>
        </w:tc>
        <w:tc>
          <w:tcPr>
            <w:tcW w:w="2790" w:type="dxa"/>
          </w:tcPr>
          <w:p w14:paraId="77D0A47E"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Calibrated to historic program spending</w:t>
            </w:r>
          </w:p>
        </w:tc>
      </w:tr>
      <w:tr w:rsidR="004A66C4" w:rsidRPr="00CF53E9" w14:paraId="67DE765D"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27C7385E" w14:textId="77777777" w:rsidR="004A66C4" w:rsidRPr="00CF53E9" w:rsidRDefault="004A66C4" w:rsidP="00763F6F">
            <w:pPr>
              <w:rPr>
                <w:rFonts w:ascii="Arial Narrow" w:hAnsi="Arial Narrow"/>
                <w:b/>
              </w:rPr>
            </w:pPr>
            <w:r w:rsidRPr="00CF53E9">
              <w:rPr>
                <w:rFonts w:ascii="Arial Narrow" w:hAnsi="Arial Narrow"/>
                <w:b/>
              </w:rPr>
              <w:t xml:space="preserve">Whole Building </w:t>
            </w:r>
            <w:r w:rsidR="00763F6F" w:rsidRPr="00CF53E9">
              <w:rPr>
                <w:rFonts w:ascii="Arial Narrow" w:hAnsi="Arial Narrow"/>
                <w:b/>
              </w:rPr>
              <w:t>Packages</w:t>
            </w:r>
          </w:p>
        </w:tc>
        <w:tc>
          <w:tcPr>
            <w:tcW w:w="4036" w:type="dxa"/>
          </w:tcPr>
          <w:p w14:paraId="20CA2EBD"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Bass diffusion forecast competes below code, at code and above code technologies against each other.</w:t>
            </w:r>
          </w:p>
        </w:tc>
        <w:tc>
          <w:tcPr>
            <w:tcW w:w="2790" w:type="dxa"/>
          </w:tcPr>
          <w:p w14:paraId="076FD22B"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Calibrated to historic program spending</w:t>
            </w:r>
          </w:p>
        </w:tc>
      </w:tr>
      <w:tr w:rsidR="004A66C4" w:rsidRPr="00CF53E9" w14:paraId="3631ABE7"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5C6FB735" w14:textId="77777777" w:rsidR="004A66C4" w:rsidRPr="00CF53E9" w:rsidRDefault="004A66C4" w:rsidP="004A66C4">
            <w:pPr>
              <w:rPr>
                <w:rFonts w:ascii="Arial Narrow" w:hAnsi="Arial Narrow"/>
                <w:b/>
              </w:rPr>
            </w:pPr>
            <w:r w:rsidRPr="00CF53E9">
              <w:rPr>
                <w:rFonts w:ascii="Arial Narrow" w:hAnsi="Arial Narrow"/>
                <w:b/>
              </w:rPr>
              <w:t>Industrial Custom Measures and Emerging Technologies</w:t>
            </w:r>
          </w:p>
        </w:tc>
        <w:tc>
          <w:tcPr>
            <w:tcW w:w="4036" w:type="dxa"/>
          </w:tcPr>
          <w:p w14:paraId="44D45BE6"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Trend forecast based on recent IOU custom project savings in the industrial sector. Emerging technologies </w:t>
            </w:r>
            <w:r w:rsidR="00CF53E9" w:rsidRPr="00CF53E9">
              <w:rPr>
                <w:rFonts w:ascii="Arial Narrow" w:hAnsi="Arial Narrow"/>
              </w:rPr>
              <w:t>can</w:t>
            </w:r>
            <w:r w:rsidRPr="00CF53E9">
              <w:rPr>
                <w:rFonts w:ascii="Arial Narrow" w:hAnsi="Arial Narrow"/>
              </w:rPr>
              <w:t xml:space="preserve"> “ramp up” the trend in the future. </w:t>
            </w:r>
          </w:p>
        </w:tc>
        <w:tc>
          <w:tcPr>
            <w:tcW w:w="2790" w:type="dxa"/>
          </w:tcPr>
          <w:p w14:paraId="21D652C2"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Forecast is anchored in IOU program history and thus inherently calibrated to current market conditions. </w:t>
            </w:r>
          </w:p>
        </w:tc>
      </w:tr>
      <w:tr w:rsidR="004A66C4" w:rsidRPr="00CF53E9" w14:paraId="508FCD89"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2A9C8513" w14:textId="77777777" w:rsidR="004A66C4" w:rsidRPr="00CF53E9" w:rsidRDefault="004A66C4" w:rsidP="004A66C4">
            <w:pPr>
              <w:rPr>
                <w:rFonts w:ascii="Arial Narrow" w:hAnsi="Arial Narrow"/>
                <w:b/>
              </w:rPr>
            </w:pPr>
            <w:r w:rsidRPr="00CF53E9">
              <w:rPr>
                <w:rFonts w:ascii="Arial Narrow" w:hAnsi="Arial Narrow"/>
                <w:b/>
              </w:rPr>
              <w:t>Behavior, Retrocommissioning, Operational Efficiency (BROs)</w:t>
            </w:r>
          </w:p>
        </w:tc>
        <w:tc>
          <w:tcPr>
            <w:tcW w:w="4036" w:type="dxa"/>
          </w:tcPr>
          <w:p w14:paraId="51AA00AB"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Interventions are limited to the applicable customers and markets. For the applicable markets, Navigant assumptions are made regarding reasonable penetration rates.</w:t>
            </w:r>
          </w:p>
        </w:tc>
        <w:tc>
          <w:tcPr>
            <w:tcW w:w="2790" w:type="dxa"/>
          </w:tcPr>
          <w:p w14:paraId="01E88700"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Starting penetration rates are based on current penetration rates.</w:t>
            </w:r>
          </w:p>
        </w:tc>
      </w:tr>
      <w:tr w:rsidR="004A66C4" w:rsidRPr="00CF53E9" w14:paraId="2A4BFBE7"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37CCE600" w14:textId="77777777" w:rsidR="004A66C4" w:rsidRPr="00CF53E9" w:rsidRDefault="004A66C4" w:rsidP="004A66C4">
            <w:pPr>
              <w:rPr>
                <w:rFonts w:ascii="Arial Narrow" w:hAnsi="Arial Narrow"/>
                <w:b/>
              </w:rPr>
            </w:pPr>
            <w:r w:rsidRPr="00CF53E9">
              <w:rPr>
                <w:rFonts w:ascii="Arial Narrow" w:hAnsi="Arial Narrow"/>
                <w:b/>
              </w:rPr>
              <w:t>Residential Low Income</w:t>
            </w:r>
          </w:p>
        </w:tc>
        <w:tc>
          <w:tcPr>
            <w:tcW w:w="4036" w:type="dxa"/>
          </w:tcPr>
          <w:p w14:paraId="4AA067B0"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Forecast of participation based on IOU program filings, data gaps filled by Navigant through extrapolation.</w:t>
            </w:r>
          </w:p>
        </w:tc>
        <w:tc>
          <w:tcPr>
            <w:tcW w:w="2790" w:type="dxa"/>
          </w:tcPr>
          <w:p w14:paraId="06B6B50A"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Forecast is anchored in IOU program history and plans </w:t>
            </w:r>
            <w:r w:rsidR="00AE0A46" w:rsidRPr="00CF53E9">
              <w:rPr>
                <w:rFonts w:ascii="Arial Narrow" w:hAnsi="Arial Narrow"/>
              </w:rPr>
              <w:t xml:space="preserve">and </w:t>
            </w:r>
            <w:r w:rsidRPr="00CF53E9">
              <w:rPr>
                <w:rFonts w:ascii="Arial Narrow" w:hAnsi="Arial Narrow"/>
              </w:rPr>
              <w:t xml:space="preserve">thus inherently calibrated to current market conditions. </w:t>
            </w:r>
          </w:p>
        </w:tc>
      </w:tr>
      <w:tr w:rsidR="004A66C4" w:rsidRPr="00CF53E9" w14:paraId="1A655BEF"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400B9A65" w14:textId="77777777" w:rsidR="004A66C4" w:rsidRPr="00CF53E9" w:rsidRDefault="004A66C4" w:rsidP="004A66C4">
            <w:pPr>
              <w:rPr>
                <w:rFonts w:ascii="Arial Narrow" w:hAnsi="Arial Narrow"/>
                <w:b/>
              </w:rPr>
            </w:pPr>
            <w:r w:rsidRPr="00CF53E9">
              <w:rPr>
                <w:rFonts w:ascii="Arial Narrow" w:hAnsi="Arial Narrow"/>
                <w:b/>
              </w:rPr>
              <w:t>Codes and Standards (C&amp;S):</w:t>
            </w:r>
          </w:p>
        </w:tc>
        <w:tc>
          <w:tcPr>
            <w:tcW w:w="4036" w:type="dxa"/>
          </w:tcPr>
          <w:p w14:paraId="182EE77D"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Model replicates the algorithms of the CPUC’s Integrated Standards Savings Model (ISSM)</w:t>
            </w:r>
          </w:p>
        </w:tc>
        <w:tc>
          <w:tcPr>
            <w:tcW w:w="2790" w:type="dxa"/>
          </w:tcPr>
          <w:p w14:paraId="5A73753C"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 xml:space="preserve">Calibration not needed as evaluated results are used. </w:t>
            </w:r>
          </w:p>
        </w:tc>
      </w:tr>
      <w:tr w:rsidR="004A66C4" w:rsidRPr="00CF53E9" w14:paraId="45404502"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3D84B132" w14:textId="77777777" w:rsidR="004A66C4" w:rsidRPr="00CF53E9" w:rsidRDefault="004A66C4" w:rsidP="004A66C4">
            <w:pPr>
              <w:rPr>
                <w:rFonts w:ascii="Arial Narrow" w:hAnsi="Arial Narrow"/>
                <w:b/>
              </w:rPr>
            </w:pPr>
            <w:r w:rsidRPr="00CF53E9">
              <w:rPr>
                <w:rFonts w:ascii="Arial Narrow" w:hAnsi="Arial Narrow"/>
                <w:b/>
              </w:rPr>
              <w:t>Financing</w:t>
            </w:r>
          </w:p>
        </w:tc>
        <w:tc>
          <w:tcPr>
            <w:tcW w:w="4036" w:type="dxa"/>
          </w:tcPr>
          <w:p w14:paraId="268EAF0C" w14:textId="77777777" w:rsidR="004A66C4" w:rsidRPr="00CF53E9" w:rsidRDefault="004A66C4" w:rsidP="00AE0A4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Financing</w:t>
            </w:r>
            <w:r w:rsidR="00AE0A46" w:rsidRPr="00CF53E9">
              <w:rPr>
                <w:rFonts w:ascii="Arial Narrow" w:hAnsi="Arial Narrow"/>
              </w:rPr>
              <w:t xml:space="preserve"> is applied to rebated technologies and whole building approaches. It reduces upfront barriers increasing consumer adoption and supplements bass diffusion modeling framework</w:t>
            </w:r>
          </w:p>
        </w:tc>
        <w:tc>
          <w:tcPr>
            <w:tcW w:w="2790" w:type="dxa"/>
          </w:tcPr>
          <w:p w14:paraId="4ADE17B5"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No </w:t>
            </w:r>
            <w:r w:rsidR="00AE0A46" w:rsidRPr="00CF53E9">
              <w:rPr>
                <w:rFonts w:ascii="Arial Narrow" w:hAnsi="Arial Narrow"/>
              </w:rPr>
              <w:t>program data to calibrate to</w:t>
            </w:r>
          </w:p>
        </w:tc>
      </w:tr>
    </w:tbl>
    <w:p w14:paraId="4DA437CA" w14:textId="77777777" w:rsidR="00BF797A" w:rsidRDefault="00BF797A" w:rsidP="00CD1669"/>
    <w:p w14:paraId="2FFD26F6" w14:textId="77777777" w:rsidR="00BF797A" w:rsidRDefault="00BF797A" w:rsidP="00D30C26">
      <w:pPr>
        <w:pStyle w:val="Heading3"/>
      </w:pPr>
      <w:bookmarkStart w:id="151" w:name="_Toc482353489"/>
      <w:bookmarkStart w:id="152" w:name="_Toc482357292"/>
      <w:bookmarkStart w:id="153" w:name="_Toc482634268"/>
      <w:bookmarkStart w:id="154" w:name="_Toc482626400"/>
      <w:bookmarkStart w:id="155" w:name="_Toc484092471"/>
      <w:bookmarkStart w:id="156" w:name="_Toc484172674"/>
      <w:bookmarkStart w:id="157" w:name="_Toc484183011"/>
      <w:bookmarkStart w:id="158" w:name="_Toc485126526"/>
      <w:bookmarkStart w:id="159" w:name="_Toc478990494"/>
      <w:bookmarkStart w:id="160" w:name="_Toc479768567"/>
      <w:r>
        <w:t xml:space="preserve">Rebated </w:t>
      </w:r>
      <w:r w:rsidR="00CA40AA">
        <w:t>Technologies</w:t>
      </w:r>
      <w:bookmarkEnd w:id="151"/>
      <w:bookmarkEnd w:id="152"/>
      <w:bookmarkEnd w:id="153"/>
      <w:bookmarkEnd w:id="154"/>
      <w:bookmarkEnd w:id="155"/>
      <w:bookmarkEnd w:id="156"/>
      <w:bookmarkEnd w:id="157"/>
      <w:bookmarkEnd w:id="158"/>
      <w:r w:rsidR="008820EA">
        <w:t xml:space="preserve"> </w:t>
      </w:r>
      <w:bookmarkEnd w:id="159"/>
      <w:bookmarkEnd w:id="160"/>
    </w:p>
    <w:p w14:paraId="1DCC7865" w14:textId="77777777" w:rsidR="00F20138" w:rsidRPr="00F20138" w:rsidRDefault="00F20138" w:rsidP="00F20138">
      <w:r>
        <w:t xml:space="preserve">Rebated technologies make up the majority of historic program spending and savings claims. Thus, they are a core part of the </w:t>
      </w:r>
      <w:r w:rsidR="00BB59F5">
        <w:t>2018</w:t>
      </w:r>
      <w:r>
        <w:t xml:space="preserve"> PG model’s forecast. </w:t>
      </w:r>
      <w:r w:rsidR="00C80504">
        <w:t xml:space="preserve">Historically, rebate programs could </w:t>
      </w:r>
      <w:r w:rsidR="004F0C7A">
        <w:t>mostly</w:t>
      </w:r>
      <w:r w:rsidR="00C80504">
        <w:t xml:space="preserve"> claim above-code savings for rebated technologies. However, with the introduction of AB802, rebate programs can now claim to-code savings for select technologies</w:t>
      </w:r>
      <w:r w:rsidR="004F0C7A">
        <w:t xml:space="preserve"> more broadly</w:t>
      </w:r>
      <w:r w:rsidR="00C80504">
        <w:t xml:space="preserve">. Our approach to modeling rebated technologies has thus updated since the 2015 PG study to accommodate the modeling of to-code savings. </w:t>
      </w:r>
    </w:p>
    <w:p w14:paraId="48338A0A" w14:textId="77777777" w:rsidR="006F560A" w:rsidRPr="00045431" w:rsidRDefault="006F560A" w:rsidP="00932B52">
      <w:pPr>
        <w:pStyle w:val="Heading4"/>
      </w:pPr>
      <w:bookmarkStart w:id="161" w:name="_Ref481421825"/>
      <w:r w:rsidRPr="00045431">
        <w:lastRenderedPageBreak/>
        <w:t xml:space="preserve">Types of </w:t>
      </w:r>
      <w:r w:rsidR="00B168EC" w:rsidRPr="00045431">
        <w:t>Technologies</w:t>
      </w:r>
      <w:bookmarkEnd w:id="161"/>
      <w:r w:rsidR="00B168EC" w:rsidRPr="00045431">
        <w:t xml:space="preserve"> </w:t>
      </w:r>
    </w:p>
    <w:p w14:paraId="7C43892E" w14:textId="77777777" w:rsidR="00932B52" w:rsidRDefault="00932B52" w:rsidP="00932B52">
      <w:r>
        <w:t xml:space="preserve">The PG study forecasts the adoption of more than </w:t>
      </w:r>
      <w:r w:rsidR="00181744">
        <w:t>150</w:t>
      </w:r>
      <w:r>
        <w:t xml:space="preserve"> energy efficiency </w:t>
      </w:r>
      <w:r w:rsidR="00D75C67">
        <w:t>technologies</w:t>
      </w:r>
      <w:r>
        <w:t>.  Each measure can be classified into one</w:t>
      </w:r>
      <w:r w:rsidR="001400AE">
        <w:t xml:space="preserve"> of several broad measure types.</w:t>
      </w:r>
      <w:r>
        <w:t xml:space="preserve"> Each measure type is treated differently in terms of calculating cost effectiveness, calculating energy savings</w:t>
      </w:r>
      <w:r w:rsidR="001400AE">
        <w:t xml:space="preserve"> relative to baseline</w:t>
      </w:r>
      <w:r>
        <w:t>, and modeling consumer decisions and market adoption. These differences are further discussed throughout this section report. The types of measure installations are:</w:t>
      </w:r>
    </w:p>
    <w:p w14:paraId="45F2AAF6" w14:textId="77777777" w:rsidR="00932B52" w:rsidRDefault="00932B52" w:rsidP="004E4E36">
      <w:pPr>
        <w:pStyle w:val="ListParagraph"/>
        <w:numPr>
          <w:ilvl w:val="0"/>
          <w:numId w:val="21"/>
        </w:numPr>
        <w:spacing w:line="240" w:lineRule="auto"/>
        <w:rPr>
          <w:b/>
        </w:rPr>
      </w:pPr>
      <w:r>
        <w:rPr>
          <w:b/>
        </w:rPr>
        <w:t xml:space="preserve">New Construction – </w:t>
      </w:r>
      <w:r>
        <w:t xml:space="preserve">Equipment that is installed in a newly constructed building. In this situation, energy savings calculations are always relative to code.  </w:t>
      </w:r>
    </w:p>
    <w:p w14:paraId="099585F3" w14:textId="77777777" w:rsidR="00932B52" w:rsidRDefault="00932B52" w:rsidP="004E4E36">
      <w:pPr>
        <w:pStyle w:val="ListParagraph"/>
        <w:numPr>
          <w:ilvl w:val="0"/>
          <w:numId w:val="21"/>
        </w:numPr>
        <w:spacing w:line="240" w:lineRule="auto"/>
        <w:rPr>
          <w:b/>
        </w:rPr>
      </w:pPr>
      <w:r>
        <w:rPr>
          <w:b/>
        </w:rPr>
        <w:t>Installation in Existing Buildings</w:t>
      </w:r>
    </w:p>
    <w:p w14:paraId="484061F1" w14:textId="77777777" w:rsidR="00932B52" w:rsidRPr="005F1FAE" w:rsidRDefault="00932B52" w:rsidP="004E4E36">
      <w:pPr>
        <w:pStyle w:val="ListParagraph"/>
        <w:numPr>
          <w:ilvl w:val="1"/>
          <w:numId w:val="21"/>
        </w:numPr>
        <w:spacing w:line="240" w:lineRule="auto"/>
        <w:rPr>
          <w:b/>
        </w:rPr>
      </w:pPr>
      <w:r w:rsidRPr="005F1FAE">
        <w:rPr>
          <w:b/>
        </w:rPr>
        <w:t>Equipment</w:t>
      </w:r>
    </w:p>
    <w:p w14:paraId="68FA29E6" w14:textId="77777777" w:rsidR="00932B52" w:rsidRDefault="00932B52" w:rsidP="004E4E36">
      <w:pPr>
        <w:pStyle w:val="ListParagraph"/>
        <w:numPr>
          <w:ilvl w:val="2"/>
          <w:numId w:val="21"/>
        </w:numPr>
        <w:spacing w:line="240" w:lineRule="auto"/>
      </w:pPr>
      <w:r w:rsidRPr="00BA28FA">
        <w:rPr>
          <w:b/>
        </w:rPr>
        <w:t xml:space="preserve">Replace on Burnout (ROB) – </w:t>
      </w:r>
      <w:r>
        <w:t>N</w:t>
      </w:r>
      <w:r w:rsidRPr="005F1FAE">
        <w:t xml:space="preserve">ew equipment </w:t>
      </w:r>
      <w:r>
        <w:t xml:space="preserve">needs to be installed to replace </w:t>
      </w:r>
      <w:r w:rsidRPr="005F1FAE">
        <w:t>equipment that</w:t>
      </w:r>
      <w:r>
        <w:t xml:space="preserve"> has reached the end of its useful life, has failed, and</w:t>
      </w:r>
      <w:r w:rsidRPr="005F1FAE">
        <w:t xml:space="preserve"> is no longer functional</w:t>
      </w:r>
      <w:r>
        <w:t xml:space="preserve">. Upon failure ROB equipment is generally not repaired by the customer and instead replaced with a new piece of equipment. Appliance standards are applicable to some types of ROB equipment and apply to all new purchases. An example of an ROB measure is the light bulb. </w:t>
      </w:r>
    </w:p>
    <w:p w14:paraId="6026441B" w14:textId="77777777" w:rsidR="00932B52" w:rsidRPr="00BA28FA" w:rsidRDefault="00E51F0C" w:rsidP="004E4E36">
      <w:pPr>
        <w:pStyle w:val="ListParagraph"/>
        <w:numPr>
          <w:ilvl w:val="2"/>
          <w:numId w:val="21"/>
        </w:numPr>
        <w:spacing w:line="240" w:lineRule="auto"/>
        <w:rPr>
          <w:b/>
        </w:rPr>
      </w:pPr>
      <w:r>
        <w:rPr>
          <w:b/>
        </w:rPr>
        <w:t>Accelerated Replacement</w:t>
      </w:r>
      <w:r w:rsidR="00932B52" w:rsidRPr="00BA28FA">
        <w:rPr>
          <w:b/>
        </w:rPr>
        <w:t xml:space="preserve"> – </w:t>
      </w:r>
      <w:r w:rsidR="00932B52">
        <w:t xml:space="preserve">Equipment </w:t>
      </w:r>
      <w:r w:rsidR="001400AE">
        <w:t>that is beyond its EUL and is continuing to function in the market (likely because of repairs that a customer has conducted on the equipment to extend its life)</w:t>
      </w:r>
      <w:r w:rsidR="00932B52">
        <w:t xml:space="preserve">. The customer is </w:t>
      </w:r>
      <w:r w:rsidR="001400AE">
        <w:t xml:space="preserve">not planning to replace the equipment on a “regular cycle” and thus programs </w:t>
      </w:r>
      <w:r w:rsidR="00F20138">
        <w:t xml:space="preserve">are targeted at the customer to accelerate the equipment’s replacement. </w:t>
      </w:r>
      <w:r w:rsidR="00932B52">
        <w:t xml:space="preserve">Appliance standards are applicable to some types of </w:t>
      </w:r>
      <w:r w:rsidR="00F20138">
        <w:t>Accelerated Repair</w:t>
      </w:r>
      <w:r w:rsidR="00932B52">
        <w:t xml:space="preserve"> equipment but only apply to new purchases (not the repair). Examples include measures such as boilers and chillers. </w:t>
      </w:r>
    </w:p>
    <w:p w14:paraId="370F9AB3" w14:textId="77777777" w:rsidR="00932B52" w:rsidRPr="00BC6D96" w:rsidRDefault="00932B52" w:rsidP="004E4E36">
      <w:pPr>
        <w:pStyle w:val="ListParagraph"/>
        <w:numPr>
          <w:ilvl w:val="1"/>
          <w:numId w:val="21"/>
        </w:numPr>
        <w:spacing w:line="240" w:lineRule="auto"/>
        <w:rPr>
          <w:b/>
        </w:rPr>
      </w:pPr>
      <w:r w:rsidRPr="00BC6D96">
        <w:rPr>
          <w:b/>
        </w:rPr>
        <w:t>Retrofit</w:t>
      </w:r>
    </w:p>
    <w:p w14:paraId="6CAE852A" w14:textId="77777777" w:rsidR="00932B52" w:rsidRPr="001829DC" w:rsidRDefault="00932B52" w:rsidP="004E4E36">
      <w:pPr>
        <w:pStyle w:val="ListParagraph"/>
        <w:numPr>
          <w:ilvl w:val="2"/>
          <w:numId w:val="21"/>
        </w:numPr>
        <w:spacing w:line="240" w:lineRule="auto"/>
      </w:pPr>
      <w:r w:rsidRPr="001829DC">
        <w:rPr>
          <w:b/>
        </w:rPr>
        <w:t>Retrofit Add-on</w:t>
      </w:r>
      <w:r>
        <w:rPr>
          <w:b/>
        </w:rPr>
        <w:t xml:space="preserve"> – </w:t>
      </w:r>
      <w:r w:rsidRPr="001829DC">
        <w:t>New equipment be</w:t>
      </w:r>
      <w:r>
        <w:t>ing</w:t>
      </w:r>
      <w:r w:rsidRPr="001829DC">
        <w:t xml:space="preserve"> installed onto an existing system, either as an additional, integrated component or to replace a component of the existing system.  In either case, the primary purpose of the add-on measure is to improve overall efficiency of the system</w:t>
      </w:r>
      <w:r>
        <w:t>. These measures are not able to operate on their own as stand-alone equipment and are not required for the operation of the existing equipment or building. Codes or standards may be applicable to some types of Retrofit Add-on measures by setting minimum efficiency levels of newly installed equipment; but the codes or standards do not require the measure to be installed. Examples include measures such as boiler controls, VFDs, and window film.</w:t>
      </w:r>
    </w:p>
    <w:p w14:paraId="7E3788AD" w14:textId="77777777" w:rsidR="00932B52" w:rsidRPr="00207783" w:rsidRDefault="00932B52" w:rsidP="004E4E36">
      <w:pPr>
        <w:pStyle w:val="ListParagraph"/>
        <w:numPr>
          <w:ilvl w:val="2"/>
          <w:numId w:val="21"/>
        </w:numPr>
        <w:spacing w:line="240" w:lineRule="auto"/>
        <w:rPr>
          <w:b/>
        </w:rPr>
      </w:pPr>
      <w:r w:rsidRPr="001829DC">
        <w:rPr>
          <w:b/>
        </w:rPr>
        <w:t>Retrofit</w:t>
      </w:r>
      <w:r>
        <w:rPr>
          <w:b/>
        </w:rPr>
        <w:t xml:space="preserve"> Replacement</w:t>
      </w:r>
      <w:r w:rsidRPr="001829DC">
        <w:rPr>
          <w:b/>
        </w:rPr>
        <w:t xml:space="preserve"> – </w:t>
      </w:r>
      <w:r w:rsidRPr="001829DC">
        <w:t xml:space="preserve">Measures that will be replaced not due to equipment failure but rather triggered by building renovation. </w:t>
      </w:r>
      <w:r>
        <w:t xml:space="preserve"> These measures are those that are installed to replace previously existing equipment that has either not failed or is past the end of its EUL but is not compromising use of the building (such as insulation and water fixtures). Many of these installations are subject to building code but upgrades are not always required by code until a major building renovation (and even then some may not be required). </w:t>
      </w:r>
    </w:p>
    <w:p w14:paraId="33834EC2" w14:textId="77777777" w:rsidR="00932B52" w:rsidRPr="006F3503" w:rsidRDefault="00932B52" w:rsidP="00932B52">
      <w:pPr>
        <w:pStyle w:val="Heading4"/>
      </w:pPr>
      <w:bookmarkStart w:id="162" w:name="_Ref477347831"/>
      <w:r w:rsidRPr="006F3503">
        <w:t xml:space="preserve">Technology </w:t>
      </w:r>
      <w:r w:rsidR="009330EA" w:rsidRPr="006F3503">
        <w:t xml:space="preserve">Groups, </w:t>
      </w:r>
      <w:r w:rsidRPr="006F3503">
        <w:t>Efficiency Levels and Competition</w:t>
      </w:r>
      <w:bookmarkEnd w:id="162"/>
    </w:p>
    <w:p w14:paraId="4F713055" w14:textId="77777777" w:rsidR="007851FD" w:rsidRPr="006F3503" w:rsidRDefault="00CF53E9" w:rsidP="006F3503">
      <w:r w:rsidRPr="006F3503">
        <w:t xml:space="preserve">Within each technology type, multiple groups of technologies are formed and characterized. A technology group consists of multiple levels of efficiency of the same technology. An example or which is illustrated below in </w:t>
      </w:r>
      <w:r w:rsidRPr="006F3503">
        <w:fldChar w:fldCharType="begin"/>
      </w:r>
      <w:r w:rsidRPr="006F3503">
        <w:instrText xml:space="preserve"> REF _Ref481591453 \h </w:instrText>
      </w:r>
      <w:r w:rsidR="006F3503">
        <w:instrText xml:space="preserve"> \* MERGEFORMAT </w:instrText>
      </w:r>
      <w:r w:rsidRPr="006F3503">
        <w:fldChar w:fldCharType="separate"/>
      </w:r>
      <w:r w:rsidR="00C407F4">
        <w:t xml:space="preserve">Table </w:t>
      </w:r>
      <w:r w:rsidR="00C407F4">
        <w:rPr>
          <w:noProof/>
        </w:rPr>
        <w:t>2</w:t>
      </w:r>
      <w:r w:rsidR="00C407F4">
        <w:rPr>
          <w:noProof/>
        </w:rPr>
        <w:noBreakHyphen/>
        <w:t>2</w:t>
      </w:r>
      <w:r w:rsidRPr="006F3503">
        <w:fldChar w:fldCharType="end"/>
      </w:r>
      <w:r w:rsidRPr="006F3503">
        <w:t xml:space="preserve">. </w:t>
      </w:r>
      <w:r w:rsidR="006F3503" w:rsidRPr="006F3503">
        <w:t xml:space="preserve">Technologies within a technology group compete for installations. </w:t>
      </w:r>
      <w:r w:rsidR="0066718A">
        <w:t xml:space="preserve">The advantage of </w:t>
      </w:r>
      <w:r w:rsidR="0066718A">
        <w:lastRenderedPageBreak/>
        <w:t>characterizing technology-based inputs is that a technology group can have multiple baseline and efficient technologies, in contrast to specifically defined ones in measure-based inputs (as used in the 2015 PG study).</w:t>
      </w:r>
      <w:r w:rsidR="0066718A">
        <w:rPr>
          <w:b/>
          <w:i/>
        </w:rPr>
        <w:t xml:space="preserve"> </w:t>
      </w:r>
      <w:r w:rsidR="006F3503" w:rsidRPr="006F3503">
        <w:t>The individual technologies characterized within each group are designed to capture var</w:t>
      </w:r>
      <w:r w:rsidR="001C0106">
        <w:t>ied</w:t>
      </w:r>
      <w:r w:rsidR="006F3503" w:rsidRPr="006F3503">
        <w:t xml:space="preserve"> efficiency levels including below code units, at code units, and multiple levels of high efficiency units (up to an including “emerging technologies” where appropriate.)  In determining which technologies to include in a group, the team considers possible future code levels as well as popular efficiency levels historically rebated by IOU programs.</w:t>
      </w:r>
    </w:p>
    <w:p w14:paraId="44580E23" w14:textId="77777777" w:rsidR="007851FD" w:rsidRDefault="007851FD" w:rsidP="00932B52">
      <w:pPr>
        <w:rPr>
          <w:highlight w:val="yellow"/>
        </w:rPr>
      </w:pPr>
    </w:p>
    <w:p w14:paraId="012325B7" w14:textId="77777777" w:rsidR="007851FD" w:rsidRDefault="007851FD" w:rsidP="00CF53E9">
      <w:pPr>
        <w:pStyle w:val="Caption"/>
        <w:rPr>
          <w:highlight w:val="yellow"/>
        </w:rPr>
      </w:pPr>
      <w:bookmarkStart w:id="163" w:name="_Ref481591453"/>
      <w:bookmarkStart w:id="164" w:name="_Toc482634203"/>
      <w:bookmarkStart w:id="165" w:name="_Toc484436942"/>
      <w:bookmarkStart w:id="166" w:name="_Toc485125652"/>
      <w:r>
        <w:t xml:space="preserve">Table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w:t>
      </w:r>
      <w:r w:rsidR="00272F76">
        <w:rPr>
          <w:noProof/>
        </w:rPr>
        <w:fldChar w:fldCharType="end"/>
      </w:r>
      <w:bookmarkEnd w:id="163"/>
      <w:r w:rsidR="00BB59F5">
        <w:t>.</w:t>
      </w:r>
      <w:r>
        <w:t xml:space="preserve"> Example of Technologies within a </w:t>
      </w:r>
      <w:r w:rsidR="00861EB3">
        <w:t>Technology</w:t>
      </w:r>
      <w:r>
        <w:t xml:space="preserve"> Group</w:t>
      </w:r>
      <w:bookmarkEnd w:id="164"/>
      <w:bookmarkEnd w:id="165"/>
      <w:bookmarkEnd w:id="166"/>
    </w:p>
    <w:tbl>
      <w:tblPr>
        <w:tblStyle w:val="EnergyTable1"/>
        <w:tblW w:w="7830" w:type="dxa"/>
        <w:tblLook w:val="04A0" w:firstRow="1" w:lastRow="0" w:firstColumn="1" w:lastColumn="0" w:noHBand="0" w:noVBand="1"/>
      </w:tblPr>
      <w:tblGrid>
        <w:gridCol w:w="1800"/>
        <w:gridCol w:w="2430"/>
        <w:gridCol w:w="3600"/>
      </w:tblGrid>
      <w:tr w:rsidR="00CF53E9" w:rsidRPr="00CF53E9" w14:paraId="121CF94D" w14:textId="77777777" w:rsidTr="00110120">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00" w:type="dxa"/>
          </w:tcPr>
          <w:p w14:paraId="3C6A9E85" w14:textId="77777777" w:rsidR="00CF53E9" w:rsidRPr="00CF53E9" w:rsidRDefault="00CF53E9" w:rsidP="00CF53E9">
            <w:pPr>
              <w:keepNext/>
              <w:rPr>
                <w:rFonts w:ascii="Arial Narrow" w:hAnsi="Arial Narrow"/>
              </w:rPr>
            </w:pPr>
            <w:r w:rsidRPr="00CF53E9">
              <w:rPr>
                <w:rFonts w:ascii="Arial Narrow" w:hAnsi="Arial Narrow"/>
              </w:rPr>
              <w:t>Technology Group</w:t>
            </w:r>
          </w:p>
        </w:tc>
        <w:tc>
          <w:tcPr>
            <w:tcW w:w="2430" w:type="dxa"/>
          </w:tcPr>
          <w:p w14:paraId="61502144" w14:textId="77777777" w:rsidR="00CF53E9" w:rsidRPr="00CF53E9" w:rsidRDefault="00CF53E9" w:rsidP="00CF53E9">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Technology</w:t>
            </w:r>
          </w:p>
        </w:tc>
        <w:tc>
          <w:tcPr>
            <w:tcW w:w="3600" w:type="dxa"/>
          </w:tcPr>
          <w:p w14:paraId="5A1927E9" w14:textId="77777777" w:rsidR="00CF53E9" w:rsidRPr="00CF53E9" w:rsidRDefault="00CF53E9" w:rsidP="00CF53E9">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Description</w:t>
            </w:r>
          </w:p>
        </w:tc>
      </w:tr>
      <w:tr w:rsidR="00CF53E9" w:rsidRPr="00CF53E9" w14:paraId="401CEC59" w14:textId="77777777" w:rsidTr="0011012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00" w:type="dxa"/>
            <w:vMerge w:val="restart"/>
          </w:tcPr>
          <w:p w14:paraId="7C94C8C6" w14:textId="77777777" w:rsidR="00CF53E9" w:rsidRPr="00CF53E9" w:rsidRDefault="00CF53E9" w:rsidP="00CF53E9">
            <w:pPr>
              <w:keepNext/>
              <w:rPr>
                <w:rFonts w:ascii="Arial Narrow" w:hAnsi="Arial Narrow"/>
              </w:rPr>
            </w:pPr>
            <w:r w:rsidRPr="00CF53E9">
              <w:rPr>
                <w:rFonts w:ascii="Arial Narrow" w:hAnsi="Arial Narrow"/>
              </w:rPr>
              <w:t>Residential Central AC</w:t>
            </w:r>
          </w:p>
        </w:tc>
        <w:tc>
          <w:tcPr>
            <w:tcW w:w="2430" w:type="dxa"/>
          </w:tcPr>
          <w:p w14:paraId="72E750E8"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Residential SEER 10 AC</w:t>
            </w:r>
          </w:p>
        </w:tc>
        <w:tc>
          <w:tcPr>
            <w:tcW w:w="3600" w:type="dxa"/>
          </w:tcPr>
          <w:p w14:paraId="2F17D396"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Average Below-Code Efficiency Level</w:t>
            </w:r>
          </w:p>
        </w:tc>
      </w:tr>
      <w:tr w:rsidR="00CF53E9" w:rsidRPr="00CF53E9" w14:paraId="0094704C" w14:textId="77777777" w:rsidTr="00110120">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800" w:type="dxa"/>
            <w:vMerge/>
          </w:tcPr>
          <w:p w14:paraId="30A3D76B" w14:textId="77777777" w:rsidR="00CF53E9" w:rsidRPr="00CF53E9" w:rsidRDefault="00CF53E9" w:rsidP="00CF53E9">
            <w:pPr>
              <w:keepNext/>
              <w:rPr>
                <w:rFonts w:ascii="Arial Narrow" w:hAnsi="Arial Narrow"/>
              </w:rPr>
            </w:pPr>
          </w:p>
        </w:tc>
        <w:tc>
          <w:tcPr>
            <w:tcW w:w="2430" w:type="dxa"/>
          </w:tcPr>
          <w:p w14:paraId="188BE97B"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Residential SEER 13 AC</w:t>
            </w:r>
          </w:p>
        </w:tc>
        <w:tc>
          <w:tcPr>
            <w:tcW w:w="3600" w:type="dxa"/>
          </w:tcPr>
          <w:p w14:paraId="4A88E3B5"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Code Efficiency Level pre 2015</w:t>
            </w:r>
          </w:p>
        </w:tc>
      </w:tr>
      <w:tr w:rsidR="00CF53E9" w:rsidRPr="00CF53E9" w14:paraId="5905D187" w14:textId="77777777" w:rsidTr="0011012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00" w:type="dxa"/>
            <w:vMerge/>
          </w:tcPr>
          <w:p w14:paraId="59A4C968" w14:textId="77777777" w:rsidR="00CF53E9" w:rsidRPr="00CF53E9" w:rsidRDefault="00CF53E9" w:rsidP="00CF53E9">
            <w:pPr>
              <w:keepNext/>
              <w:rPr>
                <w:rFonts w:ascii="Arial Narrow" w:hAnsi="Arial Narrow"/>
              </w:rPr>
            </w:pPr>
          </w:p>
        </w:tc>
        <w:tc>
          <w:tcPr>
            <w:tcW w:w="2430" w:type="dxa"/>
          </w:tcPr>
          <w:p w14:paraId="21CF84A9"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Residential SEER 14 AC</w:t>
            </w:r>
          </w:p>
        </w:tc>
        <w:tc>
          <w:tcPr>
            <w:tcW w:w="3600" w:type="dxa"/>
          </w:tcPr>
          <w:p w14:paraId="3120F939"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Code Efficiency Level 2015 and Beyond</w:t>
            </w:r>
          </w:p>
        </w:tc>
      </w:tr>
      <w:tr w:rsidR="00CF53E9" w:rsidRPr="00CF53E9" w14:paraId="7AE83983" w14:textId="77777777" w:rsidTr="00110120">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00" w:type="dxa"/>
            <w:vMerge/>
          </w:tcPr>
          <w:p w14:paraId="4F440F5E" w14:textId="77777777" w:rsidR="00CF53E9" w:rsidRPr="00CF53E9" w:rsidRDefault="00CF53E9" w:rsidP="00CF53E9">
            <w:pPr>
              <w:keepNext/>
              <w:rPr>
                <w:rFonts w:ascii="Arial Narrow" w:hAnsi="Arial Narrow"/>
              </w:rPr>
            </w:pPr>
          </w:p>
        </w:tc>
        <w:tc>
          <w:tcPr>
            <w:tcW w:w="2430" w:type="dxa"/>
          </w:tcPr>
          <w:p w14:paraId="010E7580"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Residential SEER 15 AC</w:t>
            </w:r>
          </w:p>
        </w:tc>
        <w:tc>
          <w:tcPr>
            <w:tcW w:w="3600" w:type="dxa"/>
          </w:tcPr>
          <w:p w14:paraId="22BE55A4"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High Efficiency Level 1</w:t>
            </w:r>
          </w:p>
        </w:tc>
      </w:tr>
      <w:tr w:rsidR="00CF53E9" w:rsidRPr="00CF53E9" w14:paraId="20CA5F11" w14:textId="77777777" w:rsidTr="0011012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00" w:type="dxa"/>
            <w:vMerge/>
          </w:tcPr>
          <w:p w14:paraId="39F34021" w14:textId="77777777" w:rsidR="00CF53E9" w:rsidRPr="00CF53E9" w:rsidRDefault="00CF53E9" w:rsidP="00CF53E9">
            <w:pPr>
              <w:keepNext/>
              <w:rPr>
                <w:rFonts w:ascii="Arial Narrow" w:hAnsi="Arial Narrow"/>
              </w:rPr>
            </w:pPr>
          </w:p>
        </w:tc>
        <w:tc>
          <w:tcPr>
            <w:tcW w:w="2430" w:type="dxa"/>
          </w:tcPr>
          <w:p w14:paraId="43EFF2A7"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Residential SEER 18 AC</w:t>
            </w:r>
          </w:p>
        </w:tc>
        <w:tc>
          <w:tcPr>
            <w:tcW w:w="3600" w:type="dxa"/>
          </w:tcPr>
          <w:p w14:paraId="673CC124"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High Efficiency Level 2</w:t>
            </w:r>
          </w:p>
        </w:tc>
      </w:tr>
      <w:tr w:rsidR="00CF53E9" w:rsidRPr="00CF53E9" w14:paraId="59B49BA2" w14:textId="77777777" w:rsidTr="00110120">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00" w:type="dxa"/>
            <w:vMerge/>
          </w:tcPr>
          <w:p w14:paraId="0EADD29D" w14:textId="77777777" w:rsidR="00CF53E9" w:rsidRPr="00CF53E9" w:rsidRDefault="00CF53E9" w:rsidP="00932B52">
            <w:pPr>
              <w:rPr>
                <w:rFonts w:ascii="Arial Narrow" w:hAnsi="Arial Narrow"/>
              </w:rPr>
            </w:pPr>
          </w:p>
        </w:tc>
        <w:tc>
          <w:tcPr>
            <w:tcW w:w="2430" w:type="dxa"/>
          </w:tcPr>
          <w:p w14:paraId="3D7596CB" w14:textId="77777777" w:rsidR="00CF53E9" w:rsidRPr="00CF53E9" w:rsidRDefault="00CF53E9" w:rsidP="00932B52">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Residential SEER 20 AC</w:t>
            </w:r>
          </w:p>
        </w:tc>
        <w:tc>
          <w:tcPr>
            <w:tcW w:w="3600" w:type="dxa"/>
          </w:tcPr>
          <w:p w14:paraId="6326C7B4" w14:textId="77777777" w:rsidR="00472284" w:rsidRDefault="00CF53E9" w:rsidP="00932B52">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High Efficiency Level 3</w:t>
            </w:r>
            <w:r w:rsidR="00472284">
              <w:rPr>
                <w:rFonts w:ascii="Arial Narrow" w:hAnsi="Arial Narrow"/>
              </w:rPr>
              <w:t xml:space="preserve"> </w:t>
            </w:r>
          </w:p>
          <w:p w14:paraId="61C83C0D" w14:textId="77777777" w:rsidR="00CF53E9" w:rsidRPr="00CF53E9" w:rsidRDefault="00472284" w:rsidP="00932B52">
            <w:pP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(i.e. Emerging Technology)</w:t>
            </w:r>
          </w:p>
        </w:tc>
      </w:tr>
    </w:tbl>
    <w:p w14:paraId="00C378B0" w14:textId="77777777" w:rsidR="00932B52" w:rsidRPr="006F560A" w:rsidRDefault="00932B52" w:rsidP="006F560A">
      <w:pPr>
        <w:rPr>
          <w:highlight w:val="yellow"/>
        </w:rPr>
      </w:pPr>
    </w:p>
    <w:p w14:paraId="65F99B74" w14:textId="77777777" w:rsidR="00B168EC" w:rsidRDefault="00B168EC" w:rsidP="00B168EC">
      <w:r>
        <w:t xml:space="preserve">The model simulates the flow of equipment stock </w:t>
      </w:r>
      <w:r w:rsidR="006F3503">
        <w:t>across the different technologies within a</w:t>
      </w:r>
      <w:r>
        <w:t xml:space="preserve"> technology group. Flow of stock occurs when the customer owning the equipment reaches a decision point to either maintain the existing equipment or replace it </w:t>
      </w:r>
      <w:r w:rsidR="001C0106">
        <w:t>with</w:t>
      </w:r>
      <w:r>
        <w:t xml:space="preserve"> </w:t>
      </w:r>
      <w:r w:rsidR="006F3503">
        <w:t>a new unit</w:t>
      </w:r>
      <w:r>
        <w:t xml:space="preserve">.  The decisions available to the customer in the model depend on the type of technology (discussed previously in section </w:t>
      </w:r>
      <w:r>
        <w:fldChar w:fldCharType="begin"/>
      </w:r>
      <w:r>
        <w:instrText xml:space="preserve"> REF _Ref481421825 \n \h </w:instrText>
      </w:r>
      <w:r>
        <w:fldChar w:fldCharType="separate"/>
      </w:r>
      <w:r w:rsidR="00C407F4">
        <w:t>2.1.1.1</w:t>
      </w:r>
      <w:r>
        <w:fldChar w:fldCharType="end"/>
      </w:r>
      <w:r>
        <w:t xml:space="preserve">) the equipment in question falls in. </w:t>
      </w:r>
      <w:r w:rsidR="00534065">
        <w:fldChar w:fldCharType="begin"/>
      </w:r>
      <w:r w:rsidR="00534065">
        <w:instrText xml:space="preserve"> REF _Ref481421844 \h </w:instrText>
      </w:r>
      <w:r w:rsidR="00534065">
        <w:fldChar w:fldCharType="separate"/>
      </w:r>
      <w:r w:rsidR="00C407F4">
        <w:t xml:space="preserve">Figure </w:t>
      </w:r>
      <w:r w:rsidR="00C407F4">
        <w:rPr>
          <w:noProof/>
        </w:rPr>
        <w:t>2</w:t>
      </w:r>
      <w:r w:rsidR="00C407F4">
        <w:noBreakHyphen/>
      </w:r>
      <w:r w:rsidR="00C407F4">
        <w:rPr>
          <w:noProof/>
        </w:rPr>
        <w:t>1</w:t>
      </w:r>
      <w:r w:rsidR="00534065">
        <w:fldChar w:fldCharType="end"/>
      </w:r>
      <w:r w:rsidR="00534065">
        <w:t xml:space="preserve"> below illustrates the replacement options a customer is faced with. The model allows customers to maintain their existing equipment, upgrade to higher efficiency equipment or downgrade from high efficiency equipment to code level equipment. With each replacement is associated a unique unit energy savings, cost, and cost effectiveness of the decision. </w:t>
      </w:r>
    </w:p>
    <w:p w14:paraId="33CD8EBA" w14:textId="77777777" w:rsidR="007851FD" w:rsidRDefault="007851FD" w:rsidP="007851FD"/>
    <w:p w14:paraId="6FE955DA" w14:textId="77777777" w:rsidR="00921BF1" w:rsidRDefault="00921BF1" w:rsidP="00921BF1">
      <w:pPr>
        <w:pStyle w:val="Caption"/>
      </w:pPr>
      <w:bookmarkStart w:id="167" w:name="_Ref481421844"/>
      <w:bookmarkStart w:id="168" w:name="_Toc482634243"/>
      <w:bookmarkStart w:id="169" w:name="_Toc482626452"/>
      <w:bookmarkStart w:id="170" w:name="_Toc484436992"/>
      <w:bookmarkStart w:id="171" w:name="_Toc485125501"/>
      <w:r>
        <w:t xml:space="preserve">Figure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1</w:t>
      </w:r>
      <w:r w:rsidR="00272F76">
        <w:rPr>
          <w:noProof/>
        </w:rPr>
        <w:fldChar w:fldCharType="end"/>
      </w:r>
      <w:bookmarkEnd w:id="167"/>
      <w:r w:rsidR="00BB59F5">
        <w:t>.</w:t>
      </w:r>
      <w:r>
        <w:t xml:space="preserve"> Stock Flow within a Technology Group</w:t>
      </w:r>
      <w:bookmarkEnd w:id="168"/>
      <w:bookmarkEnd w:id="169"/>
      <w:bookmarkEnd w:id="170"/>
      <w:bookmarkEnd w:id="171"/>
    </w:p>
    <w:p w14:paraId="658F75B1" w14:textId="77777777" w:rsidR="006F560A" w:rsidRDefault="00534065" w:rsidP="001744D2">
      <w:pPr>
        <w:jc w:val="center"/>
      </w:pPr>
      <w:r>
        <w:rPr>
          <w:noProof/>
        </w:rPr>
        <w:drawing>
          <wp:inline distT="0" distB="0" distL="0" distR="0" wp14:anchorId="3623CD1C" wp14:editId="16806997">
            <wp:extent cx="3818855" cy="26756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6388" cy="2680912"/>
                    </a:xfrm>
                    <a:prstGeom prst="rect">
                      <a:avLst/>
                    </a:prstGeom>
                    <a:noFill/>
                  </pic:spPr>
                </pic:pic>
              </a:graphicData>
            </a:graphic>
          </wp:inline>
        </w:drawing>
      </w:r>
    </w:p>
    <w:p w14:paraId="4BA2FDE9" w14:textId="77777777" w:rsidR="00A87F62" w:rsidRDefault="00A87F62" w:rsidP="00A87F62">
      <w:pPr>
        <w:pStyle w:val="Heading4"/>
      </w:pPr>
      <w:r>
        <w:lastRenderedPageBreak/>
        <w:t xml:space="preserve">Technical and Economic Potential </w:t>
      </w:r>
    </w:p>
    <w:p w14:paraId="46F3C217" w14:textId="77777777" w:rsidR="001744D2" w:rsidRPr="00EA23EC" w:rsidRDefault="001744D2" w:rsidP="001744D2">
      <w:r w:rsidRPr="00EA23EC">
        <w:t>Technical potential is defined as the amount of energy savings that would be possible if the highest level of efficiency for all technically applicable opportunities to improve energy efficiency were taken, including retrofit measures, replace-on-burnout measures, and new constructio</w:t>
      </w:r>
      <w:r w:rsidR="00B61CA5" w:rsidRPr="00EA23EC">
        <w:t>n measures. As previously discussed, technical potential can be reported in two forms: Instantaneous and Annualized. The following consideration</w:t>
      </w:r>
      <w:r w:rsidR="00EA23EC">
        <w:t>s</w:t>
      </w:r>
      <w:r w:rsidR="00B61CA5" w:rsidRPr="00EA23EC">
        <w:t xml:space="preserve"> are factored into our calculation of technical potential</w:t>
      </w:r>
      <w:r w:rsidRPr="00EA23EC">
        <w:t>:</w:t>
      </w:r>
    </w:p>
    <w:p w14:paraId="1069BC28" w14:textId="77777777" w:rsidR="00B61CA5" w:rsidRPr="00EA23EC" w:rsidRDefault="00EA23EC" w:rsidP="004E4E36">
      <w:pPr>
        <w:pStyle w:val="ListParagraph"/>
        <w:numPr>
          <w:ilvl w:val="0"/>
          <w:numId w:val="31"/>
        </w:numPr>
      </w:pPr>
      <w:r>
        <w:t xml:space="preserve">Technical potential assumes </w:t>
      </w:r>
      <w:r w:rsidR="00B61CA5" w:rsidRPr="00EA23EC">
        <w:t>all eligible customers within a technology group adopt the highest level of efficiency available within the technology group</w:t>
      </w:r>
    </w:p>
    <w:p w14:paraId="43640F2A" w14:textId="77777777" w:rsidR="001744D2" w:rsidRPr="00EA23EC" w:rsidRDefault="001744D2" w:rsidP="004E4E36">
      <w:pPr>
        <w:pStyle w:val="ListParagraph"/>
        <w:numPr>
          <w:ilvl w:val="0"/>
          <w:numId w:val="31"/>
        </w:numPr>
      </w:pPr>
      <w:r w:rsidRPr="00EA23EC">
        <w:t xml:space="preserve">Technical potential </w:t>
      </w:r>
      <w:r w:rsidR="00B61CA5" w:rsidRPr="00EA23EC">
        <w:t xml:space="preserve">represents the </w:t>
      </w:r>
      <w:r w:rsidRPr="00EA23EC">
        <w:t xml:space="preserve">savings from </w:t>
      </w:r>
      <w:r w:rsidR="00B61CA5" w:rsidRPr="00EA23EC">
        <w:t xml:space="preserve">converting </w:t>
      </w:r>
      <w:r w:rsidRPr="00EA23EC">
        <w:t xml:space="preserve">all equipment </w:t>
      </w:r>
      <w:r w:rsidR="00B61CA5" w:rsidRPr="00EA23EC">
        <w:t xml:space="preserve">that is </w:t>
      </w:r>
      <w:r w:rsidRPr="00EA23EC">
        <w:t>at or below code to the highest level of efficiency</w:t>
      </w:r>
      <w:r w:rsidR="00B61CA5" w:rsidRPr="00EA23EC">
        <w:t xml:space="preserve"> within a technology group</w:t>
      </w:r>
      <w:r w:rsidRPr="00EA23EC">
        <w:t xml:space="preserve">. </w:t>
      </w:r>
    </w:p>
    <w:p w14:paraId="70A6A6C8" w14:textId="77777777" w:rsidR="001744D2" w:rsidRPr="00EA23EC" w:rsidRDefault="00B61CA5" w:rsidP="004E4E36">
      <w:pPr>
        <w:pStyle w:val="ListParagraph"/>
        <w:numPr>
          <w:ilvl w:val="0"/>
          <w:numId w:val="31"/>
        </w:numPr>
      </w:pPr>
      <w:r w:rsidRPr="00EA23EC">
        <w:t>Total technical potential is a sum of all individual technical potential within each technology group excluding w</w:t>
      </w:r>
      <w:r w:rsidR="001744D2" w:rsidRPr="00EA23EC">
        <w:t>hole building packages</w:t>
      </w:r>
      <w:r w:rsidRPr="00EA23EC">
        <w:t xml:space="preserve">, low income programs, </w:t>
      </w:r>
      <w:r w:rsidR="00EA23EC" w:rsidRPr="00EA23EC">
        <w:t xml:space="preserve">and BROs. Whole building packages are excluded from the technical potential as doing so would be duplicative. Technical potential for low income programs and BROs are undefined in our study. </w:t>
      </w:r>
    </w:p>
    <w:p w14:paraId="44592F68" w14:textId="77777777" w:rsidR="001744D2" w:rsidRDefault="001744D2" w:rsidP="001744D2"/>
    <w:p w14:paraId="2C7C8039" w14:textId="77777777" w:rsidR="001744D2" w:rsidRPr="001744D2" w:rsidRDefault="001744D2" w:rsidP="001744D2">
      <w:pPr>
        <w:rPr>
          <w:highlight w:val="yellow"/>
        </w:rPr>
      </w:pPr>
      <w:r>
        <w:t>Using the results of the technical potential analysis, the economic potential is calculated as the total energy efficiency potential available when limited to only cost effective measures.</w:t>
      </w:r>
      <w:r>
        <w:rPr>
          <w:rStyle w:val="CommentReference"/>
        </w:rPr>
        <w:t xml:space="preserve"> </w:t>
      </w:r>
      <w:r>
        <w:t xml:space="preserve"> All components of economic potential are a subset of technical potential.  </w:t>
      </w:r>
      <w:r w:rsidR="00EA23EC">
        <w:t xml:space="preserve">In addition to the above considerations in modeling technical potential, the </w:t>
      </w:r>
      <w:r w:rsidR="00EA23EC" w:rsidRPr="00EA23EC">
        <w:t xml:space="preserve">following </w:t>
      </w:r>
      <w:r w:rsidR="00EA23EC">
        <w:t xml:space="preserve">additional </w:t>
      </w:r>
      <w:r w:rsidR="00EA23EC" w:rsidRPr="00EA23EC">
        <w:t>consideration</w:t>
      </w:r>
      <w:r w:rsidR="00EA23EC">
        <w:t>s</w:t>
      </w:r>
      <w:r w:rsidR="00EA23EC" w:rsidRPr="00EA23EC">
        <w:t xml:space="preserve"> are factored into our calculation of </w:t>
      </w:r>
      <w:r w:rsidR="00EA23EC">
        <w:t>economic</w:t>
      </w:r>
      <w:r w:rsidR="00EA23EC" w:rsidRPr="00EA23EC">
        <w:t xml:space="preserve"> potential:</w:t>
      </w:r>
    </w:p>
    <w:p w14:paraId="3F4FE393" w14:textId="77777777" w:rsidR="00EA23EC" w:rsidRPr="00EA23EC" w:rsidRDefault="00EA23EC" w:rsidP="004E4E36">
      <w:pPr>
        <w:pStyle w:val="ListParagraph"/>
        <w:numPr>
          <w:ilvl w:val="0"/>
          <w:numId w:val="32"/>
        </w:numPr>
      </w:pPr>
      <w:r>
        <w:t xml:space="preserve">Economic potential assumes </w:t>
      </w:r>
      <w:r w:rsidRPr="00EA23EC">
        <w:t xml:space="preserve">all eligible customers within a technology group adopt the highest </w:t>
      </w:r>
      <w:r w:rsidRPr="00EA23EC">
        <w:rPr>
          <w:b/>
        </w:rPr>
        <w:t>cost-effective</w:t>
      </w:r>
      <w:r>
        <w:t xml:space="preserve"> </w:t>
      </w:r>
      <w:r w:rsidRPr="00EA23EC">
        <w:t>level of efficiency available within the technology group</w:t>
      </w:r>
      <w:r>
        <w:t>. The most efficient technology within the group may not be cost effective.</w:t>
      </w:r>
    </w:p>
    <w:p w14:paraId="76DA4236" w14:textId="77777777" w:rsidR="001744D2" w:rsidRPr="00EA23EC" w:rsidRDefault="00EA23EC" w:rsidP="004E4E36">
      <w:pPr>
        <w:pStyle w:val="ListParagraph"/>
        <w:numPr>
          <w:ilvl w:val="0"/>
          <w:numId w:val="32"/>
        </w:numPr>
      </w:pPr>
      <w:r w:rsidRPr="00EA23EC">
        <w:t xml:space="preserve">Various cost effectiveness screens can be applied (previously discussed in Section </w:t>
      </w:r>
      <w:r w:rsidRPr="00EA23EC">
        <w:fldChar w:fldCharType="begin"/>
      </w:r>
      <w:r w:rsidRPr="00EA23EC">
        <w:instrText xml:space="preserve"> REF _Ref474512846 \n \h </w:instrText>
      </w:r>
      <w:r>
        <w:instrText xml:space="preserve"> \* MERGEFORMAT </w:instrText>
      </w:r>
      <w:r w:rsidRPr="00EA23EC">
        <w:fldChar w:fldCharType="separate"/>
      </w:r>
      <w:r w:rsidR="00C407F4">
        <w:t>1.2</w:t>
      </w:r>
      <w:r w:rsidRPr="00EA23EC">
        <w:fldChar w:fldCharType="end"/>
      </w:r>
      <w:r w:rsidRPr="00EA23EC">
        <w:t>); thus, economic potential can vary by scenario. Meanwhile, technical potential does not vary by scenario.</w:t>
      </w:r>
    </w:p>
    <w:p w14:paraId="2E2AFA38" w14:textId="77777777" w:rsidR="00A87F62" w:rsidRDefault="00A87F62" w:rsidP="00A87F62">
      <w:pPr>
        <w:pStyle w:val="Heading4"/>
      </w:pPr>
      <w:bookmarkStart w:id="172" w:name="_Ref481682182"/>
      <w:r>
        <w:t>Market Potential</w:t>
      </w:r>
      <w:bookmarkEnd w:id="172"/>
    </w:p>
    <w:p w14:paraId="41CDFFB3" w14:textId="2E580A8F" w:rsidR="00FF101E" w:rsidRDefault="00CD1669" w:rsidP="00CD1669">
      <w:r w:rsidRPr="00CD1669">
        <w:t xml:space="preserve">To estimate the market potential for </w:t>
      </w:r>
      <w:r w:rsidR="00426439">
        <w:t>rebated technologies,</w:t>
      </w:r>
      <w:r w:rsidR="00FF101E">
        <w:t xml:space="preserve"> the model employs a three-step process as shown</w:t>
      </w:r>
      <w:r w:rsidR="00426EC7">
        <w:t xml:space="preserve"> in</w:t>
      </w:r>
      <w:r w:rsidR="00FF101E">
        <w:t xml:space="preserve"> </w:t>
      </w:r>
      <w:r w:rsidR="001F730E">
        <w:fldChar w:fldCharType="begin"/>
      </w:r>
      <w:r w:rsidR="001F730E">
        <w:instrText xml:space="preserve"> REF _Ref485127794 \h </w:instrText>
      </w:r>
      <w:r w:rsidR="001F730E">
        <w:fldChar w:fldCharType="separate"/>
      </w:r>
      <w:r w:rsidR="001F730E">
        <w:t xml:space="preserve">Figure </w:t>
      </w:r>
      <w:r w:rsidR="001F730E">
        <w:rPr>
          <w:noProof/>
        </w:rPr>
        <w:t>2</w:t>
      </w:r>
      <w:r w:rsidR="001F730E">
        <w:noBreakHyphen/>
      </w:r>
      <w:r w:rsidR="001F730E">
        <w:rPr>
          <w:noProof/>
        </w:rPr>
        <w:t>2</w:t>
      </w:r>
      <w:r w:rsidR="001F730E">
        <w:fldChar w:fldCharType="end"/>
      </w:r>
      <w:r w:rsidR="00426EC7">
        <w:t>. In the first step, the model calculates the number of installation decisions expected to occur for each measure in each yea</w:t>
      </w:r>
      <w:r w:rsidR="0096700D">
        <w:t>r. The types of installations decisions vary by type of technology. For ROB technologies (e.g. residential lighting)</w:t>
      </w:r>
      <w:r w:rsidR="006C5756">
        <w:t>, the</w:t>
      </w:r>
      <w:r w:rsidR="0096700D">
        <w:t xml:space="preserve"> customer </w:t>
      </w:r>
      <w:r w:rsidR="006C5756">
        <w:t>decision to adopt occurs</w:t>
      </w:r>
      <w:r w:rsidR="0096700D">
        <w:t xml:space="preserve"> at the end of the base measure’s life. For accelerated </w:t>
      </w:r>
      <w:r w:rsidR="006C5756">
        <w:t>replacement where equipment is past the EUL (e.g. commercial chillers), we model the customer decision to adopt past the EUL (based on the extended life due to repair). Finally, for RET technologies the customer adoption decision is not governed by equipment failure and thus can occur before or after the EUL. The model simulates technology stocks for base and efficient technologies separately to account for EUL differences</w:t>
      </w:r>
      <w:r w:rsidR="00DB5239">
        <w:t xml:space="preserve">. The number of adoption decisions that occur </w:t>
      </w:r>
      <w:r w:rsidR="00431BBE">
        <w:t>in each</w:t>
      </w:r>
      <w:r w:rsidR="00DB5239">
        <w:t xml:space="preserve"> year is considered the “eligible population”, which is a function of the building stocks, technology saturation, type of technology, and technology burnout rates (i.e., based on EUL).</w:t>
      </w:r>
    </w:p>
    <w:p w14:paraId="16D74933" w14:textId="77777777" w:rsidR="00DB5239" w:rsidRDefault="00DB5239" w:rsidP="00110120"/>
    <w:p w14:paraId="5C1FF4D4" w14:textId="77777777" w:rsidR="00DB5239" w:rsidRDefault="00DB5239" w:rsidP="00CD1669">
      <w:r>
        <w:t xml:space="preserve">In the second step, the model simulates the adoption of each measure that passes a cost-effectiveness screen </w:t>
      </w:r>
      <w:r w:rsidR="00431BBE">
        <w:t>in each</w:t>
      </w:r>
      <w:r>
        <w:t xml:space="preserve"> year.</w:t>
      </w:r>
      <w:r w:rsidR="00431BBE">
        <w:t xml:space="preserve"> The model considers the number of installation decisions that may occur in each year, the estimated level of awareness of each measure in the eligible population, and the willingness to adopt each measure that passes the cost-effectiveness screen. It is in this step that the PG model </w:t>
      </w:r>
      <w:r w:rsidR="00431BBE">
        <w:lastRenderedPageBreak/>
        <w:t>employs the Bass Diffusion approach to simulate adoption that is described in more detail below. In the final step, the model calculates energy savings and corresponding costs and benefits resulting from measure adoption decisions in the second step. Savings are calculated relative to the appropriate baseline efficiency</w:t>
      </w:r>
      <w:r w:rsidR="00111AA5">
        <w:t xml:space="preserve"> level depending on the type of replacement.</w:t>
      </w:r>
    </w:p>
    <w:p w14:paraId="510057E9" w14:textId="77777777" w:rsidR="00FF101E" w:rsidRDefault="00FF101E" w:rsidP="00CD1669"/>
    <w:p w14:paraId="153958E5" w14:textId="77777777" w:rsidR="004A080C" w:rsidRDefault="006B655B" w:rsidP="006B655B">
      <w:pPr>
        <w:pStyle w:val="Caption"/>
      </w:pPr>
      <w:bookmarkStart w:id="173" w:name="_Ref483403309"/>
      <w:bookmarkStart w:id="174" w:name="_Ref485127794"/>
      <w:bookmarkStart w:id="175" w:name="_Toc484436993"/>
      <w:bookmarkStart w:id="176" w:name="_Toc485125502"/>
      <w:bookmarkEnd w:id="173"/>
      <w:r>
        <w:t xml:space="preserve">Figure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2</w:t>
      </w:r>
      <w:r w:rsidR="00272F76">
        <w:rPr>
          <w:noProof/>
        </w:rPr>
        <w:fldChar w:fldCharType="end"/>
      </w:r>
      <w:bookmarkEnd w:id="174"/>
      <w:r w:rsidR="004A080C">
        <w:t>. Three-Step Approach to Calculating Market Potential for Rebated Measures</w:t>
      </w:r>
      <w:bookmarkEnd w:id="175"/>
      <w:bookmarkEnd w:id="176"/>
    </w:p>
    <w:p w14:paraId="5413F519" w14:textId="77777777" w:rsidR="00102771" w:rsidRDefault="002076B5" w:rsidP="00CD1669">
      <w:r>
        <w:rPr>
          <w:noProof/>
        </w:rPr>
        <w:drawing>
          <wp:inline distT="0" distB="0" distL="0" distR="0" wp14:anchorId="575F8518" wp14:editId="0681CF40">
            <wp:extent cx="5943600" cy="3050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50540"/>
                    </a:xfrm>
                    <a:prstGeom prst="rect">
                      <a:avLst/>
                    </a:prstGeom>
                  </pic:spPr>
                </pic:pic>
              </a:graphicData>
            </a:graphic>
          </wp:inline>
        </w:drawing>
      </w:r>
    </w:p>
    <w:p w14:paraId="1CAEAADB" w14:textId="77777777" w:rsidR="00FF101E" w:rsidRDefault="00FF101E" w:rsidP="00CD1669"/>
    <w:p w14:paraId="73DD672D" w14:textId="77777777" w:rsidR="00CD1669" w:rsidRPr="00CD1669" w:rsidRDefault="00EE70E7" w:rsidP="00CD1669">
      <w:r>
        <w:t>As noted above, the</w:t>
      </w:r>
      <w:r w:rsidRPr="00CD1669">
        <w:t xml:space="preserve"> model employs a bottom-up dynamic Bass Diffusion approach to simulate market adoption of efficient measures</w:t>
      </w:r>
      <w:r w:rsidR="00CD1669" w:rsidRPr="00CD1669">
        <w:t xml:space="preserve">. The </w:t>
      </w:r>
      <w:r>
        <w:t>B</w:t>
      </w:r>
      <w:r w:rsidR="00CD1669" w:rsidRPr="00CD1669">
        <w:t xml:space="preserve">ass </w:t>
      </w:r>
      <w:r>
        <w:t>D</w:t>
      </w:r>
      <w:r w:rsidR="00CD1669" w:rsidRPr="00CD1669">
        <w:t xml:space="preserve">iffusion model is illustrated in </w:t>
      </w:r>
      <w:r w:rsidR="00EA23EC">
        <w:fldChar w:fldCharType="begin"/>
      </w:r>
      <w:r w:rsidR="00EA23EC">
        <w:instrText xml:space="preserve"> REF _Ref481592520 \h </w:instrText>
      </w:r>
      <w:r w:rsidR="00EA23EC">
        <w:fldChar w:fldCharType="separate"/>
      </w:r>
      <w:r w:rsidR="00C407F4">
        <w:t xml:space="preserve">Figure </w:t>
      </w:r>
      <w:r w:rsidR="00C407F4">
        <w:rPr>
          <w:noProof/>
        </w:rPr>
        <w:t>2</w:t>
      </w:r>
      <w:r w:rsidR="00C407F4">
        <w:noBreakHyphen/>
      </w:r>
      <w:r w:rsidR="00C407F4">
        <w:rPr>
          <w:noProof/>
        </w:rPr>
        <w:t>3</w:t>
      </w:r>
      <w:r w:rsidR="00EA23EC">
        <w:fldChar w:fldCharType="end"/>
      </w:r>
      <w:r w:rsidR="00EA23EC">
        <w:t xml:space="preserve"> </w:t>
      </w:r>
      <w:r w:rsidR="00CD1669" w:rsidRPr="00CD1669">
        <w:t>and contains three parameters:</w:t>
      </w:r>
    </w:p>
    <w:p w14:paraId="0FCC1E77" w14:textId="77777777" w:rsidR="00CD1669" w:rsidRPr="00CD1669" w:rsidRDefault="00CD1669" w:rsidP="004E4E36">
      <w:pPr>
        <w:pStyle w:val="ListParagraph"/>
        <w:numPr>
          <w:ilvl w:val="0"/>
          <w:numId w:val="14"/>
        </w:numPr>
        <w:ind w:left="720" w:hanging="360"/>
      </w:pPr>
      <w:r w:rsidRPr="00CD1669">
        <w:rPr>
          <w:b/>
        </w:rPr>
        <w:t>Marketing, education, and outreach</w:t>
      </w:r>
      <w:r w:rsidRPr="00CD1669">
        <w:t xml:space="preserve"> (ME&amp;O) moves customers from the unaware group to the aware group at a consistent rate annually. Unaware customers, as the name implies, have no knowledge of the energy efficient technology option. Aware customers are those that have knowledge of the product and understand its attributes. ME&amp;O is often referred to as the “Advertising Effect” in Bass Diffusion modeling.</w:t>
      </w:r>
    </w:p>
    <w:p w14:paraId="24B96B1D" w14:textId="77777777" w:rsidR="00CD1669" w:rsidRPr="00CD1669" w:rsidRDefault="00CD1669" w:rsidP="004E4E36">
      <w:pPr>
        <w:pStyle w:val="ListParagraph"/>
        <w:numPr>
          <w:ilvl w:val="0"/>
          <w:numId w:val="14"/>
        </w:numPr>
        <w:ind w:left="720" w:hanging="360"/>
      </w:pPr>
      <w:r w:rsidRPr="00CD1669">
        <w:rPr>
          <w:b/>
        </w:rPr>
        <w:t>Word of mouth</w:t>
      </w:r>
      <w:r w:rsidRPr="00CD1669">
        <w:t xml:space="preserve"> represents the influence of adopters (or other aware consumers) on the unaware population by informing them of efficient technologies and their attributes. This influence increases the rate at which customers move from the unaware to the aware group; the word-of-mouth influence occurs in addition to the ongoing ME&amp;O. When a product is new to the market with few installations, often ME&amp;O is the main source driving unaware customers to the aware group. As more customers become aware and adopt, however, word of mouth can have a greater influence on awareness than ME&amp;O, and leads to exponential growth. The exponential growth is ultimately damped by the saturation of the market, leading to an S-shaped adoption curve, which has frequently been observed for efficient technologies.</w:t>
      </w:r>
    </w:p>
    <w:p w14:paraId="784EEDA1" w14:textId="77777777" w:rsidR="00CD1669" w:rsidRPr="00CD1669" w:rsidRDefault="00CD1669" w:rsidP="004E4E36">
      <w:pPr>
        <w:pStyle w:val="ListParagraph"/>
        <w:numPr>
          <w:ilvl w:val="0"/>
          <w:numId w:val="14"/>
        </w:numPr>
        <w:ind w:left="720" w:hanging="360"/>
      </w:pPr>
      <w:r w:rsidRPr="00CD1669">
        <w:rPr>
          <w:b/>
        </w:rPr>
        <w:t>Willingness</w:t>
      </w:r>
      <w:r w:rsidRPr="00CD1669">
        <w:t xml:space="preserve"> is the key factor affecting the move from an aware customer to an adopter. Once customers are aware of the measure, they consider adopting the technology based on the financial attractiveness of the measure. </w:t>
      </w:r>
      <w:r w:rsidR="00EE70E7" w:rsidRPr="00CD1669">
        <w:t xml:space="preserve">The PG Model applies </w:t>
      </w:r>
      <w:r w:rsidR="00EE70E7">
        <w:t xml:space="preserve">two distinct approaches to </w:t>
      </w:r>
      <w:r w:rsidR="00EE70E7">
        <w:lastRenderedPageBreak/>
        <w:t xml:space="preserve">calculate willingness depending on the sector and need. Additional discussion of willingness follows the figure below. </w:t>
      </w:r>
      <w:r w:rsidR="00974FAC">
        <w:t xml:space="preserve"> </w:t>
      </w:r>
    </w:p>
    <w:p w14:paraId="06FF3F3D" w14:textId="77777777" w:rsidR="00CD1669" w:rsidRDefault="00CD1669" w:rsidP="00CD1669">
      <w:pPr>
        <w:pStyle w:val="Caption"/>
        <w:jc w:val="left"/>
      </w:pPr>
    </w:p>
    <w:p w14:paraId="0929C37B" w14:textId="77777777" w:rsidR="0099602B" w:rsidRDefault="0099602B" w:rsidP="0099602B">
      <w:pPr>
        <w:pStyle w:val="Caption"/>
        <w:jc w:val="left"/>
      </w:pPr>
      <w:bookmarkStart w:id="177" w:name="_Ref481592520"/>
      <w:bookmarkStart w:id="178" w:name="_Toc482634244"/>
      <w:bookmarkStart w:id="179" w:name="_Toc482626453"/>
      <w:bookmarkStart w:id="180" w:name="_Toc484436994"/>
      <w:bookmarkStart w:id="181" w:name="_Toc485125503"/>
      <w:r>
        <w:t xml:space="preserve">Figure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3</w:t>
      </w:r>
      <w:r w:rsidR="00272F76">
        <w:rPr>
          <w:noProof/>
        </w:rPr>
        <w:fldChar w:fldCharType="end"/>
      </w:r>
      <w:bookmarkEnd w:id="177"/>
      <w:r>
        <w:t xml:space="preserve">. </w:t>
      </w:r>
      <w:r w:rsidRPr="00440D6A">
        <w:t>The Bass Diffusion Framework</w:t>
      </w:r>
      <w:r w:rsidR="00B63C13">
        <w:t>:</w:t>
      </w:r>
      <w:r w:rsidRPr="00440D6A">
        <w:t xml:space="preserve"> </w:t>
      </w:r>
      <w:r w:rsidR="00B63C13">
        <w:t>A</w:t>
      </w:r>
      <w:r w:rsidRPr="00440D6A">
        <w:t xml:space="preserve"> Dynamic Approach to Calculating Measure Adoption</w:t>
      </w:r>
      <w:bookmarkEnd w:id="178"/>
      <w:bookmarkEnd w:id="179"/>
      <w:r w:rsidR="00102771">
        <w:rPr>
          <w:rStyle w:val="FootnoteReference"/>
        </w:rPr>
        <w:footnoteReference w:id="18"/>
      </w:r>
      <w:bookmarkEnd w:id="180"/>
      <w:bookmarkEnd w:id="181"/>
    </w:p>
    <w:p w14:paraId="223D01A1" w14:textId="77777777" w:rsidR="00CD1669" w:rsidRDefault="00CD1669" w:rsidP="00CD1669"/>
    <w:p w14:paraId="19743CF5" w14:textId="77777777" w:rsidR="00FE3290" w:rsidRDefault="00FE3290" w:rsidP="006B655B">
      <w:pPr>
        <w:jc w:val="center"/>
      </w:pPr>
      <w:r>
        <w:rPr>
          <w:noProof/>
        </w:rPr>
        <w:drawing>
          <wp:inline distT="0" distB="0" distL="0" distR="0" wp14:anchorId="3CF88272" wp14:editId="24B13219">
            <wp:extent cx="5895340" cy="160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340" cy="1609725"/>
                    </a:xfrm>
                    <a:prstGeom prst="rect">
                      <a:avLst/>
                    </a:prstGeom>
                    <a:noFill/>
                  </pic:spPr>
                </pic:pic>
              </a:graphicData>
            </a:graphic>
          </wp:inline>
        </w:drawing>
      </w:r>
    </w:p>
    <w:p w14:paraId="1B5330B6" w14:textId="77777777" w:rsidR="00763F6F" w:rsidRDefault="00763F6F" w:rsidP="00110120">
      <w:pPr>
        <w:rPr>
          <w:highlight w:val="yellow"/>
        </w:rPr>
      </w:pPr>
    </w:p>
    <w:p w14:paraId="61808850" w14:textId="77777777" w:rsidR="00BE50CA" w:rsidRDefault="00BE50CA" w:rsidP="00BE50CA">
      <w:pPr>
        <w:rPr>
          <w:highlight w:val="yellow"/>
        </w:rPr>
      </w:pPr>
    </w:p>
    <w:p w14:paraId="1AFA48DF" w14:textId="77777777" w:rsidR="00BE50CA" w:rsidRDefault="00D827FB" w:rsidP="00BE50CA">
      <w:pPr>
        <w:rPr>
          <w:b/>
        </w:rPr>
      </w:pPr>
      <w:r>
        <w:rPr>
          <w:b/>
        </w:rPr>
        <w:t>Approach to Calculating Willingness</w:t>
      </w:r>
    </w:p>
    <w:p w14:paraId="0ECA4465" w14:textId="77777777" w:rsidR="00BE50CA" w:rsidRDefault="00BE50CA" w:rsidP="00BE50CA">
      <w:r>
        <w:t>Customer willingness to adopt is a key determinant of long-run market share i.e. what percentage of individuals choose to purchase a technology provided those individuals are aware of the technology and its relative merits (e.g. the energy- and cost-saving features of the technology). The PG Model applies two approaches to calculating willingness depending on the sector:</w:t>
      </w:r>
    </w:p>
    <w:p w14:paraId="00AE7EB5" w14:textId="77777777" w:rsidR="00BE50CA" w:rsidRPr="00BE50CA" w:rsidRDefault="00BE50CA" w:rsidP="004E4E36">
      <w:pPr>
        <w:pStyle w:val="ListParagraph"/>
        <w:numPr>
          <w:ilvl w:val="0"/>
          <w:numId w:val="47"/>
        </w:numPr>
        <w:rPr>
          <w:b/>
        </w:rPr>
      </w:pPr>
      <w:r>
        <w:rPr>
          <w:b/>
        </w:rPr>
        <w:t xml:space="preserve">Levelized Measure Cost/Logit Approach: </w:t>
      </w:r>
      <w:r>
        <w:t xml:space="preserve"> For the residential and commercial sectors where information on baseline and efficient costs are available, and to more appropriately capture the impacts of EE financing on market adoption, a levelized measure cost</w:t>
      </w:r>
      <w:r w:rsidR="00372465">
        <w:t xml:space="preserve"> (LMC)/logit</w:t>
      </w:r>
      <w:r>
        <w:t xml:space="preserve"> approach</w:t>
      </w:r>
      <w:r w:rsidR="00372465">
        <w:t xml:space="preserve"> </w:t>
      </w:r>
      <w:r>
        <w:t>is applied. The levelized measure cost is based on the present value of the cost of purchasing and operating the equipment throughout its EUL</w:t>
      </w:r>
      <w:r w:rsidR="00EF098C">
        <w:t>, discounted using a consumer implied discount rate (iDR)</w:t>
      </w:r>
      <w:r w:rsidR="00EF098C">
        <w:rPr>
          <w:rStyle w:val="FootnoteReference"/>
        </w:rPr>
        <w:footnoteReference w:id="19"/>
      </w:r>
      <w:r>
        <w:t>.</w:t>
      </w:r>
      <w:r w:rsidR="00EF098C">
        <w:t xml:space="preserve"> </w:t>
      </w:r>
      <w:r w:rsidR="00372465">
        <w:t>The equation used to calculate the LMC is shown below.</w:t>
      </w:r>
    </w:p>
    <w:p w14:paraId="413F9914" w14:textId="77777777" w:rsidR="00BE50CA" w:rsidRDefault="00BE50CA" w:rsidP="00BE50CA">
      <w:pPr>
        <w:rPr>
          <w:b/>
        </w:rPr>
      </w:pPr>
    </w:p>
    <w:p w14:paraId="3FE07E5E" w14:textId="77777777" w:rsidR="00BE50CA" w:rsidRPr="00372465" w:rsidRDefault="00372465" w:rsidP="00372465">
      <w:pPr>
        <w:pStyle w:val="Caption"/>
        <w:rPr>
          <w:lang w:val="en-CA"/>
        </w:rPr>
      </w:pPr>
      <w:bookmarkStart w:id="182" w:name="_Toc453705775"/>
      <w:bookmarkStart w:id="183" w:name="_Toc453772178"/>
      <w:bookmarkStart w:id="184" w:name="_Toc453801871"/>
      <w:bookmarkStart w:id="185" w:name="_Toc453796560"/>
      <w:bookmarkStart w:id="186" w:name="_Toc456978335"/>
      <w:bookmarkStart w:id="187" w:name="_Toc457941381"/>
      <w:r w:rsidRPr="00321BF9">
        <w:t xml:space="preserve">Equation </w:t>
      </w:r>
      <w:r w:rsidR="00272F76">
        <w:fldChar w:fldCharType="begin"/>
      </w:r>
      <w:r w:rsidR="00272F76">
        <w:instrText xml:space="preserve"> SEQ Eq</w:instrText>
      </w:r>
      <w:r w:rsidR="00272F76">
        <w:instrText xml:space="preserve">uation \* ARABIC </w:instrText>
      </w:r>
      <w:r w:rsidR="00272F76">
        <w:fldChar w:fldCharType="separate"/>
      </w:r>
      <w:r w:rsidR="00C407F4">
        <w:rPr>
          <w:noProof/>
        </w:rPr>
        <w:t>1</w:t>
      </w:r>
      <w:r w:rsidR="00272F76">
        <w:rPr>
          <w:noProof/>
        </w:rPr>
        <w:fldChar w:fldCharType="end"/>
      </w:r>
      <w:r w:rsidRPr="00321BF9">
        <w:t xml:space="preserve">. </w:t>
      </w:r>
      <w:bookmarkEnd w:id="182"/>
      <w:bookmarkEnd w:id="183"/>
      <w:bookmarkEnd w:id="184"/>
      <w:bookmarkEnd w:id="185"/>
      <w:bookmarkEnd w:id="186"/>
      <w:bookmarkEnd w:id="187"/>
      <w:r>
        <w:t>Levelized Measure Cost Calculation</w:t>
      </w:r>
    </w:p>
    <w:p w14:paraId="225CA2E2" w14:textId="77777777" w:rsidR="00BE50CA" w:rsidRPr="00211361" w:rsidRDefault="00211361" w:rsidP="00BE50CA">
      <w:pPr>
        <w:ind w:left="720"/>
      </w:pPr>
      <m:oMathPara>
        <m:oMathParaPr>
          <m:jc m:val="centerGroup"/>
        </m:oMathParaPr>
        <m:oMath>
          <m:r>
            <w:rPr>
              <w:rFonts w:ascii="Cambria Math" w:hAnsi="Cambria Math" w:cs="Cambria Math"/>
            </w:rPr>
            <m:t>L</m:t>
          </m:r>
          <m:r>
            <w:rPr>
              <w:rFonts w:ascii="Cambria Math" w:hAnsi="Cambria Math"/>
            </w:rPr>
            <m:t>MC=Upfront Cost+PV</m:t>
          </m:r>
          <m:d>
            <m:dPr>
              <m:ctrlPr>
                <w:rPr>
                  <w:rFonts w:ascii="Cambria Math" w:hAnsi="Cambria Math"/>
                  <w:bCs/>
                  <w:i/>
                  <w:iCs/>
                </w:rPr>
              </m:ctrlPr>
            </m:dPr>
            <m:e>
              <m:r>
                <w:rPr>
                  <w:rFonts w:ascii="Cambria Math" w:hAnsi="Cambria Math"/>
                </w:rPr>
                <m:t>Annual Operating Cost, iDR, EUL</m:t>
              </m:r>
            </m:e>
          </m:d>
        </m:oMath>
      </m:oMathPara>
    </w:p>
    <w:p w14:paraId="56E17D8F" w14:textId="77777777" w:rsidR="00BE50CA" w:rsidRPr="00110120" w:rsidRDefault="00BE50CA" w:rsidP="00472284">
      <w:pPr>
        <w:ind w:left="720"/>
        <w:rPr>
          <w:b/>
        </w:rPr>
      </w:pPr>
    </w:p>
    <w:p w14:paraId="239ABF67" w14:textId="77777777" w:rsidR="003A2686" w:rsidRDefault="00372465" w:rsidP="00557C7A">
      <w:pPr>
        <w:ind w:left="720"/>
      </w:pPr>
      <w:r>
        <w:t>To calculate long-run market share or willingness as a function of the levelized measure cost</w:t>
      </w:r>
      <w:r w:rsidR="00557C7A">
        <w:t xml:space="preserve"> for both base and efficient technologies</w:t>
      </w:r>
      <w:r>
        <w:t xml:space="preserve">, Navigant </w:t>
      </w:r>
      <w:r w:rsidR="002F3182">
        <w:t>employed</w:t>
      </w:r>
      <w:r>
        <w:t xml:space="preserve"> a logit decision-maker approach.</w:t>
      </w:r>
      <w:r>
        <w:rPr>
          <w:rStyle w:val="FootnoteReference"/>
        </w:rPr>
        <w:footnoteReference w:id="20"/>
      </w:r>
      <w:r>
        <w:t xml:space="preserve"> </w:t>
      </w:r>
      <w:r>
        <w:rPr>
          <w:rStyle w:val="FootnoteReference"/>
        </w:rPr>
        <w:footnoteReference w:id="21"/>
      </w:r>
      <w:r>
        <w:t xml:space="preserve"> This approach applies best practices in predicting consumer behavior and </w:t>
      </w:r>
      <w:r w:rsidR="00557C7A">
        <w:t>allows competition of multiple measures with different EULs for each end use.</w:t>
      </w:r>
    </w:p>
    <w:p w14:paraId="02AD8DD7" w14:textId="77777777" w:rsidR="003A2686" w:rsidRDefault="003A2686" w:rsidP="00557C7A">
      <w:pPr>
        <w:ind w:left="720"/>
      </w:pPr>
    </w:p>
    <w:p w14:paraId="57272627" w14:textId="77777777" w:rsidR="003A2686" w:rsidRPr="003A2686" w:rsidRDefault="003A2686" w:rsidP="003A2686">
      <w:pPr>
        <w:pStyle w:val="Caption"/>
        <w:rPr>
          <w:lang w:val="en-CA"/>
        </w:rPr>
      </w:pPr>
      <w:r w:rsidRPr="00321BF9">
        <w:lastRenderedPageBreak/>
        <w:t xml:space="preserve">Equation </w:t>
      </w:r>
      <w:r w:rsidR="00272F76">
        <w:fldChar w:fldCharType="begin"/>
      </w:r>
      <w:r w:rsidR="00272F76">
        <w:instrText xml:space="preserve"> SEQ Equat</w:instrText>
      </w:r>
      <w:r w:rsidR="00272F76">
        <w:instrText xml:space="preserve">ion \* ARABIC </w:instrText>
      </w:r>
      <w:r w:rsidR="00272F76">
        <w:fldChar w:fldCharType="separate"/>
      </w:r>
      <w:r w:rsidR="00C407F4">
        <w:rPr>
          <w:noProof/>
        </w:rPr>
        <w:t>2</w:t>
      </w:r>
      <w:r w:rsidR="00272F76">
        <w:rPr>
          <w:noProof/>
        </w:rPr>
        <w:fldChar w:fldCharType="end"/>
      </w:r>
      <w:r w:rsidRPr="00321BF9">
        <w:t xml:space="preserve">. </w:t>
      </w:r>
      <w:r>
        <w:t>Logit Decision Model</w:t>
      </w:r>
      <w:r w:rsidR="002F3182">
        <w:rPr>
          <w:rStyle w:val="FootnoteReference"/>
        </w:rPr>
        <w:footnoteReference w:id="22"/>
      </w:r>
    </w:p>
    <w:p w14:paraId="13EF9717" w14:textId="77777777" w:rsidR="003A2686" w:rsidRPr="00211361" w:rsidRDefault="00211361" w:rsidP="00557C7A">
      <w:pPr>
        <w:ind w:left="720"/>
        <w:rPr>
          <w:sz w:val="22"/>
          <w:szCs w:val="22"/>
        </w:rPr>
      </w:pPr>
      <m:oMathPara>
        <m:oMath>
          <m:r>
            <w:rPr>
              <w:rFonts w:ascii="Cambria Math" w:hAnsi="Cambria Math" w:cs="Cambria Math"/>
              <w:sz w:val="22"/>
              <w:szCs w:val="22"/>
            </w:rPr>
            <m:t>W</m:t>
          </m:r>
          <m:r>
            <w:rPr>
              <w:rFonts w:ascii="Cambria Math" w:hAnsi="Cambria Math"/>
              <w:sz w:val="22"/>
              <w:szCs w:val="22"/>
            </w:rPr>
            <m:t>=</m:t>
          </m:r>
          <m:f>
            <m:fPr>
              <m:ctrlPr>
                <w:rPr>
                  <w:rFonts w:ascii="Cambria Math" w:hAnsi="Cambria Math"/>
                  <w:bCs/>
                  <w:i/>
                  <w:iCs/>
                  <w:sz w:val="22"/>
                  <w:szCs w:val="22"/>
                </w:rPr>
              </m:ctrlPr>
            </m:fPr>
            <m:num>
              <m:sSup>
                <m:sSupPr>
                  <m:ctrlPr>
                    <w:rPr>
                      <w:rFonts w:ascii="Cambria Math" w:hAnsi="Cambria Math"/>
                      <w:bCs/>
                      <w:i/>
                      <w:iCs/>
                      <w:sz w:val="22"/>
                      <w:szCs w:val="22"/>
                    </w:rPr>
                  </m:ctrlPr>
                </m:sSupPr>
                <m:e>
                  <m:r>
                    <w:rPr>
                      <w:rFonts w:ascii="Cambria Math" w:hAnsi="Cambria Math"/>
                      <w:sz w:val="22"/>
                      <w:szCs w:val="22"/>
                    </w:rPr>
                    <m:t>e </m:t>
                  </m:r>
                </m:e>
                <m:sup>
                  <m:r>
                    <w:rPr>
                      <w:rFonts w:ascii="Cambria Math" w:hAnsi="Cambria Math"/>
                      <w:sz w:val="22"/>
                      <w:szCs w:val="22"/>
                    </w:rPr>
                    <m:t>β LMC</m:t>
                  </m:r>
                  <m:r>
                    <w:rPr>
                      <w:rFonts w:ascii="Cambria Math" w:hAnsi="Cambria Math"/>
                      <w:sz w:val="22"/>
                      <w:szCs w:val="22"/>
                      <w:vertAlign w:val="subscript"/>
                    </w:rPr>
                    <m:t>1</m:t>
                  </m:r>
                </m:sup>
              </m:sSup>
            </m:num>
            <m:den>
              <m:nary>
                <m:naryPr>
                  <m:chr m:val="∑"/>
                  <m:ctrlPr>
                    <w:rPr>
                      <w:rFonts w:ascii="Cambria Math" w:hAnsi="Cambria Math"/>
                      <w:bCs/>
                      <w:i/>
                      <w:iCs/>
                      <w:sz w:val="22"/>
                      <w:szCs w:val="22"/>
                    </w:rPr>
                  </m:ctrlPr>
                </m:naryPr>
                <m:sub>
                  <m:r>
                    <w:rPr>
                      <w:rFonts w:ascii="Cambria Math" w:hAnsi="Cambria Math"/>
                      <w:sz w:val="22"/>
                      <w:szCs w:val="22"/>
                    </w:rPr>
                    <m:t>i</m:t>
                  </m:r>
                </m:sub>
                <m:sup>
                  <m:r>
                    <w:rPr>
                      <w:rFonts w:ascii="Cambria Math" w:hAnsi="Cambria Math"/>
                      <w:sz w:val="22"/>
                      <w:szCs w:val="22"/>
                    </w:rPr>
                    <m:t>n</m:t>
                  </m:r>
                </m:sup>
                <m:e>
                  <m:sSup>
                    <m:sSupPr>
                      <m:ctrlPr>
                        <w:rPr>
                          <w:rFonts w:ascii="Cambria Math" w:hAnsi="Cambria Math"/>
                          <w:bCs/>
                          <w:i/>
                          <w:iCs/>
                          <w:sz w:val="22"/>
                          <w:szCs w:val="22"/>
                        </w:rPr>
                      </m:ctrlPr>
                    </m:sSupPr>
                    <m:e>
                      <m:r>
                        <w:rPr>
                          <w:rFonts w:ascii="Cambria Math" w:hAnsi="Cambria Math"/>
                          <w:sz w:val="22"/>
                          <w:szCs w:val="22"/>
                        </w:rPr>
                        <m:t>e</m:t>
                      </m:r>
                    </m:e>
                    <m:sup>
                      <m:r>
                        <w:rPr>
                          <w:rFonts w:ascii="Cambria Math" w:hAnsi="Cambria Math"/>
                          <w:sz w:val="22"/>
                          <w:szCs w:val="22"/>
                        </w:rPr>
                        <m:t> β LMCi</m:t>
                      </m:r>
                    </m:sup>
                  </m:sSup>
                </m:e>
              </m:nary>
            </m:den>
          </m:f>
        </m:oMath>
      </m:oMathPara>
    </w:p>
    <w:p w14:paraId="69840D91" w14:textId="77777777" w:rsidR="003A2686" w:rsidRDefault="003A2686" w:rsidP="00557C7A">
      <w:pPr>
        <w:ind w:left="720"/>
      </w:pPr>
    </w:p>
    <w:p w14:paraId="0A096712" w14:textId="77777777" w:rsidR="00372465" w:rsidRDefault="003A2686" w:rsidP="00557C7A">
      <w:pPr>
        <w:ind w:left="720"/>
      </w:pPr>
      <w:r>
        <w:t xml:space="preserve">The figure below illustrates </w:t>
      </w:r>
      <w:r w:rsidR="008A47B1">
        <w:t xml:space="preserve">how consumer willingness changes as a function of the ratio of the efficient to base LMC. In this </w:t>
      </w:r>
      <w:r w:rsidR="008565CA">
        <w:t>illustration</w:t>
      </w:r>
      <w:r w:rsidR="008A47B1">
        <w:t xml:space="preserve">, a LMC ratio of 1 implies both the efficient and base technologies are at parity and thus the market is split with 50% choosing to adopt the </w:t>
      </w:r>
      <w:r w:rsidR="008565CA">
        <w:t xml:space="preserve">efficient technology. For </w:t>
      </w:r>
      <w:r w:rsidR="008F73AA">
        <w:t>a</w:t>
      </w:r>
      <w:r w:rsidR="008565CA">
        <w:t xml:space="preserve"> LMC ratio of 0.5, which implies the efficient technology is cheaper than the base technology, the curve indicates that 73% would adopt the efficient technology.  </w:t>
      </w:r>
    </w:p>
    <w:p w14:paraId="25C3C687" w14:textId="77777777" w:rsidR="00557C7A" w:rsidRDefault="00557C7A" w:rsidP="003A2686">
      <w:pPr>
        <w:ind w:left="720"/>
        <w:jc w:val="center"/>
      </w:pPr>
    </w:p>
    <w:p w14:paraId="62A3EA3B" w14:textId="77777777" w:rsidR="003A2686" w:rsidRDefault="003A2686" w:rsidP="003A2686">
      <w:pPr>
        <w:pStyle w:val="Caption"/>
      </w:pPr>
      <w:bookmarkStart w:id="188" w:name="_Toc484436995"/>
      <w:bookmarkStart w:id="189" w:name="_Toc485125504"/>
      <w:r>
        <w:t xml:space="preserve">Figure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4</w:t>
      </w:r>
      <w:r w:rsidR="00272F76">
        <w:rPr>
          <w:noProof/>
        </w:rPr>
        <w:fldChar w:fldCharType="end"/>
      </w:r>
      <w:r>
        <w:t>. Illustration of Logit Willingness Curve</w:t>
      </w:r>
      <w:bookmarkEnd w:id="188"/>
      <w:bookmarkEnd w:id="189"/>
    </w:p>
    <w:p w14:paraId="455DB452" w14:textId="77777777" w:rsidR="00557C7A" w:rsidRPr="00557C7A" w:rsidRDefault="00A16A1A" w:rsidP="00557C7A">
      <w:pPr>
        <w:ind w:left="720"/>
      </w:pPr>
      <w:r>
        <w:rPr>
          <w:noProof/>
        </w:rPr>
        <w:drawing>
          <wp:inline distT="0" distB="0" distL="0" distR="0" wp14:anchorId="3CDBA506" wp14:editId="5156BD02">
            <wp:extent cx="5352381" cy="3257143"/>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2381" cy="3257143"/>
                    </a:xfrm>
                    <a:prstGeom prst="rect">
                      <a:avLst/>
                    </a:prstGeom>
                  </pic:spPr>
                </pic:pic>
              </a:graphicData>
            </a:graphic>
          </wp:inline>
        </w:drawing>
      </w:r>
    </w:p>
    <w:p w14:paraId="36DB944B" w14:textId="77777777" w:rsidR="00BE50CA" w:rsidRPr="00BA27E8" w:rsidRDefault="008565CA" w:rsidP="004E4E36">
      <w:pPr>
        <w:pStyle w:val="ListParagraph"/>
        <w:numPr>
          <w:ilvl w:val="0"/>
          <w:numId w:val="47"/>
        </w:numPr>
        <w:rPr>
          <w:b/>
        </w:rPr>
      </w:pPr>
      <w:r>
        <w:rPr>
          <w:b/>
        </w:rPr>
        <w:t>Payback-</w:t>
      </w:r>
      <w:r w:rsidR="00BE50CA">
        <w:rPr>
          <w:b/>
        </w:rPr>
        <w:t>based Approach:</w:t>
      </w:r>
      <w:r w:rsidR="00557C7A">
        <w:rPr>
          <w:b/>
        </w:rPr>
        <w:t xml:space="preserve"> </w:t>
      </w:r>
      <w:r w:rsidR="00557C7A">
        <w:t>For the AIMS sectors</w:t>
      </w:r>
      <w:r w:rsidR="00EF098C">
        <w:t>,</w:t>
      </w:r>
      <w:r w:rsidR="00557C7A">
        <w:t xml:space="preserve"> where information on baseline</w:t>
      </w:r>
      <w:r w:rsidR="002F3182">
        <w:t xml:space="preserve"> </w:t>
      </w:r>
      <w:r>
        <w:t>technology costs are not available, and where there isn’t a need to explore the impacts of EE financing, Navigant used a payback-based approach to calculate willingness.</w:t>
      </w:r>
      <w:r w:rsidR="00AA6CE9">
        <w:t xml:space="preserve"> Payback time reflects the length of time (years) required for an energy e</w:t>
      </w:r>
      <w:r w:rsidR="00D3754E">
        <w:t>fficiency investment to recover</w:t>
      </w:r>
      <w:r w:rsidR="00AA6CE9">
        <w:t xml:space="preserve"> the initial upfront cost in terms of energy savings. After calculating payback time,</w:t>
      </w:r>
      <w:r w:rsidR="00D827FB">
        <w:t xml:space="preserve"> to estimate market share for the AIMS measures</w:t>
      </w:r>
      <w:r w:rsidR="00C04E94">
        <w:t>,</w:t>
      </w:r>
      <w:r>
        <w:t xml:space="preserve"> </w:t>
      </w:r>
      <w:r w:rsidR="00EF098C">
        <w:t>Navigant</w:t>
      </w:r>
      <w:r>
        <w:t xml:space="preserve"> relied on “payback acceptance” curves based on N</w:t>
      </w:r>
      <w:r w:rsidR="00EF098C">
        <w:t xml:space="preserve">avigant-led </w:t>
      </w:r>
      <w:r w:rsidR="00BA27E8">
        <w:t>primary research</w:t>
      </w:r>
      <w:r w:rsidR="00EF098C">
        <w:t xml:space="preserve"> </w:t>
      </w:r>
      <w:r w:rsidR="008F73AA">
        <w:t>in the US Midwest in 2012.</w:t>
      </w:r>
      <w:r w:rsidR="008F73AA">
        <w:rPr>
          <w:rStyle w:val="FootnoteReference"/>
        </w:rPr>
        <w:footnoteReference w:id="23"/>
      </w:r>
      <w:r w:rsidR="008F73AA">
        <w:t xml:space="preserve"> </w:t>
      </w:r>
      <w:r w:rsidR="00AA6CE9">
        <w:t xml:space="preserve">Though California-specific data were not available to estimate these curves, Navigant considers that the nature of customer decision-making process </w:t>
      </w:r>
      <w:r w:rsidR="00AA6CE9">
        <w:lastRenderedPageBreak/>
        <w:t xml:space="preserve">is such that the data developed using North American customers represents the best industry-wide data available at the time of this study. </w:t>
      </w:r>
    </w:p>
    <w:p w14:paraId="20D4C74E" w14:textId="77777777" w:rsidR="00BA27E8" w:rsidRDefault="00BA27E8" w:rsidP="00BA27E8">
      <w:pPr>
        <w:jc w:val="center"/>
      </w:pPr>
    </w:p>
    <w:p w14:paraId="1DEECECF" w14:textId="77777777" w:rsidR="00BA27E8" w:rsidRDefault="00BA27E8" w:rsidP="00BA27E8">
      <w:pPr>
        <w:pStyle w:val="Caption"/>
      </w:pPr>
      <w:bookmarkStart w:id="190" w:name="_Toc484436996"/>
      <w:bookmarkStart w:id="191" w:name="_Toc485125505"/>
      <w:r>
        <w:t xml:space="preserve">Figure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5</w:t>
      </w:r>
      <w:r w:rsidR="00272F76">
        <w:rPr>
          <w:noProof/>
        </w:rPr>
        <w:fldChar w:fldCharType="end"/>
      </w:r>
      <w:r>
        <w:t xml:space="preserve">. Payback Acceptance </w:t>
      </w:r>
      <w:r w:rsidR="00AA6CE9">
        <w:t>Curve for AIMS sectors</w:t>
      </w:r>
      <w:bookmarkEnd w:id="190"/>
      <w:bookmarkEnd w:id="191"/>
    </w:p>
    <w:p w14:paraId="6D809C02" w14:textId="77777777" w:rsidR="00AA6CE9" w:rsidRDefault="00A16A1A" w:rsidP="00D827FB">
      <w:pPr>
        <w:jc w:val="center"/>
      </w:pPr>
      <w:r>
        <w:rPr>
          <w:noProof/>
        </w:rPr>
        <w:drawing>
          <wp:inline distT="0" distB="0" distL="0" distR="0" wp14:anchorId="079DC9CD" wp14:editId="4B53694E">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DAECB96" w14:textId="4AF80395" w:rsidR="00AC166A" w:rsidRDefault="00AC166A" w:rsidP="00AC166A">
      <w:pPr>
        <w:pStyle w:val="Heading4"/>
      </w:pPr>
      <w:bookmarkStart w:id="192" w:name="_Toc478990495"/>
      <w:bookmarkStart w:id="193" w:name="_Toc479768568"/>
      <w:bookmarkStart w:id="194" w:name="_Toc482353490"/>
      <w:bookmarkStart w:id="195" w:name="_Toc482357293"/>
      <w:bookmarkStart w:id="196" w:name="_Toc482634269"/>
      <w:r>
        <w:t>Calculating Cumulative Market Potential</w:t>
      </w:r>
    </w:p>
    <w:p w14:paraId="0BC12667" w14:textId="712C1613" w:rsidR="00AC166A" w:rsidRDefault="00AC166A" w:rsidP="00AC166A">
      <w:pPr>
        <w:rPr>
          <w:rFonts w:cs="Arial"/>
        </w:rPr>
      </w:pPr>
      <w:r>
        <w:rPr>
          <w:rFonts w:cs="Arial"/>
        </w:rPr>
        <w:t xml:space="preserve">The PG study reports both incremental and cumulative savings. In the recent past, IOU goals have been based on incremental savings only while the CEC used cumulative savings to inform the demand forecast. </w:t>
      </w:r>
      <w:r w:rsidRPr="00AC166A">
        <w:rPr>
          <w:rFonts w:cs="Arial"/>
        </w:rPr>
        <w:t>Cumulative savings represent the total energy efficiency program savings from measures installed since a “start year” and are sti</w:t>
      </w:r>
      <w:r>
        <w:rPr>
          <w:rFonts w:cs="Arial"/>
        </w:rPr>
        <w:t xml:space="preserve">ll “active” in the current year. </w:t>
      </w:r>
      <w:r w:rsidRPr="00AC166A">
        <w:rPr>
          <w:rFonts w:cs="Arial"/>
        </w:rPr>
        <w:t>“Active” savings ar</w:t>
      </w:r>
      <w:r>
        <w:rPr>
          <w:rFonts w:cs="Arial"/>
        </w:rPr>
        <w:t>e calculated by accounting for:</w:t>
      </w:r>
    </w:p>
    <w:p w14:paraId="2D8EA818" w14:textId="4DA9F24C" w:rsidR="00AC166A" w:rsidRPr="00AC166A" w:rsidRDefault="00AC166A" w:rsidP="00AC166A">
      <w:pPr>
        <w:pStyle w:val="ListParagraph"/>
        <w:numPr>
          <w:ilvl w:val="0"/>
          <w:numId w:val="47"/>
        </w:numPr>
        <w:rPr>
          <w:rFonts w:cs="Arial"/>
        </w:rPr>
      </w:pPr>
      <w:r w:rsidRPr="00AC166A">
        <w:rPr>
          <w:rFonts w:cs="Arial"/>
        </w:rPr>
        <w:t>Decay of savings as measures reach the end of their useful lives</w:t>
      </w:r>
    </w:p>
    <w:p w14:paraId="54D37F47" w14:textId="77777777" w:rsidR="00AC166A" w:rsidRPr="00AC166A" w:rsidRDefault="00AC166A" w:rsidP="00AC166A">
      <w:pPr>
        <w:pStyle w:val="ListParagraph"/>
        <w:numPr>
          <w:ilvl w:val="0"/>
          <w:numId w:val="47"/>
        </w:numPr>
        <w:rPr>
          <w:rFonts w:cs="Arial"/>
        </w:rPr>
      </w:pPr>
      <w:r w:rsidRPr="00AC166A">
        <w:rPr>
          <w:rFonts w:cs="Arial"/>
        </w:rPr>
        <w:t>Codes &amp; standards that come into effect over time</w:t>
      </w:r>
    </w:p>
    <w:p w14:paraId="50C6A979" w14:textId="77777777" w:rsidR="00AC166A" w:rsidRPr="00AC166A" w:rsidRDefault="00AC166A" w:rsidP="00AC166A">
      <w:pPr>
        <w:rPr>
          <w:rFonts w:cs="Arial"/>
        </w:rPr>
      </w:pPr>
    </w:p>
    <w:p w14:paraId="126D056F" w14:textId="0B299A97" w:rsidR="00AC166A" w:rsidRDefault="00AC166A" w:rsidP="00AC166A">
      <w:pPr>
        <w:rPr>
          <w:rFonts w:cs="Arial"/>
        </w:rPr>
      </w:pPr>
      <w:r w:rsidRPr="00AC166A">
        <w:rPr>
          <w:rFonts w:cs="Arial"/>
        </w:rPr>
        <w:t>Unlike annual savings, cumulative savings include savings from reparticipants</w:t>
      </w:r>
      <w:r>
        <w:rPr>
          <w:rFonts w:cs="Arial"/>
        </w:rPr>
        <w:t xml:space="preserve">. </w:t>
      </w:r>
      <w:r w:rsidR="009F4DBE">
        <w:rPr>
          <w:rFonts w:cs="Arial"/>
        </w:rPr>
        <w:t>Incremental</w:t>
      </w:r>
      <w:r w:rsidR="00347233">
        <w:rPr>
          <w:rFonts w:cs="Arial"/>
        </w:rPr>
        <w:t xml:space="preserve"> savings only considers that from </w:t>
      </w:r>
      <w:r w:rsidRPr="00AC166A">
        <w:rPr>
          <w:rFonts w:cs="Arial"/>
        </w:rPr>
        <w:t>first-time adopters</w:t>
      </w:r>
      <w:r>
        <w:rPr>
          <w:rFonts w:cs="Arial"/>
        </w:rPr>
        <w:t xml:space="preserve">. </w:t>
      </w:r>
      <w:r w:rsidRPr="00AC166A">
        <w:rPr>
          <w:rFonts w:cs="Arial"/>
        </w:rPr>
        <w:t xml:space="preserve">Sustained savings from re-adoptions </w:t>
      </w:r>
      <w:r w:rsidR="00347233">
        <w:rPr>
          <w:rFonts w:cs="Arial"/>
        </w:rPr>
        <w:t xml:space="preserve">needs to be counted in cumulative savings for the purposes of demand forecast. The PG model </w:t>
      </w:r>
      <w:r w:rsidRPr="00AC166A">
        <w:rPr>
          <w:rFonts w:cs="Arial"/>
        </w:rPr>
        <w:t>assumes reparticipants re-adopt measures at the same rate as new participants</w:t>
      </w:r>
      <w:r w:rsidR="00347233">
        <w:rPr>
          <w:rFonts w:cs="Arial"/>
        </w:rPr>
        <w:t xml:space="preserve">. The calculation of cumulative savings is illustrated in </w:t>
      </w:r>
      <w:r w:rsidR="00347233">
        <w:rPr>
          <w:rFonts w:cs="Arial"/>
        </w:rPr>
        <w:fldChar w:fldCharType="begin"/>
      </w:r>
      <w:r w:rsidR="00347233">
        <w:rPr>
          <w:rFonts w:cs="Arial"/>
        </w:rPr>
        <w:instrText xml:space="preserve"> REF _Ref485117855 \h </w:instrText>
      </w:r>
      <w:r w:rsidR="00347233">
        <w:rPr>
          <w:rFonts w:cs="Arial"/>
        </w:rPr>
      </w:r>
      <w:r w:rsidR="00347233">
        <w:rPr>
          <w:rFonts w:cs="Arial"/>
        </w:rPr>
        <w:fldChar w:fldCharType="separate"/>
      </w:r>
      <w:r w:rsidR="00F820AE">
        <w:t xml:space="preserve">Figure </w:t>
      </w:r>
      <w:r w:rsidR="00F820AE">
        <w:rPr>
          <w:noProof/>
        </w:rPr>
        <w:t>2</w:t>
      </w:r>
      <w:r w:rsidR="00F820AE">
        <w:noBreakHyphen/>
      </w:r>
      <w:r w:rsidR="00F820AE">
        <w:rPr>
          <w:noProof/>
        </w:rPr>
        <w:t>6</w:t>
      </w:r>
      <w:r w:rsidR="00347233">
        <w:rPr>
          <w:rFonts w:cs="Arial"/>
        </w:rPr>
        <w:fldChar w:fldCharType="end"/>
      </w:r>
      <w:r w:rsidR="00347233">
        <w:rPr>
          <w:rFonts w:cs="Arial"/>
        </w:rPr>
        <w:t>.</w:t>
      </w:r>
    </w:p>
    <w:p w14:paraId="2D8F5061" w14:textId="4E6DEB31" w:rsidR="00347233" w:rsidRDefault="00347233" w:rsidP="00AC166A">
      <w:pPr>
        <w:rPr>
          <w:rFonts w:cs="Arial"/>
        </w:rPr>
      </w:pPr>
    </w:p>
    <w:p w14:paraId="1DC14244" w14:textId="3F184A9E" w:rsidR="00347233" w:rsidRDefault="00347233" w:rsidP="00347233">
      <w:pPr>
        <w:pStyle w:val="Caption"/>
      </w:pPr>
      <w:bookmarkStart w:id="197" w:name="_Ref485117855"/>
      <w:bookmarkStart w:id="198" w:name="_Toc485125506"/>
      <w:r>
        <w:lastRenderedPageBreak/>
        <w:t xml:space="preserve">Figure </w:t>
      </w:r>
      <w:r w:rsidR="00272F76">
        <w:fldChar w:fldCharType="begin"/>
      </w:r>
      <w:r w:rsidR="00272F76">
        <w:instrText xml:space="preserve"> STYLEREF 1 \s </w:instrText>
      </w:r>
      <w:r w:rsidR="00272F76">
        <w:fldChar w:fldCharType="separate"/>
      </w:r>
      <w:r w:rsidR="00F820AE">
        <w:rPr>
          <w:noProof/>
        </w:rPr>
        <w:t>2</w:t>
      </w:r>
      <w:r w:rsidR="00272F76">
        <w:rPr>
          <w:noProof/>
        </w:rPr>
        <w:fldChar w:fldCharType="end"/>
      </w:r>
      <w:r>
        <w:noBreakHyphen/>
      </w:r>
      <w:r w:rsidR="00272F76">
        <w:fldChar w:fldCharType="begin"/>
      </w:r>
      <w:r w:rsidR="00272F76">
        <w:instrText xml:space="preserve"> SEQ Figure \* ARABIC \s 1 </w:instrText>
      </w:r>
      <w:r w:rsidR="00272F76">
        <w:fldChar w:fldCharType="separate"/>
      </w:r>
      <w:r w:rsidR="00F820AE">
        <w:rPr>
          <w:noProof/>
        </w:rPr>
        <w:t>6</w:t>
      </w:r>
      <w:r w:rsidR="00272F76">
        <w:rPr>
          <w:noProof/>
        </w:rPr>
        <w:fldChar w:fldCharType="end"/>
      </w:r>
      <w:bookmarkEnd w:id="197"/>
      <w:r>
        <w:t>. Cumulative Savings Illustration</w:t>
      </w:r>
      <w:bookmarkEnd w:id="198"/>
    </w:p>
    <w:p w14:paraId="62A5850C" w14:textId="489654B8" w:rsidR="00347233" w:rsidRDefault="00F820AE" w:rsidP="00347233">
      <w:pPr>
        <w:jc w:val="center"/>
        <w:rPr>
          <w:rFonts w:cs="Arial"/>
        </w:rPr>
      </w:pPr>
      <w:r>
        <w:rPr>
          <w:rFonts w:cs="Arial"/>
          <w:noProof/>
        </w:rPr>
        <w:drawing>
          <wp:inline distT="0" distB="0" distL="0" distR="0" wp14:anchorId="5402ACB5" wp14:editId="22071874">
            <wp:extent cx="5098415" cy="283088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2103" cy="2838485"/>
                    </a:xfrm>
                    <a:prstGeom prst="rect">
                      <a:avLst/>
                    </a:prstGeom>
                    <a:noFill/>
                  </pic:spPr>
                </pic:pic>
              </a:graphicData>
            </a:graphic>
          </wp:inline>
        </w:drawing>
      </w:r>
    </w:p>
    <w:p w14:paraId="12E90A9B" w14:textId="28536AEA" w:rsidR="00347233" w:rsidRDefault="00347233" w:rsidP="00347233">
      <w:pPr>
        <w:rPr>
          <w:rFonts w:cs="Arial"/>
        </w:rPr>
      </w:pPr>
    </w:p>
    <w:p w14:paraId="233965A8" w14:textId="5A36448D" w:rsidR="00347233" w:rsidRDefault="00347233" w:rsidP="00347233">
      <w:pPr>
        <w:rPr>
          <w:rFonts w:cs="Arial"/>
        </w:rPr>
      </w:pPr>
      <w:r>
        <w:rPr>
          <w:rFonts w:cs="Arial"/>
        </w:rPr>
        <w:t>Navigant presented this information to stakeholders at a DAWG workshop in December 2016 and posed the following questions:</w:t>
      </w:r>
    </w:p>
    <w:p w14:paraId="6EF0B833" w14:textId="6B01FC12" w:rsidR="00347233" w:rsidRDefault="00347233" w:rsidP="00347233">
      <w:pPr>
        <w:rPr>
          <w:rFonts w:cs="Arial"/>
        </w:rPr>
      </w:pPr>
    </w:p>
    <w:p w14:paraId="1CFD31A2" w14:textId="2C12DD0C" w:rsidR="00710A9A" w:rsidRPr="00347233" w:rsidRDefault="009F4DBE" w:rsidP="00347233">
      <w:pPr>
        <w:numPr>
          <w:ilvl w:val="0"/>
          <w:numId w:val="84"/>
        </w:numPr>
        <w:rPr>
          <w:rFonts w:cs="Arial"/>
        </w:rPr>
      </w:pPr>
      <w:r w:rsidRPr="00347233">
        <w:rPr>
          <w:rFonts w:cs="Arial"/>
        </w:rPr>
        <w:t xml:space="preserve">When </w:t>
      </w:r>
      <w:r w:rsidR="00347233">
        <w:rPr>
          <w:rFonts w:cs="Arial"/>
        </w:rPr>
        <w:t xml:space="preserve">should the PG model </w:t>
      </w:r>
      <w:r w:rsidRPr="00347233">
        <w:rPr>
          <w:rFonts w:cs="Arial"/>
        </w:rPr>
        <w:t xml:space="preserve">start cumulating savings? </w:t>
      </w:r>
    </w:p>
    <w:p w14:paraId="3865E4DA" w14:textId="77777777" w:rsidR="00710A9A" w:rsidRPr="00347233" w:rsidRDefault="009F4DBE" w:rsidP="00347233">
      <w:pPr>
        <w:numPr>
          <w:ilvl w:val="0"/>
          <w:numId w:val="84"/>
        </w:numPr>
        <w:rPr>
          <w:rFonts w:cs="Arial"/>
        </w:rPr>
      </w:pPr>
      <w:r w:rsidRPr="00347233">
        <w:rPr>
          <w:rFonts w:cs="Arial"/>
        </w:rPr>
        <w:t>There is no new research to inform treatment of decay/reparticipation in the PG model. What should we assume about decay?</w:t>
      </w:r>
    </w:p>
    <w:p w14:paraId="3809403C" w14:textId="77777777" w:rsidR="00710A9A" w:rsidRPr="00347233" w:rsidRDefault="009F4DBE" w:rsidP="00347233">
      <w:pPr>
        <w:numPr>
          <w:ilvl w:val="1"/>
          <w:numId w:val="84"/>
        </w:numPr>
        <w:rPr>
          <w:rFonts w:cs="Arial"/>
        </w:rPr>
      </w:pPr>
      <w:r w:rsidRPr="00347233">
        <w:rPr>
          <w:rFonts w:cs="Arial"/>
        </w:rPr>
        <w:t>Starting with the 2013 PG model, reparticipation estimated based on market penetration rates (varies by measure)</w:t>
      </w:r>
    </w:p>
    <w:p w14:paraId="55F20ABF" w14:textId="77777777" w:rsidR="00710A9A" w:rsidRPr="00347233" w:rsidRDefault="009F4DBE" w:rsidP="00347233">
      <w:pPr>
        <w:numPr>
          <w:ilvl w:val="1"/>
          <w:numId w:val="84"/>
        </w:numPr>
        <w:rPr>
          <w:rFonts w:cs="Arial"/>
        </w:rPr>
      </w:pPr>
      <w:r w:rsidRPr="00347233">
        <w:rPr>
          <w:rFonts w:cs="Arial"/>
        </w:rPr>
        <w:t>2011 PG model assumed a blanket reparticipation rate of 50% based on CPUC D. 09-09-047</w:t>
      </w:r>
    </w:p>
    <w:p w14:paraId="41933022" w14:textId="77777777" w:rsidR="00710A9A" w:rsidRPr="00347233" w:rsidRDefault="009F4DBE" w:rsidP="00347233">
      <w:pPr>
        <w:numPr>
          <w:ilvl w:val="0"/>
          <w:numId w:val="84"/>
        </w:numPr>
        <w:rPr>
          <w:rFonts w:cs="Arial"/>
        </w:rPr>
      </w:pPr>
      <w:r w:rsidRPr="00347233">
        <w:rPr>
          <w:rFonts w:cs="Arial"/>
        </w:rPr>
        <w:t xml:space="preserve">D. 09-09-047 required that the utilities make up 50% of the savings decay as measures expire. </w:t>
      </w:r>
    </w:p>
    <w:p w14:paraId="46AA4DA9" w14:textId="77777777" w:rsidR="00710A9A" w:rsidRPr="00347233" w:rsidRDefault="009F4DBE" w:rsidP="00347233">
      <w:pPr>
        <w:numPr>
          <w:ilvl w:val="1"/>
          <w:numId w:val="84"/>
        </w:numPr>
        <w:rPr>
          <w:rFonts w:cs="Arial"/>
        </w:rPr>
      </w:pPr>
      <w:r w:rsidRPr="00347233">
        <w:rPr>
          <w:rFonts w:cs="Arial"/>
        </w:rPr>
        <w:t>2015 PG study annual market potential included only new participants</w:t>
      </w:r>
    </w:p>
    <w:p w14:paraId="0E7226E9" w14:textId="43BC0D60" w:rsidR="00710A9A" w:rsidRPr="00347233" w:rsidRDefault="009F4DBE" w:rsidP="00347233">
      <w:pPr>
        <w:numPr>
          <w:ilvl w:val="1"/>
          <w:numId w:val="84"/>
        </w:numPr>
        <w:rPr>
          <w:rFonts w:cs="Arial"/>
        </w:rPr>
      </w:pPr>
      <w:r w:rsidRPr="00347233">
        <w:rPr>
          <w:rFonts w:cs="Arial"/>
        </w:rPr>
        <w:t xml:space="preserve">Thoughts on how to </w:t>
      </w:r>
      <w:r w:rsidR="00347233">
        <w:rPr>
          <w:rFonts w:cs="Arial"/>
        </w:rPr>
        <w:t>how to reconcile this</w:t>
      </w:r>
      <w:r w:rsidRPr="00347233">
        <w:rPr>
          <w:rFonts w:cs="Arial"/>
        </w:rPr>
        <w:t>?</w:t>
      </w:r>
    </w:p>
    <w:p w14:paraId="4630336D" w14:textId="070DC0E4" w:rsidR="00347233" w:rsidRDefault="00347233" w:rsidP="00347233">
      <w:pPr>
        <w:rPr>
          <w:rFonts w:cs="Arial"/>
        </w:rPr>
      </w:pPr>
    </w:p>
    <w:p w14:paraId="0295F3BE" w14:textId="294D9184" w:rsidR="00347233" w:rsidRPr="00F820AE" w:rsidRDefault="00F820AE" w:rsidP="00F820AE">
      <w:pPr>
        <w:rPr>
          <w:rFonts w:cs="Arial"/>
        </w:rPr>
      </w:pPr>
      <w:r>
        <w:rPr>
          <w:rFonts w:cs="Arial"/>
        </w:rPr>
        <w:t xml:space="preserve">Comments were provided by NRDC and PG&amp;E. </w:t>
      </w:r>
      <w:r w:rsidR="009F4DBE">
        <w:t>NRDC supported</w:t>
      </w:r>
      <w:r w:rsidR="00347233">
        <w:t xml:space="preserve"> </w:t>
      </w:r>
      <w:r>
        <w:t>re</w:t>
      </w:r>
      <w:r w:rsidR="009F4DBE">
        <w:t>-</w:t>
      </w:r>
      <w:r>
        <w:t xml:space="preserve">examining the 50% </w:t>
      </w:r>
      <w:r w:rsidR="00347233">
        <w:t>policy for re-participation and request</w:t>
      </w:r>
      <w:r>
        <w:t>ed</w:t>
      </w:r>
      <w:r w:rsidR="00347233">
        <w:t xml:space="preserve"> further discussion </w:t>
      </w:r>
      <w:r w:rsidR="009F4DBE">
        <w:t xml:space="preserve">be had </w:t>
      </w:r>
      <w:r w:rsidR="00347233">
        <w:t xml:space="preserve">regarding </w:t>
      </w:r>
      <w:r>
        <w:t>Navigant’s alternate method and</w:t>
      </w:r>
      <w:r w:rsidR="00347233">
        <w:t xml:space="preserve"> to better understand </w:t>
      </w:r>
      <w:r>
        <w:t xml:space="preserve">implications of the </w:t>
      </w:r>
      <w:r w:rsidR="00347233">
        <w:t xml:space="preserve">re-participation </w:t>
      </w:r>
      <w:r>
        <w:t xml:space="preserve">rate </w:t>
      </w:r>
      <w:r w:rsidR="00347233">
        <w:t xml:space="preserve">implications </w:t>
      </w:r>
      <w:r>
        <w:t>on goals.</w:t>
      </w:r>
      <w:r>
        <w:rPr>
          <w:rFonts w:cs="Arial"/>
        </w:rPr>
        <w:t xml:space="preserve"> </w:t>
      </w:r>
      <w:r w:rsidR="00347233">
        <w:t xml:space="preserve">PG&amp;E </w:t>
      </w:r>
      <w:r>
        <w:t xml:space="preserve">commented that </w:t>
      </w:r>
      <w:r w:rsidR="00347233">
        <w:t xml:space="preserve">decay </w:t>
      </w:r>
      <w:r w:rsidR="00516776">
        <w:t>“</w:t>
      </w:r>
      <w:r w:rsidR="00347233">
        <w:t>occurs much less frequently</w:t>
      </w:r>
      <w:r w:rsidR="00516776">
        <w:t>”</w:t>
      </w:r>
      <w:r w:rsidR="00347233">
        <w:t xml:space="preserve"> than </w:t>
      </w:r>
      <w:r>
        <w:t xml:space="preserve">the </w:t>
      </w:r>
      <w:r w:rsidR="00347233">
        <w:t xml:space="preserve">50% </w:t>
      </w:r>
      <w:r>
        <w:t xml:space="preserve">assumption indicates. </w:t>
      </w:r>
    </w:p>
    <w:p w14:paraId="5F39FBE4" w14:textId="623E7691" w:rsidR="00347233" w:rsidRDefault="00347233" w:rsidP="00347233">
      <w:pPr>
        <w:rPr>
          <w:rFonts w:cs="Arial"/>
        </w:rPr>
      </w:pPr>
    </w:p>
    <w:p w14:paraId="76405089" w14:textId="711FACB9" w:rsidR="00AC166A" w:rsidRDefault="00F820AE" w:rsidP="00AC166A">
      <w:pPr>
        <w:rPr>
          <w:rFonts w:cs="Arial"/>
        </w:rPr>
      </w:pPr>
      <w:r>
        <w:rPr>
          <w:rFonts w:cs="Arial"/>
        </w:rPr>
        <w:t xml:space="preserve">Given the comments, Navigant maintained its approach to calculating cumulative potential and set the “cumulation start year” to 2015 to be consistent with AAEE and SB350 needs. </w:t>
      </w:r>
    </w:p>
    <w:p w14:paraId="79EDFD7F" w14:textId="732900DD" w:rsidR="00203F32" w:rsidRDefault="00203F32" w:rsidP="00203F32">
      <w:pPr>
        <w:pStyle w:val="Heading4"/>
      </w:pPr>
      <w:r>
        <w:t xml:space="preserve">Avoiding Double Counted Savings </w:t>
      </w:r>
    </w:p>
    <w:p w14:paraId="3A22EC3F" w14:textId="77777777" w:rsidR="003425CB" w:rsidRDefault="003425CB" w:rsidP="003425CB">
      <w:pPr>
        <w:rPr>
          <w:rFonts w:cs="Arial"/>
        </w:rPr>
      </w:pPr>
      <w:r>
        <w:rPr>
          <w:rFonts w:cs="Arial"/>
        </w:rPr>
        <w:t xml:space="preserve">The PG study is required to avoid double counted savings between codes and standards and below-code rebate programs. </w:t>
      </w:r>
      <w:r>
        <w:t>These are t</w:t>
      </w:r>
      <w:r w:rsidRPr="004362FE">
        <w:t xml:space="preserve">he below-code savings generated from rebated </w:t>
      </w:r>
      <w:r>
        <w:t>equipment that</w:t>
      </w:r>
      <w:r w:rsidRPr="004362FE">
        <w:t xml:space="preserve"> would be realized even in the absence of PA rebate programs</w:t>
      </w:r>
      <w:r>
        <w:t xml:space="preserve">. This savings would occur </w:t>
      </w:r>
      <w:r w:rsidRPr="004362FE">
        <w:t xml:space="preserve">as equipment would naturally turn over and be replaced with code compliant equipment. </w:t>
      </w:r>
      <w:r>
        <w:t xml:space="preserve">These savings are already embedded </w:t>
      </w:r>
      <w:r>
        <w:lastRenderedPageBreak/>
        <w:t xml:space="preserve">and accounted for in the California Energy Commission Demand Forecast, thus further decrementing the forecast with </w:t>
      </w:r>
      <w:r w:rsidRPr="004362FE">
        <w:t>this savings</w:t>
      </w:r>
      <w:r>
        <w:t xml:space="preserve"> would be</w:t>
      </w:r>
      <w:r w:rsidRPr="004362FE">
        <w:t xml:space="preserve"> double counting.</w:t>
      </w:r>
      <w:r>
        <w:t xml:space="preserve"> </w:t>
      </w:r>
      <w:r>
        <w:rPr>
          <w:rFonts w:cs="Arial"/>
        </w:rPr>
        <w:t xml:space="preserve">The AB802 TA took a top-down approach to highlight the end uses and sectors at risk for double counted savings. However, the 2018 PG study takes the approach of attempting to remove double counted savings from the market potential (which informs IOU goals). </w:t>
      </w:r>
    </w:p>
    <w:p w14:paraId="68CDF125" w14:textId="77777777" w:rsidR="00472284" w:rsidRDefault="00472284" w:rsidP="003425CB">
      <w:pPr>
        <w:rPr>
          <w:rFonts w:cs="Arial"/>
        </w:rPr>
      </w:pPr>
    </w:p>
    <w:p w14:paraId="3FA9047D" w14:textId="77777777" w:rsidR="00472284" w:rsidRDefault="00472284" w:rsidP="003425CB">
      <w:pPr>
        <w:rPr>
          <w:rFonts w:cs="Arial"/>
        </w:rPr>
      </w:pPr>
      <w:r>
        <w:rPr>
          <w:rFonts w:cs="Arial"/>
        </w:rPr>
        <w:t xml:space="preserve">The first step the PG study takes in avoiding double counting is to target equipment </w:t>
      </w:r>
      <w:r w:rsidR="008113A1">
        <w:rPr>
          <w:rFonts w:cs="Arial"/>
        </w:rPr>
        <w:t xml:space="preserve">old equipment </w:t>
      </w:r>
      <w:r>
        <w:rPr>
          <w:rFonts w:cs="Arial"/>
        </w:rPr>
        <w:t>when considering Stranded Potential</w:t>
      </w:r>
      <w:r w:rsidR="008113A1">
        <w:rPr>
          <w:rFonts w:cs="Arial"/>
        </w:rPr>
        <w:t xml:space="preserve"> (for non-lighting equipment this is done by isolating the population that is older than its EUL)</w:t>
      </w:r>
      <w:r>
        <w:rPr>
          <w:rFonts w:cs="Arial"/>
        </w:rPr>
        <w:t xml:space="preserve">. This equipment is that which is not turning over on a regular basis. The remainder of equipment that is turning over on a regular basis has its below code savings already captured through C&amp;S. </w:t>
      </w:r>
    </w:p>
    <w:p w14:paraId="521E0667" w14:textId="77777777" w:rsidR="003425CB" w:rsidRDefault="003425CB" w:rsidP="003425CB">
      <w:pPr>
        <w:rPr>
          <w:rFonts w:cs="Arial"/>
        </w:rPr>
      </w:pPr>
    </w:p>
    <w:p w14:paraId="5EA1CA8C" w14:textId="77777777" w:rsidR="0017633B" w:rsidRDefault="00472284" w:rsidP="008113A1">
      <w:pPr>
        <w:rPr>
          <w:rFonts w:cs="Arial"/>
        </w:rPr>
      </w:pPr>
      <w:r>
        <w:rPr>
          <w:rFonts w:cs="Arial"/>
        </w:rPr>
        <w:t xml:space="preserve">The next step in avoiding double counted savings </w:t>
      </w:r>
      <w:r w:rsidR="008113A1">
        <w:rPr>
          <w:rFonts w:cs="Arial"/>
        </w:rPr>
        <w:t xml:space="preserve">is to </w:t>
      </w:r>
      <w:r w:rsidR="003425CB">
        <w:rPr>
          <w:rFonts w:cs="Arial"/>
        </w:rPr>
        <w:t>identified free ridership of below code savings</w:t>
      </w:r>
      <w:r w:rsidR="008113A1">
        <w:rPr>
          <w:rFonts w:cs="Arial"/>
        </w:rPr>
        <w:t>. T</w:t>
      </w:r>
      <w:r w:rsidR="003425CB">
        <w:rPr>
          <w:rFonts w:cs="Arial"/>
        </w:rPr>
        <w:t>his is illustrated below in</w:t>
      </w:r>
      <w:r>
        <w:rPr>
          <w:rFonts w:cs="Arial"/>
        </w:rPr>
        <w:t xml:space="preserve"> </w:t>
      </w:r>
      <w:r>
        <w:rPr>
          <w:rFonts w:cs="Arial"/>
        </w:rPr>
        <w:fldChar w:fldCharType="begin"/>
      </w:r>
      <w:r>
        <w:rPr>
          <w:rFonts w:cs="Arial"/>
        </w:rPr>
        <w:instrText xml:space="preserve"> REF _Ref484013262 \h </w:instrText>
      </w:r>
      <w:r>
        <w:rPr>
          <w:rFonts w:cs="Arial"/>
        </w:rPr>
      </w:r>
      <w:r>
        <w:rPr>
          <w:rFonts w:cs="Arial"/>
        </w:rPr>
        <w:fldChar w:fldCharType="separate"/>
      </w:r>
    </w:p>
    <w:p w14:paraId="0A698226" w14:textId="70EDE461" w:rsidR="003425CB" w:rsidRDefault="0017633B" w:rsidP="008113A1">
      <w:pPr>
        <w:rPr>
          <w:rFonts w:cs="Arial"/>
        </w:rPr>
      </w:pPr>
      <w:r>
        <w:t xml:space="preserve">Figure </w:t>
      </w:r>
      <w:r>
        <w:rPr>
          <w:noProof/>
        </w:rPr>
        <w:t>2</w:t>
      </w:r>
      <w:r>
        <w:noBreakHyphen/>
      </w:r>
      <w:r>
        <w:rPr>
          <w:noProof/>
        </w:rPr>
        <w:t>7</w:t>
      </w:r>
      <w:r w:rsidR="00472284">
        <w:rPr>
          <w:rFonts w:cs="Arial"/>
        </w:rPr>
        <w:fldChar w:fldCharType="end"/>
      </w:r>
      <w:r w:rsidR="00472284">
        <w:rPr>
          <w:rFonts w:cs="Arial"/>
        </w:rPr>
        <w:t>.</w:t>
      </w:r>
      <w:r w:rsidR="003425CB">
        <w:rPr>
          <w:rFonts w:cs="Arial"/>
        </w:rPr>
        <w:t xml:space="preserve"> Below-code free ridership implies that customers were not necessarily influenced by the IOU rebate to come up to code but were influenced by other outside factors</w:t>
      </w:r>
      <w:r w:rsidR="008113A1">
        <w:rPr>
          <w:rFonts w:cs="Arial"/>
        </w:rPr>
        <w:t>. This requires the PG</w:t>
      </w:r>
      <w:r w:rsidR="003425CB">
        <w:rPr>
          <w:rFonts w:cs="Arial"/>
        </w:rPr>
        <w:t xml:space="preserve"> study </w:t>
      </w:r>
      <w:r w:rsidR="008113A1">
        <w:rPr>
          <w:rFonts w:cs="Arial"/>
        </w:rPr>
        <w:t xml:space="preserve">to </w:t>
      </w:r>
      <w:r w:rsidR="003425CB">
        <w:rPr>
          <w:rFonts w:cs="Arial"/>
        </w:rPr>
        <w:t>apply a net-to-gros</w:t>
      </w:r>
      <w:r w:rsidR="008113A1">
        <w:rPr>
          <w:rFonts w:cs="Arial"/>
        </w:rPr>
        <w:t>s ratio to below code savings</w:t>
      </w:r>
      <w:r w:rsidR="003425CB">
        <w:rPr>
          <w:rFonts w:cs="Arial"/>
        </w:rPr>
        <w:t xml:space="preserve">. </w:t>
      </w:r>
    </w:p>
    <w:p w14:paraId="73F012D5" w14:textId="77777777" w:rsidR="00F820AE" w:rsidRDefault="00F820AE" w:rsidP="008113A1">
      <w:pPr>
        <w:rPr>
          <w:rFonts w:cs="Arial"/>
        </w:rPr>
      </w:pPr>
      <w:bookmarkStart w:id="199" w:name="_Ref484013262"/>
      <w:bookmarkStart w:id="200" w:name="_Toc484436997"/>
    </w:p>
    <w:p w14:paraId="3C4796CF" w14:textId="32570B01" w:rsidR="00472284" w:rsidRDefault="00472284" w:rsidP="00472284">
      <w:pPr>
        <w:pStyle w:val="Caption"/>
      </w:pPr>
      <w:bookmarkStart w:id="201" w:name="_Toc485125507"/>
      <w:r>
        <w:t xml:space="preserve">Figure </w:t>
      </w:r>
      <w:r w:rsidR="00272F76">
        <w:fldChar w:fldCharType="begin"/>
      </w:r>
      <w:r w:rsidR="00272F76">
        <w:instrText xml:space="preserve"> STYLEREF 1 \s </w:instrText>
      </w:r>
      <w:r w:rsidR="00272F76">
        <w:fldChar w:fldCharType="separate"/>
      </w:r>
      <w:r w:rsidR="005260A8">
        <w:rPr>
          <w:noProof/>
        </w:rPr>
        <w:t>2</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23564">
        <w:rPr>
          <w:noProof/>
        </w:rPr>
        <w:t>7</w:t>
      </w:r>
      <w:r w:rsidR="00272F76">
        <w:rPr>
          <w:noProof/>
        </w:rPr>
        <w:fldChar w:fldCharType="end"/>
      </w:r>
      <w:bookmarkEnd w:id="199"/>
      <w:r>
        <w:t>. Below Code NTG Illustration</w:t>
      </w:r>
      <w:bookmarkEnd w:id="200"/>
      <w:bookmarkEnd w:id="201"/>
    </w:p>
    <w:p w14:paraId="217169A1" w14:textId="77777777" w:rsidR="003425CB" w:rsidRDefault="003425CB" w:rsidP="003425CB">
      <w:pPr>
        <w:jc w:val="center"/>
        <w:rPr>
          <w:rFonts w:cs="Arial"/>
        </w:rPr>
      </w:pPr>
      <w:r>
        <w:rPr>
          <w:rFonts w:cs="Arial"/>
          <w:noProof/>
        </w:rPr>
        <w:drawing>
          <wp:inline distT="0" distB="0" distL="0" distR="0" wp14:anchorId="59FBB924" wp14:editId="28FA71D2">
            <wp:extent cx="2579195"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1521" cy="2756310"/>
                    </a:xfrm>
                    <a:prstGeom prst="rect">
                      <a:avLst/>
                    </a:prstGeom>
                    <a:noFill/>
                  </pic:spPr>
                </pic:pic>
              </a:graphicData>
            </a:graphic>
          </wp:inline>
        </w:drawing>
      </w:r>
    </w:p>
    <w:p w14:paraId="16EE0495" w14:textId="77777777" w:rsidR="003425CB" w:rsidRDefault="003425CB" w:rsidP="003425CB">
      <w:pPr>
        <w:rPr>
          <w:rFonts w:cs="Arial"/>
        </w:rPr>
      </w:pPr>
    </w:p>
    <w:p w14:paraId="4432795B" w14:textId="77777777" w:rsidR="003425CB" w:rsidRDefault="003425CB" w:rsidP="003425CB">
      <w:pPr>
        <w:rPr>
          <w:rFonts w:cs="Arial"/>
        </w:rPr>
      </w:pPr>
      <w:r>
        <w:rPr>
          <w:rFonts w:cs="Arial"/>
        </w:rPr>
        <w:t>Determination of the below code NTG (</w:t>
      </w:r>
      <w:r w:rsidRPr="00AD72F0">
        <w:rPr>
          <w:rFonts w:cs="Arial"/>
          <w:i/>
        </w:rPr>
        <w:t>NTG</w:t>
      </w:r>
      <w:r w:rsidRPr="00AD72F0">
        <w:rPr>
          <w:rFonts w:cs="Arial"/>
          <w:i/>
          <w:vertAlign w:val="subscript"/>
        </w:rPr>
        <w:t>BC</w:t>
      </w:r>
      <w:r>
        <w:rPr>
          <w:rFonts w:cs="Arial"/>
        </w:rPr>
        <w:t xml:space="preserve">) </w:t>
      </w:r>
      <w:r w:rsidRPr="00AD72F0">
        <w:rPr>
          <w:rFonts w:cs="Arial"/>
        </w:rPr>
        <w:t>is</w:t>
      </w:r>
      <w:r>
        <w:rPr>
          <w:rFonts w:cs="Arial"/>
        </w:rPr>
        <w:t xml:space="preserve"> not a simple task as no data exists to inform this process. The Navigant team presented the concept of below code NTG to the Demand Analysis Working Group on November 4</w:t>
      </w:r>
      <w:r w:rsidRPr="00AD72F0">
        <w:rPr>
          <w:rFonts w:cs="Arial"/>
          <w:vertAlign w:val="superscript"/>
        </w:rPr>
        <w:t>th</w:t>
      </w:r>
      <w:r>
        <w:rPr>
          <w:rFonts w:cs="Arial"/>
        </w:rPr>
        <w:t>, 2016. A framework of basing the below code NTG on the above code NTG (</w:t>
      </w:r>
      <w:r w:rsidRPr="00AD72F0">
        <w:rPr>
          <w:rFonts w:cs="Arial"/>
          <w:i/>
        </w:rPr>
        <w:t>NTG</w:t>
      </w:r>
      <w:r>
        <w:rPr>
          <w:rFonts w:cs="Arial"/>
          <w:i/>
          <w:vertAlign w:val="subscript"/>
        </w:rPr>
        <w:t>A</w:t>
      </w:r>
      <w:r w:rsidRPr="00AD72F0">
        <w:rPr>
          <w:rFonts w:cs="Arial"/>
          <w:i/>
          <w:vertAlign w:val="subscript"/>
        </w:rPr>
        <w:t>C</w:t>
      </w:r>
      <w:r>
        <w:rPr>
          <w:rFonts w:cs="Arial"/>
        </w:rPr>
        <w:t xml:space="preserve">) was presented. The following question was posed: </w:t>
      </w:r>
    </w:p>
    <w:p w14:paraId="5F667EDC" w14:textId="77777777" w:rsidR="003425CB" w:rsidRDefault="003425CB" w:rsidP="003425CB">
      <w:pPr>
        <w:rPr>
          <w:rFonts w:cs="Arial"/>
        </w:rPr>
      </w:pPr>
    </w:p>
    <w:p w14:paraId="7A1D9FDA" w14:textId="77777777" w:rsidR="003425CB" w:rsidRPr="00AD72F0" w:rsidRDefault="003425CB" w:rsidP="003425CB">
      <w:pPr>
        <w:spacing w:after="160" w:line="259" w:lineRule="auto"/>
        <w:ind w:left="720"/>
        <w:rPr>
          <w:rFonts w:cs="Arial"/>
          <w:i/>
        </w:rPr>
      </w:pPr>
      <w:r w:rsidRPr="00AD72F0">
        <w:rPr>
          <w:rFonts w:eastAsiaTheme="minorEastAsia" w:cs="Arial"/>
          <w:i/>
        </w:rPr>
        <w:t>What is the appropriate below code NTG to assume (assumption may vary by measure type)?</w:t>
      </w:r>
    </w:p>
    <w:p w14:paraId="5D8A578B"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t>NTG</w:t>
      </w:r>
      <w:r w:rsidRPr="00AD72F0">
        <w:rPr>
          <w:rFonts w:eastAsiaTheme="minorEastAsia" w:cs="Arial"/>
          <w:i/>
          <w:vertAlign w:val="subscript"/>
        </w:rPr>
        <w:t>BC</w:t>
      </w:r>
      <w:r w:rsidRPr="00AD72F0">
        <w:rPr>
          <w:rFonts w:eastAsiaTheme="minorEastAsia" w:cs="Arial"/>
          <w:i/>
        </w:rPr>
        <w:t xml:space="preserve"> = 1 </w:t>
      </w:r>
    </w:p>
    <w:p w14:paraId="1F4D5853"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t>NTG</w:t>
      </w:r>
      <w:r w:rsidRPr="00AD72F0">
        <w:rPr>
          <w:rFonts w:eastAsiaTheme="minorEastAsia" w:cs="Arial"/>
          <w:i/>
          <w:vertAlign w:val="subscript"/>
        </w:rPr>
        <w:t xml:space="preserve">AC </w:t>
      </w:r>
      <w:r w:rsidRPr="00AD72F0">
        <w:rPr>
          <w:rFonts w:eastAsiaTheme="minorEastAsia" w:cs="Arial"/>
          <w:i/>
        </w:rPr>
        <w:t>&lt; NTG</w:t>
      </w:r>
      <w:r w:rsidRPr="00AD72F0">
        <w:rPr>
          <w:rFonts w:eastAsiaTheme="minorEastAsia" w:cs="Arial"/>
          <w:i/>
          <w:vertAlign w:val="subscript"/>
        </w:rPr>
        <w:t>BC</w:t>
      </w:r>
      <w:r w:rsidRPr="00AD72F0">
        <w:rPr>
          <w:rFonts w:eastAsiaTheme="minorEastAsia" w:cs="Arial"/>
          <w:i/>
        </w:rPr>
        <w:t xml:space="preserve"> &lt; 1</w:t>
      </w:r>
    </w:p>
    <w:p w14:paraId="7542200C"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t>NTG</w:t>
      </w:r>
      <w:r w:rsidRPr="00AD72F0">
        <w:rPr>
          <w:rFonts w:eastAsiaTheme="minorEastAsia" w:cs="Arial"/>
          <w:i/>
          <w:vertAlign w:val="subscript"/>
        </w:rPr>
        <w:t>BC</w:t>
      </w:r>
      <w:r w:rsidRPr="00AD72F0">
        <w:rPr>
          <w:rFonts w:eastAsiaTheme="minorEastAsia" w:cs="Arial"/>
          <w:i/>
        </w:rPr>
        <w:t xml:space="preserve"> = NTG</w:t>
      </w:r>
      <w:r w:rsidRPr="00AD72F0">
        <w:rPr>
          <w:rFonts w:eastAsiaTheme="minorEastAsia" w:cs="Arial"/>
          <w:i/>
          <w:vertAlign w:val="subscript"/>
        </w:rPr>
        <w:t>AC</w:t>
      </w:r>
    </w:p>
    <w:p w14:paraId="04D45989"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lastRenderedPageBreak/>
        <w:t>NTG</w:t>
      </w:r>
      <w:r w:rsidRPr="00AD72F0">
        <w:rPr>
          <w:rFonts w:eastAsiaTheme="minorEastAsia" w:cs="Arial"/>
          <w:i/>
          <w:vertAlign w:val="subscript"/>
        </w:rPr>
        <w:t xml:space="preserve">BC </w:t>
      </w:r>
      <w:r w:rsidRPr="00AD72F0">
        <w:rPr>
          <w:rFonts w:eastAsiaTheme="minorEastAsia" w:cs="Arial"/>
          <w:i/>
        </w:rPr>
        <w:t>&lt; NTG</w:t>
      </w:r>
      <w:r w:rsidRPr="00AD72F0">
        <w:rPr>
          <w:rFonts w:eastAsiaTheme="minorEastAsia" w:cs="Arial"/>
          <w:i/>
          <w:vertAlign w:val="subscript"/>
        </w:rPr>
        <w:t xml:space="preserve">AC </w:t>
      </w:r>
    </w:p>
    <w:p w14:paraId="617B82E8" w14:textId="77777777" w:rsidR="003425CB" w:rsidRDefault="003425CB" w:rsidP="003425CB">
      <w:pPr>
        <w:rPr>
          <w:rFonts w:cs="Arial"/>
        </w:rPr>
      </w:pPr>
      <w:r>
        <w:rPr>
          <w:rFonts w:cs="Arial"/>
        </w:rPr>
        <w:t xml:space="preserve">No specific feedback was provided by stakeholders. </w:t>
      </w:r>
    </w:p>
    <w:p w14:paraId="5A59E994" w14:textId="77777777" w:rsidR="003425CB" w:rsidRDefault="003425CB" w:rsidP="003425CB">
      <w:pPr>
        <w:rPr>
          <w:rFonts w:cs="Arial"/>
        </w:rPr>
      </w:pPr>
    </w:p>
    <w:p w14:paraId="4662B0CD" w14:textId="77777777" w:rsidR="003425CB" w:rsidRDefault="003425CB" w:rsidP="003425CB">
      <w:pPr>
        <w:rPr>
          <w:rFonts w:cs="Arial"/>
        </w:rPr>
      </w:pPr>
      <w:r>
        <w:rPr>
          <w:rFonts w:cs="Arial"/>
        </w:rPr>
        <w:t>Navigant can see arguments for a wide range of NTG</w:t>
      </w:r>
      <w:r w:rsidRPr="003B0262">
        <w:rPr>
          <w:rFonts w:cs="Arial"/>
          <w:vertAlign w:val="subscript"/>
        </w:rPr>
        <w:t>BC</w:t>
      </w:r>
      <w:r>
        <w:rPr>
          <w:rFonts w:cs="Arial"/>
        </w:rPr>
        <w:t>.</w:t>
      </w:r>
    </w:p>
    <w:p w14:paraId="532580BD" w14:textId="77777777" w:rsidR="003425CB" w:rsidRDefault="003425CB" w:rsidP="003425CB">
      <w:pPr>
        <w:rPr>
          <w:rFonts w:cs="Arial"/>
        </w:rPr>
      </w:pPr>
    </w:p>
    <w:p w14:paraId="60C8AB73" w14:textId="77777777" w:rsidR="003425CB" w:rsidRPr="002D7AC6" w:rsidRDefault="003425CB" w:rsidP="003425CB">
      <w:pPr>
        <w:spacing w:after="160" w:line="259" w:lineRule="auto"/>
        <w:ind w:left="720"/>
        <w:rPr>
          <w:rFonts w:cs="Arial"/>
          <w:b/>
          <w:i/>
        </w:rPr>
      </w:pPr>
      <w:r w:rsidRPr="002D7AC6">
        <w:rPr>
          <w:rFonts w:eastAsiaTheme="minorEastAsia" w:cs="Arial"/>
          <w:b/>
          <w:i/>
        </w:rPr>
        <w:t>NTG</w:t>
      </w:r>
      <w:r w:rsidRPr="002D7AC6">
        <w:rPr>
          <w:rFonts w:eastAsiaTheme="minorEastAsia" w:cs="Arial"/>
          <w:b/>
          <w:i/>
          <w:vertAlign w:val="subscript"/>
        </w:rPr>
        <w:t xml:space="preserve">BC </w:t>
      </w:r>
      <w:r w:rsidRPr="002D7AC6">
        <w:rPr>
          <w:rFonts w:eastAsiaTheme="minorEastAsia" w:cs="Arial"/>
          <w:b/>
          <w:i/>
        </w:rPr>
        <w:t>&lt; NTG</w:t>
      </w:r>
      <w:r w:rsidRPr="002D7AC6">
        <w:rPr>
          <w:rFonts w:eastAsiaTheme="minorEastAsia" w:cs="Arial"/>
          <w:b/>
          <w:i/>
          <w:vertAlign w:val="subscript"/>
        </w:rPr>
        <w:t xml:space="preserve">AC </w:t>
      </w:r>
    </w:p>
    <w:p w14:paraId="0D663DFC" w14:textId="16ED01DC" w:rsidR="003425CB" w:rsidRDefault="003425CB" w:rsidP="003425CB">
      <w:pPr>
        <w:ind w:left="720"/>
        <w:rPr>
          <w:rFonts w:cs="Arial"/>
        </w:rPr>
      </w:pPr>
      <w:r>
        <w:rPr>
          <w:rFonts w:cs="Arial"/>
        </w:rPr>
        <w:t xml:space="preserve">Navigant and </w:t>
      </w:r>
      <w:r w:rsidR="000A3F3A">
        <w:rPr>
          <w:rFonts w:cs="Arial"/>
        </w:rPr>
        <w:t xml:space="preserve">Commission staff </w:t>
      </w:r>
      <w:r>
        <w:rPr>
          <w:rFonts w:cs="Arial"/>
        </w:rPr>
        <w:t xml:space="preserve">discussed this concept with the CPUC’s Ex-Ante consultants who provided feedback that below code NTG is likely less than above code NTG. The Ex-Ante consultants further advised that </w:t>
      </w:r>
      <w:r w:rsidRPr="00115C6C">
        <w:rPr>
          <w:rFonts w:cs="Arial"/>
        </w:rPr>
        <w:t>NTG</w:t>
      </w:r>
      <w:r w:rsidRPr="00115C6C">
        <w:rPr>
          <w:rFonts w:cs="Arial"/>
          <w:vertAlign w:val="subscript"/>
        </w:rPr>
        <w:t>BC</w:t>
      </w:r>
      <w:r>
        <w:rPr>
          <w:rFonts w:cs="Arial"/>
        </w:rPr>
        <w:t xml:space="preserve"> is likely low for equipment with high capital cost where utility rebates are likely a small percentage of the full cost of the new equipment (such as HVAC equipment). In such situations, the argument is made, the utility rebate is a very small influence on the decision to come up to code such that the amount of savings attributed to the utility program (i.e. the NTG ratio) will be small. However, NTG</w:t>
      </w:r>
      <w:r w:rsidRPr="003B0262">
        <w:rPr>
          <w:rFonts w:cs="Arial"/>
          <w:vertAlign w:val="subscript"/>
        </w:rPr>
        <w:t>BC</w:t>
      </w:r>
      <w:r>
        <w:rPr>
          <w:rFonts w:cs="Arial"/>
        </w:rPr>
        <w:t xml:space="preserve"> may be closer to </w:t>
      </w:r>
      <w:r w:rsidRPr="003B0262">
        <w:rPr>
          <w:rFonts w:eastAsiaTheme="minorEastAsia" w:cs="Arial"/>
        </w:rPr>
        <w:t>NTG</w:t>
      </w:r>
      <w:r w:rsidRPr="003B0262">
        <w:rPr>
          <w:rFonts w:eastAsiaTheme="minorEastAsia" w:cs="Arial"/>
          <w:vertAlign w:val="subscript"/>
        </w:rPr>
        <w:t>AC</w:t>
      </w:r>
      <w:r>
        <w:rPr>
          <w:rFonts w:cs="Arial"/>
        </w:rPr>
        <w:t xml:space="preserve"> for equipment that has low capital cost (such as lighting). In these situations, the argument is made, the utility rebate has a larger influence on customer decisions. </w:t>
      </w:r>
    </w:p>
    <w:p w14:paraId="2664B2E8" w14:textId="77777777" w:rsidR="003425CB" w:rsidRPr="003B0262" w:rsidRDefault="003425CB" w:rsidP="003425CB">
      <w:pPr>
        <w:ind w:left="720"/>
        <w:rPr>
          <w:rFonts w:cs="Arial"/>
        </w:rPr>
      </w:pPr>
    </w:p>
    <w:p w14:paraId="00303744" w14:textId="77777777" w:rsidR="003425CB" w:rsidRPr="002D7AC6" w:rsidRDefault="003425CB" w:rsidP="003425CB">
      <w:pPr>
        <w:spacing w:after="160" w:line="259" w:lineRule="auto"/>
        <w:ind w:left="720"/>
        <w:rPr>
          <w:rFonts w:cs="Arial"/>
          <w:b/>
          <w:i/>
        </w:rPr>
      </w:pPr>
      <w:r w:rsidRPr="002D7AC6">
        <w:rPr>
          <w:rFonts w:eastAsiaTheme="minorEastAsia" w:cs="Arial"/>
          <w:b/>
          <w:i/>
        </w:rPr>
        <w:t>NTG</w:t>
      </w:r>
      <w:r w:rsidRPr="002D7AC6">
        <w:rPr>
          <w:rFonts w:eastAsiaTheme="minorEastAsia" w:cs="Arial"/>
          <w:b/>
          <w:i/>
          <w:vertAlign w:val="subscript"/>
        </w:rPr>
        <w:t xml:space="preserve">BC </w:t>
      </w:r>
      <w:r>
        <w:rPr>
          <w:rFonts w:cs="Arial"/>
          <w:b/>
          <w:i/>
        </w:rPr>
        <w:t>≥</w:t>
      </w:r>
      <w:r w:rsidRPr="002D7AC6">
        <w:rPr>
          <w:rFonts w:eastAsiaTheme="minorEastAsia" w:cs="Arial"/>
          <w:b/>
          <w:i/>
        </w:rPr>
        <w:t xml:space="preserve"> NTG</w:t>
      </w:r>
      <w:r w:rsidRPr="002D7AC6">
        <w:rPr>
          <w:rFonts w:eastAsiaTheme="minorEastAsia" w:cs="Arial"/>
          <w:b/>
          <w:i/>
          <w:vertAlign w:val="subscript"/>
        </w:rPr>
        <w:t xml:space="preserve">AC </w:t>
      </w:r>
    </w:p>
    <w:p w14:paraId="54C4DC08" w14:textId="77777777" w:rsidR="003425CB" w:rsidRDefault="003425CB" w:rsidP="003425CB">
      <w:pPr>
        <w:ind w:left="720"/>
      </w:pPr>
      <w:r w:rsidRPr="002D7AC6">
        <w:t xml:space="preserve">We define Stranded Potential as “the opportunities for energy efficiency that are </w:t>
      </w:r>
      <w:r w:rsidRPr="002D7AC6">
        <w:rPr>
          <w:b/>
          <w:i/>
        </w:rPr>
        <w:t xml:space="preserve">not currently captured </w:t>
      </w:r>
      <w:r w:rsidRPr="002D7AC6">
        <w:t xml:space="preserve">by either PA rebate programs or codes and standards. Stranded Potential is below-code savings that </w:t>
      </w:r>
      <w:r w:rsidRPr="002D7AC6">
        <w:rPr>
          <w:b/>
          <w:i/>
        </w:rPr>
        <w:t>is not materializing in the market because there is no incentive for the customer</w:t>
      </w:r>
      <w:r w:rsidRPr="002D7AC6">
        <w:rPr>
          <w:i/>
        </w:rPr>
        <w:t xml:space="preserve"> </w:t>
      </w:r>
      <w:r w:rsidRPr="002D7AC6">
        <w:t xml:space="preserve">to upgrade their existing equipment given current program rebate policy. Under AB802, PAs could start offering rebates for bringing existing equipment up to code thus </w:t>
      </w:r>
      <w:r w:rsidRPr="002D7AC6">
        <w:rPr>
          <w:b/>
          <w:i/>
        </w:rPr>
        <w:t>motivating a whole new subset of customers to install energy efficiency</w:t>
      </w:r>
      <w:r w:rsidRPr="002D7AC6">
        <w:t xml:space="preserve"> and capturing the Stranded Potential.”</w:t>
      </w:r>
      <w:r>
        <w:t xml:space="preserve"> Our definition of stranded potential implies below code savings programs target customers who wouldn’t have upgraded equipment in the first place. Thus, any influence the IOU has on the upgrade has limited free ridership.  Under this argument it’s also important to note that NTG is an average of the entire market and has been calculated as such in past evaluations. However, Stranded Potential is targeting a different population of customers who were not motivated to act on their own, thus imply a lower level of free ridership relative to the general population. </w:t>
      </w:r>
    </w:p>
    <w:p w14:paraId="1F39FED1" w14:textId="77777777" w:rsidR="003425CB" w:rsidRDefault="003425CB" w:rsidP="003425CB">
      <w:pPr>
        <w:ind w:left="720"/>
      </w:pPr>
    </w:p>
    <w:p w14:paraId="0EF16CF9" w14:textId="6DD95343" w:rsidR="003425CB" w:rsidRDefault="003425CB" w:rsidP="003425CB">
      <w:pPr>
        <w:rPr>
          <w:rFonts w:cs="Arial"/>
        </w:rPr>
      </w:pPr>
      <w:r>
        <w:rPr>
          <w:rFonts w:cs="Arial"/>
        </w:rPr>
        <w:t xml:space="preserve">Based on the lack of data and high uncertainty in this area, </w:t>
      </w:r>
      <w:r w:rsidR="000A3F3A">
        <w:rPr>
          <w:rFonts w:cs="Arial"/>
        </w:rPr>
        <w:t xml:space="preserve">Commission staff </w:t>
      </w:r>
      <w:r>
        <w:rPr>
          <w:rFonts w:cs="Arial"/>
        </w:rPr>
        <w:t>advised Navigant to follow a conservative approach and assume NTG</w:t>
      </w:r>
      <w:r w:rsidRPr="003B0262">
        <w:rPr>
          <w:rFonts w:cs="Arial"/>
          <w:vertAlign w:val="subscript"/>
        </w:rPr>
        <w:t>BC</w:t>
      </w:r>
      <w:r>
        <w:rPr>
          <w:rFonts w:cs="Arial"/>
        </w:rPr>
        <w:t xml:space="preserve"> is less than NTG</w:t>
      </w:r>
      <w:r>
        <w:rPr>
          <w:rFonts w:cs="Arial"/>
          <w:vertAlign w:val="subscript"/>
        </w:rPr>
        <w:t>A</w:t>
      </w:r>
      <w:r w:rsidRPr="003B0262">
        <w:rPr>
          <w:rFonts w:cs="Arial"/>
          <w:vertAlign w:val="subscript"/>
        </w:rPr>
        <w:t>C</w:t>
      </w:r>
      <w:r>
        <w:rPr>
          <w:rFonts w:cs="Arial"/>
        </w:rPr>
        <w:t xml:space="preserve">. This would imply a lower market potential and a more conservative basis for setting IOU goals.  We expect better data to become available after further research and evaluation of such programs. </w:t>
      </w:r>
    </w:p>
    <w:p w14:paraId="5EEE4626" w14:textId="77777777" w:rsidR="003425CB" w:rsidRDefault="003425CB" w:rsidP="003425CB">
      <w:pPr>
        <w:rPr>
          <w:rFonts w:cs="Arial"/>
        </w:rPr>
      </w:pPr>
    </w:p>
    <w:p w14:paraId="76061AC2" w14:textId="77777777" w:rsidR="003425CB" w:rsidRDefault="003425CB" w:rsidP="003425CB">
      <w:pPr>
        <w:rPr>
          <w:rFonts w:cs="Arial"/>
        </w:rPr>
      </w:pPr>
      <w:r w:rsidRPr="003B0262">
        <w:rPr>
          <w:rFonts w:cs="Arial"/>
        </w:rPr>
        <w:t xml:space="preserve">We estimate </w:t>
      </w:r>
      <w:r w:rsidRPr="003B0262">
        <w:rPr>
          <w:rFonts w:eastAsiaTheme="minorEastAsia" w:cs="Arial"/>
        </w:rPr>
        <w:t>NTG</w:t>
      </w:r>
      <w:r w:rsidRPr="003B0262">
        <w:rPr>
          <w:rFonts w:eastAsiaTheme="minorEastAsia" w:cs="Arial"/>
          <w:vertAlign w:val="subscript"/>
        </w:rPr>
        <w:t xml:space="preserve">BC </w:t>
      </w:r>
      <w:r w:rsidRPr="003B0262">
        <w:rPr>
          <w:rFonts w:cs="Arial"/>
        </w:rPr>
        <w:t xml:space="preserve">to be some fraction of </w:t>
      </w:r>
      <w:r w:rsidRPr="003B0262">
        <w:rPr>
          <w:rFonts w:eastAsiaTheme="minorEastAsia" w:cs="Arial"/>
        </w:rPr>
        <w:t>NTG</w:t>
      </w:r>
      <w:r>
        <w:rPr>
          <w:rFonts w:cs="Arial"/>
          <w:vertAlign w:val="subscript"/>
        </w:rPr>
        <w:t>AC</w:t>
      </w:r>
      <w:r>
        <w:rPr>
          <w:rFonts w:cs="Arial"/>
        </w:rPr>
        <w:t xml:space="preserve"> where:</w:t>
      </w:r>
    </w:p>
    <w:p w14:paraId="633D8773" w14:textId="77777777" w:rsidR="003425CB" w:rsidRDefault="003425CB" w:rsidP="003425CB">
      <w:pPr>
        <w:rPr>
          <w:rFonts w:cs="Arial"/>
        </w:rPr>
      </w:pPr>
    </w:p>
    <w:p w14:paraId="4A823419" w14:textId="77777777" w:rsidR="003425CB" w:rsidRDefault="003425CB" w:rsidP="003425CB">
      <w:pPr>
        <w:jc w:val="center"/>
        <w:rPr>
          <w:rFonts w:cs="Arial"/>
          <w:i/>
        </w:rPr>
      </w:pPr>
      <w:r w:rsidRPr="002D7AC6">
        <w:rPr>
          <w:rFonts w:eastAsiaTheme="minorEastAsia" w:cs="Arial"/>
          <w:i/>
        </w:rPr>
        <w:t>NTG</w:t>
      </w:r>
      <w:r w:rsidRPr="002D7AC6">
        <w:rPr>
          <w:rFonts w:eastAsiaTheme="minorEastAsia" w:cs="Arial"/>
          <w:i/>
          <w:vertAlign w:val="subscript"/>
        </w:rPr>
        <w:t xml:space="preserve">BC </w:t>
      </w:r>
      <w:r w:rsidRPr="002D7AC6">
        <w:rPr>
          <w:rFonts w:cs="Arial"/>
          <w:i/>
        </w:rPr>
        <w:t xml:space="preserve">=  </w:t>
      </w:r>
      <w:r w:rsidRPr="002D7AC6">
        <w:rPr>
          <w:rFonts w:eastAsiaTheme="minorEastAsia" w:cs="Arial"/>
          <w:i/>
        </w:rPr>
        <w:t>NTG</w:t>
      </w:r>
      <w:r w:rsidRPr="002D7AC6">
        <w:rPr>
          <w:rFonts w:cs="Arial"/>
          <w:i/>
          <w:vertAlign w:val="subscript"/>
        </w:rPr>
        <w:t>AC</w:t>
      </w:r>
      <w:r w:rsidRPr="002D7AC6">
        <w:rPr>
          <w:rFonts w:cs="Arial"/>
          <w:i/>
        </w:rPr>
        <w:t xml:space="preserve"> x NTG Adjustment Factor</w:t>
      </w:r>
    </w:p>
    <w:p w14:paraId="00157D73" w14:textId="77777777" w:rsidR="003425CB" w:rsidRDefault="003425CB" w:rsidP="003425CB">
      <w:pPr>
        <w:rPr>
          <w:rFonts w:cs="Arial"/>
          <w:i/>
        </w:rPr>
      </w:pPr>
    </w:p>
    <w:p w14:paraId="537A5A80" w14:textId="355C16CE" w:rsidR="003425CB" w:rsidRPr="003425CB" w:rsidRDefault="00F820AE" w:rsidP="003425CB">
      <w:pPr>
        <w:rPr>
          <w:rFonts w:cs="Arial"/>
          <w:i/>
        </w:rPr>
      </w:pPr>
      <w:r>
        <w:rPr>
          <w:rFonts w:cs="Arial"/>
        </w:rPr>
        <w:fldChar w:fldCharType="begin"/>
      </w:r>
      <w:r>
        <w:rPr>
          <w:rFonts w:cs="Arial"/>
        </w:rPr>
        <w:instrText xml:space="preserve"> REF _Ref485118778 \h </w:instrText>
      </w:r>
      <w:r>
        <w:rPr>
          <w:rFonts w:cs="Arial"/>
        </w:rPr>
      </w:r>
      <w:r>
        <w:rPr>
          <w:rFonts w:cs="Arial"/>
        </w:rPr>
        <w:fldChar w:fldCharType="separate"/>
      </w:r>
      <w:r>
        <w:t xml:space="preserve">Table </w:t>
      </w:r>
      <w:r>
        <w:rPr>
          <w:noProof/>
        </w:rPr>
        <w:t>2</w:t>
      </w:r>
      <w:r>
        <w:noBreakHyphen/>
      </w:r>
      <w:r>
        <w:rPr>
          <w:noProof/>
        </w:rPr>
        <w:t>3</w:t>
      </w:r>
      <w:r>
        <w:rPr>
          <w:rFonts w:cs="Arial"/>
        </w:rPr>
        <w:fldChar w:fldCharType="end"/>
      </w:r>
      <w:r w:rsidR="003425CB">
        <w:rPr>
          <w:rFonts w:cs="Arial"/>
        </w:rPr>
        <w:t xml:space="preserve"> below indicates our assumptions for the NTG Adjustment factor. These are purely assumptions based on direction from the CPUC and commentary from the CPUC’s Ex Ante Consultants. Lighting has a larger factor than all other end uses due to its low capital cost. Data centers have a smaller factor than all other end uses because of the multiple influences driving data center upgrade decisions.  All others are assumed to be 0.5 for lack of better data. </w:t>
      </w:r>
    </w:p>
    <w:p w14:paraId="17EEC369" w14:textId="1119458B" w:rsidR="003425CB" w:rsidRDefault="003425CB" w:rsidP="003425CB">
      <w:pPr>
        <w:rPr>
          <w:rFonts w:cs="Arial"/>
        </w:rPr>
      </w:pPr>
    </w:p>
    <w:p w14:paraId="5B974E2D" w14:textId="4A8DE04B" w:rsidR="00F820AE" w:rsidRDefault="00F820AE" w:rsidP="00F820AE">
      <w:pPr>
        <w:pStyle w:val="Caption"/>
        <w:rPr>
          <w:highlight w:val="yellow"/>
        </w:rPr>
      </w:pPr>
      <w:bookmarkStart w:id="202" w:name="_Ref485118778"/>
      <w:bookmarkStart w:id="203" w:name="_Ref485118762"/>
      <w:bookmarkStart w:id="204" w:name="_Toc485125653"/>
      <w:r>
        <w:lastRenderedPageBreak/>
        <w:t xml:space="preserve">Table </w:t>
      </w:r>
      <w:r w:rsidR="00272F76">
        <w:fldChar w:fldCharType="begin"/>
      </w:r>
      <w:r w:rsidR="00272F76">
        <w:instrText xml:space="preserve"> STYLEREF 1 \s </w:instrText>
      </w:r>
      <w:r w:rsidR="00272F76">
        <w:fldChar w:fldCharType="separate"/>
      </w:r>
      <w:r>
        <w:rPr>
          <w:noProof/>
        </w:rPr>
        <w:t>2</w:t>
      </w:r>
      <w:r w:rsidR="00272F76">
        <w:rPr>
          <w:noProof/>
        </w:rPr>
        <w:fldChar w:fldCharType="end"/>
      </w:r>
      <w:r>
        <w:noBreakHyphen/>
      </w:r>
      <w:r w:rsidR="00272F76">
        <w:fldChar w:fldCharType="begin"/>
      </w:r>
      <w:r w:rsidR="00272F76">
        <w:instrText xml:space="preserve"> SEQ Table \* ARABIC \s 1 </w:instrText>
      </w:r>
      <w:r w:rsidR="00272F76">
        <w:fldChar w:fldCharType="separate"/>
      </w:r>
      <w:r>
        <w:rPr>
          <w:noProof/>
        </w:rPr>
        <w:t>3</w:t>
      </w:r>
      <w:r w:rsidR="00272F76">
        <w:rPr>
          <w:noProof/>
        </w:rPr>
        <w:fldChar w:fldCharType="end"/>
      </w:r>
      <w:bookmarkEnd w:id="202"/>
      <w:r>
        <w:t xml:space="preserve">. </w:t>
      </w:r>
      <w:bookmarkEnd w:id="203"/>
      <w:r>
        <w:t>NTG Adjustment Factors</w:t>
      </w:r>
      <w:bookmarkEnd w:id="204"/>
    </w:p>
    <w:tbl>
      <w:tblPr>
        <w:tblStyle w:val="EnergyTable1"/>
        <w:tblW w:w="6360" w:type="dxa"/>
        <w:tblLook w:val="04A0" w:firstRow="1" w:lastRow="0" w:firstColumn="1" w:lastColumn="0" w:noHBand="0" w:noVBand="1"/>
      </w:tblPr>
      <w:tblGrid>
        <w:gridCol w:w="2720"/>
        <w:gridCol w:w="1820"/>
        <w:gridCol w:w="1820"/>
      </w:tblGrid>
      <w:tr w:rsidR="003425CB" w:rsidRPr="003425CB" w14:paraId="4FDA4147" w14:textId="77777777" w:rsidTr="003425C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720" w:type="dxa"/>
            <w:hideMark/>
          </w:tcPr>
          <w:p w14:paraId="3DCB4B44" w14:textId="77777777" w:rsidR="003425CB" w:rsidRPr="00B82A67" w:rsidRDefault="003425CB" w:rsidP="00431BBE">
            <w:pPr>
              <w:spacing w:after="0" w:line="240" w:lineRule="auto"/>
              <w:rPr>
                <w:rFonts w:ascii="Arial Narrow" w:hAnsi="Arial Narrow"/>
                <w:bCs/>
                <w:color w:val="FFFFFF" w:themeColor="background1"/>
                <w:szCs w:val="20"/>
              </w:rPr>
            </w:pPr>
            <w:r w:rsidRPr="00B82A67">
              <w:rPr>
                <w:rFonts w:ascii="Arial Narrow" w:hAnsi="Arial Narrow"/>
                <w:bCs/>
                <w:color w:val="FFFFFF" w:themeColor="background1"/>
                <w:szCs w:val="20"/>
              </w:rPr>
              <w:t>End Use Category</w:t>
            </w:r>
          </w:p>
        </w:tc>
        <w:tc>
          <w:tcPr>
            <w:tcW w:w="1820" w:type="dxa"/>
          </w:tcPr>
          <w:p w14:paraId="3B134B6A" w14:textId="77777777" w:rsidR="003425CB" w:rsidRPr="003425CB" w:rsidRDefault="003425CB" w:rsidP="00431BBE">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themeColor="background1"/>
                <w:szCs w:val="20"/>
              </w:rPr>
            </w:pPr>
            <w:r w:rsidRPr="003425CB">
              <w:rPr>
                <w:rFonts w:ascii="Arial Narrow" w:hAnsi="Arial Narrow"/>
                <w:bCs/>
                <w:color w:val="FFFFFF" w:themeColor="background1"/>
                <w:szCs w:val="20"/>
              </w:rPr>
              <w:t xml:space="preserve">Res </w:t>
            </w:r>
          </w:p>
        </w:tc>
        <w:tc>
          <w:tcPr>
            <w:tcW w:w="1820" w:type="dxa"/>
          </w:tcPr>
          <w:p w14:paraId="6E4107EF" w14:textId="77777777" w:rsidR="003425CB" w:rsidRPr="003425CB" w:rsidRDefault="003425CB" w:rsidP="00431BBE">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themeColor="background1"/>
                <w:szCs w:val="20"/>
              </w:rPr>
            </w:pPr>
            <w:r w:rsidRPr="003425CB">
              <w:rPr>
                <w:rFonts w:ascii="Arial Narrow" w:hAnsi="Arial Narrow"/>
                <w:bCs/>
                <w:color w:val="FFFFFF" w:themeColor="background1"/>
                <w:szCs w:val="20"/>
              </w:rPr>
              <w:t>Com</w:t>
            </w:r>
          </w:p>
        </w:tc>
      </w:tr>
      <w:tr w:rsidR="003425CB" w:rsidRPr="003425CB" w14:paraId="214CA218" w14:textId="77777777" w:rsidTr="003425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0307188A"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Data Center</w:t>
            </w:r>
          </w:p>
        </w:tc>
        <w:tc>
          <w:tcPr>
            <w:tcW w:w="1820" w:type="dxa"/>
          </w:tcPr>
          <w:p w14:paraId="42450E25"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820" w:type="dxa"/>
          </w:tcPr>
          <w:p w14:paraId="6E3C7B21"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425CB">
              <w:rPr>
                <w:rFonts w:ascii="Arial Narrow" w:hAnsi="Arial Narrow"/>
                <w:szCs w:val="20"/>
              </w:rPr>
              <w:t>0.25</w:t>
            </w:r>
          </w:p>
        </w:tc>
      </w:tr>
      <w:tr w:rsidR="003425CB" w:rsidRPr="003425CB" w14:paraId="4E350768" w14:textId="77777777" w:rsidTr="003425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13F32500"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HVAC</w:t>
            </w:r>
          </w:p>
        </w:tc>
        <w:tc>
          <w:tcPr>
            <w:tcW w:w="1820" w:type="dxa"/>
          </w:tcPr>
          <w:p w14:paraId="71DF1FE7"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c>
          <w:tcPr>
            <w:tcW w:w="1820" w:type="dxa"/>
          </w:tcPr>
          <w:p w14:paraId="17D7D5E2"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r>
      <w:tr w:rsidR="003425CB" w:rsidRPr="003425CB" w14:paraId="7651C641" w14:textId="77777777" w:rsidTr="003425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636A057C"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Lighting</w:t>
            </w:r>
          </w:p>
        </w:tc>
        <w:tc>
          <w:tcPr>
            <w:tcW w:w="1820" w:type="dxa"/>
          </w:tcPr>
          <w:p w14:paraId="756144AE"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820" w:type="dxa"/>
          </w:tcPr>
          <w:p w14:paraId="2F94B0DC"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425CB">
              <w:rPr>
                <w:rFonts w:ascii="Arial Narrow" w:hAnsi="Arial Narrow"/>
                <w:szCs w:val="20"/>
              </w:rPr>
              <w:t>0.75</w:t>
            </w:r>
          </w:p>
        </w:tc>
      </w:tr>
      <w:tr w:rsidR="003425CB" w:rsidRPr="003425CB" w14:paraId="6A2841D1" w14:textId="77777777" w:rsidTr="003425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A2F9FC1"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WaterHeat</w:t>
            </w:r>
          </w:p>
        </w:tc>
        <w:tc>
          <w:tcPr>
            <w:tcW w:w="1820" w:type="dxa"/>
          </w:tcPr>
          <w:p w14:paraId="50107791"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c>
          <w:tcPr>
            <w:tcW w:w="1820" w:type="dxa"/>
          </w:tcPr>
          <w:p w14:paraId="22C7E851"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r>
    </w:tbl>
    <w:p w14:paraId="2571D953" w14:textId="77777777" w:rsidR="008820EA" w:rsidRDefault="008820EA" w:rsidP="008820EA">
      <w:pPr>
        <w:pStyle w:val="Heading3"/>
      </w:pPr>
      <w:bookmarkStart w:id="205" w:name="_Toc482626401"/>
      <w:bookmarkStart w:id="206" w:name="_Toc484092472"/>
      <w:bookmarkStart w:id="207" w:name="_Toc484172675"/>
      <w:bookmarkStart w:id="208" w:name="_Toc484183012"/>
      <w:bookmarkStart w:id="209" w:name="_Toc485126527"/>
      <w:r w:rsidRPr="00CD1669">
        <w:t>Whole Building</w:t>
      </w:r>
      <w:r w:rsidR="00763F6F">
        <w:t xml:space="preserve"> Packages</w:t>
      </w:r>
      <w:bookmarkEnd w:id="192"/>
      <w:bookmarkEnd w:id="193"/>
      <w:bookmarkEnd w:id="194"/>
      <w:bookmarkEnd w:id="195"/>
      <w:bookmarkEnd w:id="196"/>
      <w:bookmarkEnd w:id="205"/>
      <w:bookmarkEnd w:id="206"/>
      <w:bookmarkEnd w:id="207"/>
      <w:bookmarkEnd w:id="208"/>
      <w:bookmarkEnd w:id="209"/>
      <w:r>
        <w:t xml:space="preserve"> </w:t>
      </w:r>
    </w:p>
    <w:p w14:paraId="1BAB1C4C" w14:textId="77777777" w:rsidR="00426439" w:rsidRDefault="003C5C1B" w:rsidP="008820EA">
      <w:r w:rsidRPr="00584D27">
        <w:t xml:space="preserve">Whole building </w:t>
      </w:r>
      <w:r w:rsidR="00584D27">
        <w:t>packages</w:t>
      </w:r>
      <w:r w:rsidRPr="00584D27">
        <w:t xml:space="preserve"> are modeled the same way as rebated technologies with one exception. T</w:t>
      </w:r>
      <w:r w:rsidR="00426439" w:rsidRPr="00584D27">
        <w:t xml:space="preserve">echnical and economic potential results are not presented as they are duplicative with the </w:t>
      </w:r>
      <w:r w:rsidRPr="00584D27">
        <w:t>technical and economic potential of rebated technologies.</w:t>
      </w:r>
    </w:p>
    <w:p w14:paraId="0E694C9B" w14:textId="77777777" w:rsidR="008820EA" w:rsidRDefault="008820EA" w:rsidP="008820EA">
      <w:pPr>
        <w:pStyle w:val="Heading3"/>
      </w:pPr>
      <w:bookmarkStart w:id="210" w:name="_Toc482634270"/>
      <w:bookmarkStart w:id="211" w:name="_Toc482626402"/>
      <w:bookmarkStart w:id="212" w:name="_Toc484092473"/>
      <w:bookmarkStart w:id="213" w:name="_Toc484172676"/>
      <w:bookmarkStart w:id="214" w:name="_Toc484183013"/>
      <w:bookmarkStart w:id="215" w:name="_Toc485126528"/>
      <w:bookmarkStart w:id="216" w:name="_Toc478990496"/>
      <w:bookmarkStart w:id="217" w:name="_Toc479768569"/>
      <w:bookmarkStart w:id="218" w:name="_Toc482357294"/>
      <w:r>
        <w:t xml:space="preserve">Industrial </w:t>
      </w:r>
      <w:r w:rsidR="00583CC9">
        <w:t xml:space="preserve">and Agriculture </w:t>
      </w:r>
      <w:r>
        <w:t>Custom Mea</w:t>
      </w:r>
      <w:r w:rsidR="00C5490B">
        <w:t>sures and Emerging Technologies</w:t>
      </w:r>
      <w:bookmarkEnd w:id="210"/>
      <w:bookmarkEnd w:id="211"/>
      <w:bookmarkEnd w:id="212"/>
      <w:bookmarkEnd w:id="213"/>
      <w:bookmarkEnd w:id="214"/>
      <w:bookmarkEnd w:id="215"/>
      <w:r>
        <w:t xml:space="preserve"> </w:t>
      </w:r>
      <w:bookmarkEnd w:id="216"/>
      <w:bookmarkEnd w:id="217"/>
      <w:bookmarkEnd w:id="218"/>
    </w:p>
    <w:p w14:paraId="78AC843D" w14:textId="223850EF" w:rsidR="00B607AE" w:rsidRDefault="005861F3" w:rsidP="00B607AE">
      <w:bookmarkStart w:id="219" w:name="_Toc482357295"/>
      <w:bookmarkStart w:id="220" w:name="_Toc478990497"/>
      <w:bookmarkStart w:id="221" w:name="_Toc479768570"/>
      <w:r w:rsidRPr="005861F3">
        <w:t xml:space="preserve">Custom measures and emerging technologies for the Industrial and Agricultural sectors used </w:t>
      </w:r>
      <w:r w:rsidRPr="005861F3">
        <w:fldChar w:fldCharType="begin"/>
      </w:r>
      <w:r w:rsidRPr="005861F3">
        <w:instrText xml:space="preserve"> REF _Ref482543451 \h </w:instrText>
      </w:r>
      <w:r>
        <w:instrText xml:space="preserve"> \* MERGEFORMAT </w:instrText>
      </w:r>
      <w:r w:rsidRPr="005861F3">
        <w:fldChar w:fldCharType="separate"/>
      </w:r>
      <w:r w:rsidR="005260A8" w:rsidRPr="00B20B55">
        <w:t xml:space="preserve">Equation </w:t>
      </w:r>
      <w:r w:rsidR="005260A8">
        <w:rPr>
          <w:noProof/>
        </w:rPr>
        <w:t>2</w:t>
      </w:r>
      <w:r w:rsidR="005260A8">
        <w:rPr>
          <w:noProof/>
        </w:rPr>
        <w:noBreakHyphen/>
        <w:t>3</w:t>
      </w:r>
      <w:r w:rsidRPr="005861F3">
        <w:fldChar w:fldCharType="end"/>
      </w:r>
      <w:r w:rsidRPr="005861F3">
        <w:t xml:space="preserve">  to calculate incremental market potential. </w:t>
      </w:r>
    </w:p>
    <w:p w14:paraId="0D59FF44" w14:textId="77777777" w:rsidR="00835ACB" w:rsidRDefault="00835ACB" w:rsidP="00B607AE"/>
    <w:p w14:paraId="50A284C8" w14:textId="7B79306B" w:rsidR="00835ACB" w:rsidRPr="00B20B55" w:rsidRDefault="00835ACB" w:rsidP="00835ACB">
      <w:pPr>
        <w:pStyle w:val="Caption"/>
      </w:pPr>
      <w:bookmarkStart w:id="222" w:name="_Ref482543451"/>
      <w:r w:rsidRPr="00B20B55">
        <w:t xml:space="preserve">Equation </w:t>
      </w:r>
      <w:r w:rsidR="00272F76">
        <w:fldChar w:fldCharType="begin"/>
      </w:r>
      <w:r w:rsidR="00272F76">
        <w:instrText xml:space="preserve"> STYLEREF 1 \s </w:instrText>
      </w:r>
      <w:r w:rsidR="00272F76">
        <w:fldChar w:fldCharType="separate"/>
      </w:r>
      <w:r w:rsidR="005260A8">
        <w:rPr>
          <w:noProof/>
        </w:rPr>
        <w:t>2</w:t>
      </w:r>
      <w:r w:rsidR="00272F76">
        <w:rPr>
          <w:noProof/>
        </w:rPr>
        <w:fldChar w:fldCharType="end"/>
      </w:r>
      <w:r>
        <w:noBreakHyphen/>
      </w:r>
      <w:r w:rsidR="00272F76">
        <w:fldChar w:fldCharType="begin"/>
      </w:r>
      <w:r w:rsidR="00272F76">
        <w:instrText xml:space="preserve"> SEQ Equation \* ARABIC \s 1 </w:instrText>
      </w:r>
      <w:r w:rsidR="00272F76">
        <w:fldChar w:fldCharType="separate"/>
      </w:r>
      <w:r w:rsidR="005260A8">
        <w:rPr>
          <w:noProof/>
        </w:rPr>
        <w:t>3</w:t>
      </w:r>
      <w:r w:rsidR="00272F76">
        <w:rPr>
          <w:noProof/>
        </w:rPr>
        <w:fldChar w:fldCharType="end"/>
      </w:r>
      <w:bookmarkEnd w:id="222"/>
      <w:r w:rsidRPr="00B20B55">
        <w:t xml:space="preserve">. General Equation for Calculating Incremental Market Potential for </w:t>
      </w:r>
      <w:r>
        <w:t xml:space="preserve">Generic Custom and Emerging Technologies </w:t>
      </w:r>
    </w:p>
    <w:p w14:paraId="05CCC586" w14:textId="77777777" w:rsidR="00835ACB" w:rsidRDefault="00835ACB" w:rsidP="00835ACB">
      <w:pPr>
        <w:rPr>
          <w:i/>
        </w:rPr>
      </w:pPr>
      <m:oMathPara>
        <m:oMath>
          <m:r>
            <w:rPr>
              <w:rFonts w:ascii="Cambria Math" w:hAnsi="Cambria Math"/>
            </w:rPr>
            <m:t>Incremental Market Potential=Population × Applicability Factor × Unit Energy Savings × Penetration Rate</m:t>
          </m:r>
        </m:oMath>
      </m:oMathPara>
    </w:p>
    <w:p w14:paraId="1BC2697E" w14:textId="77777777" w:rsidR="00835ACB" w:rsidRDefault="00835ACB" w:rsidP="00B607AE"/>
    <w:p w14:paraId="0C55C903" w14:textId="77777777" w:rsidR="00835ACB" w:rsidRDefault="00835ACB" w:rsidP="00835ACB">
      <w:r>
        <w:t xml:space="preserve">Where, </w:t>
      </w:r>
    </w:p>
    <w:p w14:paraId="520D4172" w14:textId="77777777" w:rsidR="00835ACB" w:rsidRDefault="00835ACB" w:rsidP="004E4E36">
      <w:pPr>
        <w:pStyle w:val="ListParagraph"/>
        <w:numPr>
          <w:ilvl w:val="0"/>
          <w:numId w:val="36"/>
        </w:numPr>
      </w:pPr>
      <w:r w:rsidRPr="00C50ED5">
        <w:rPr>
          <w:b/>
        </w:rPr>
        <w:t>Population</w:t>
      </w:r>
      <w:r>
        <w:t xml:space="preserve"> is a global input that is represented as the total energy consumption by subsector within the Industrial and Agriculture sectors.  </w:t>
      </w:r>
    </w:p>
    <w:p w14:paraId="61948595" w14:textId="77777777" w:rsidR="00835ACB" w:rsidRPr="00B20B55" w:rsidRDefault="00835ACB" w:rsidP="004E4E36">
      <w:pPr>
        <w:pStyle w:val="ListParagraph"/>
        <w:numPr>
          <w:ilvl w:val="0"/>
          <w:numId w:val="36"/>
        </w:numPr>
      </w:pPr>
      <w:r w:rsidRPr="00C50ED5">
        <w:rPr>
          <w:b/>
        </w:rPr>
        <w:t>Applicability Factor</w:t>
      </w:r>
      <w:r>
        <w:t xml:space="preserve"> represents eligibility and other program-specific variables.</w:t>
      </w:r>
      <w:r w:rsidR="005861F3">
        <w:t xml:space="preserve"> </w:t>
      </w:r>
    </w:p>
    <w:p w14:paraId="19D596CC" w14:textId="77777777" w:rsidR="00835ACB" w:rsidRDefault="00835ACB" w:rsidP="004E4E36">
      <w:pPr>
        <w:pStyle w:val="ListParagraph"/>
        <w:numPr>
          <w:ilvl w:val="0"/>
          <w:numId w:val="36"/>
        </w:numPr>
      </w:pPr>
      <w:r w:rsidRPr="00852E44">
        <w:rPr>
          <w:b/>
        </w:rPr>
        <w:t>Unit Energy Savings</w:t>
      </w:r>
      <w:r>
        <w:t xml:space="preserve"> represent</w:t>
      </w:r>
      <w:r w:rsidR="006D0ED2">
        <w:t>ed</w:t>
      </w:r>
      <w:r>
        <w:t xml:space="preserve"> the percent savings</w:t>
      </w:r>
      <w:r w:rsidR="006D0ED2">
        <w:t xml:space="preserve"> </w:t>
      </w:r>
      <w:r>
        <w:t xml:space="preserve">expected </w:t>
      </w:r>
      <w:r w:rsidR="006D0ED2">
        <w:t>from customers</w:t>
      </w:r>
      <w:r>
        <w:t xml:space="preserve"> adopting technologies</w:t>
      </w:r>
      <w:r w:rsidR="005861F3">
        <w:t>.</w:t>
      </w:r>
    </w:p>
    <w:p w14:paraId="3206D8A4" w14:textId="77777777" w:rsidR="00835ACB" w:rsidRDefault="00835ACB" w:rsidP="004E4E36">
      <w:pPr>
        <w:pStyle w:val="ListParagraph"/>
        <w:numPr>
          <w:ilvl w:val="0"/>
          <w:numId w:val="36"/>
        </w:numPr>
      </w:pPr>
      <w:r>
        <w:rPr>
          <w:b/>
        </w:rPr>
        <w:t xml:space="preserve">Penetration Rate </w:t>
      </w:r>
      <w:r>
        <w:t xml:space="preserve">represents annual new participation and varies over time and can vary by scenario for Emerging Technologies.  </w:t>
      </w:r>
    </w:p>
    <w:p w14:paraId="4BB1DED3" w14:textId="77777777" w:rsidR="006D0ED2" w:rsidRDefault="006D0ED2" w:rsidP="00D72B7E">
      <w:pPr>
        <w:autoSpaceDE w:val="0"/>
        <w:autoSpaceDN w:val="0"/>
        <w:adjustRightInd w:val="0"/>
        <w:spacing w:line="240" w:lineRule="auto"/>
      </w:pPr>
    </w:p>
    <w:p w14:paraId="01BE16EE" w14:textId="77777777" w:rsidR="00BA08BB" w:rsidRPr="00356E4C" w:rsidRDefault="00B11F8A" w:rsidP="00BA08BB">
      <w:pPr>
        <w:autoSpaceDE w:val="0"/>
        <w:autoSpaceDN w:val="0"/>
        <w:adjustRightInd w:val="0"/>
        <w:spacing w:line="240" w:lineRule="auto"/>
        <w:rPr>
          <w:szCs w:val="20"/>
        </w:rPr>
      </w:pPr>
      <w:r>
        <w:t xml:space="preserve">Emerging technologies were screened </w:t>
      </w:r>
      <w:r w:rsidR="00BA08BB">
        <w:t xml:space="preserve">for consideration </w:t>
      </w:r>
      <w:r>
        <w:t xml:space="preserve">based on </w:t>
      </w:r>
      <w:r w:rsidR="00BA08BB" w:rsidRPr="00356E4C">
        <w:rPr>
          <w:szCs w:val="20"/>
        </w:rPr>
        <w:t xml:space="preserve">an 8-level screening process </w:t>
      </w:r>
      <w:r w:rsidR="00BA08BB">
        <w:rPr>
          <w:szCs w:val="20"/>
        </w:rPr>
        <w:t xml:space="preserve">considering </w:t>
      </w:r>
      <w:r w:rsidR="00BA08BB" w:rsidRPr="00356E4C">
        <w:rPr>
          <w:szCs w:val="20"/>
        </w:rPr>
        <w:t>the following factors:</w:t>
      </w:r>
    </w:p>
    <w:p w14:paraId="74824681" w14:textId="77777777" w:rsidR="00BA08BB" w:rsidRPr="002B1E84" w:rsidRDefault="00BA08BB" w:rsidP="004E4E36">
      <w:pPr>
        <w:pStyle w:val="ListParagraph"/>
        <w:numPr>
          <w:ilvl w:val="0"/>
          <w:numId w:val="45"/>
        </w:numPr>
      </w:pPr>
      <w:r w:rsidRPr="002B1E84">
        <w:t xml:space="preserve">Relevance to the </w:t>
      </w:r>
      <w:r>
        <w:t xml:space="preserve">industrial and agricultural </w:t>
      </w:r>
      <w:r w:rsidRPr="002B1E84">
        <w:t xml:space="preserve">sectors </w:t>
      </w:r>
    </w:p>
    <w:p w14:paraId="44D7BCD9" w14:textId="77777777" w:rsidR="00BA08BB" w:rsidRPr="002B1E84" w:rsidRDefault="00BA08BB" w:rsidP="004E4E36">
      <w:pPr>
        <w:pStyle w:val="ListParagraph"/>
        <w:numPr>
          <w:ilvl w:val="0"/>
          <w:numId w:val="45"/>
        </w:numPr>
      </w:pPr>
      <w:r w:rsidRPr="002B1E84">
        <w:t>Relevance by NAICS segment</w:t>
      </w:r>
    </w:p>
    <w:p w14:paraId="2374B6A9" w14:textId="77777777" w:rsidR="00BA08BB" w:rsidRPr="002B1E84" w:rsidRDefault="00BA08BB" w:rsidP="004E4E36">
      <w:pPr>
        <w:pStyle w:val="ListParagraph"/>
        <w:numPr>
          <w:ilvl w:val="0"/>
          <w:numId w:val="45"/>
        </w:numPr>
      </w:pPr>
      <w:r w:rsidRPr="002B1E84">
        <w:t>End use application</w:t>
      </w:r>
    </w:p>
    <w:p w14:paraId="4F904577" w14:textId="77777777" w:rsidR="00BA08BB" w:rsidRPr="002B1E84" w:rsidRDefault="00BA08BB" w:rsidP="004E4E36">
      <w:pPr>
        <w:pStyle w:val="ListParagraph"/>
        <w:numPr>
          <w:ilvl w:val="0"/>
          <w:numId w:val="45"/>
        </w:numPr>
      </w:pPr>
      <w:r w:rsidRPr="002B1E84">
        <w:t>Type of fuel savings</w:t>
      </w:r>
    </w:p>
    <w:p w14:paraId="6CC5B86D" w14:textId="77777777" w:rsidR="00BA08BB" w:rsidRPr="002B1E84" w:rsidRDefault="00BA08BB" w:rsidP="004E4E36">
      <w:pPr>
        <w:pStyle w:val="ListParagraph"/>
        <w:numPr>
          <w:ilvl w:val="0"/>
          <w:numId w:val="45"/>
        </w:numPr>
      </w:pPr>
      <w:r w:rsidRPr="002B1E84">
        <w:t xml:space="preserve">Potential energy savings </w:t>
      </w:r>
      <w:r>
        <w:t>percentage</w:t>
      </w:r>
    </w:p>
    <w:p w14:paraId="78411166" w14:textId="77777777" w:rsidR="00BA08BB" w:rsidRPr="002B1E84" w:rsidRDefault="00BA08BB" w:rsidP="004E4E36">
      <w:pPr>
        <w:pStyle w:val="ListParagraph"/>
        <w:numPr>
          <w:ilvl w:val="0"/>
          <w:numId w:val="45"/>
        </w:numPr>
      </w:pPr>
      <w:r w:rsidRPr="002B1E84">
        <w:t>Impact potential (including technical and market potential, risks, and non-energy benefits)</w:t>
      </w:r>
    </w:p>
    <w:p w14:paraId="73457428" w14:textId="77777777" w:rsidR="00BA08BB" w:rsidRPr="002B1E84" w:rsidRDefault="00BA08BB" w:rsidP="004E4E36">
      <w:pPr>
        <w:pStyle w:val="ListParagraph"/>
        <w:numPr>
          <w:ilvl w:val="0"/>
          <w:numId w:val="45"/>
        </w:numPr>
      </w:pPr>
      <w:r w:rsidRPr="002B1E84">
        <w:lastRenderedPageBreak/>
        <w:t>Segment energy consumption trends</w:t>
      </w:r>
    </w:p>
    <w:p w14:paraId="4A861758" w14:textId="77777777" w:rsidR="00BA08BB" w:rsidRPr="002B1E84" w:rsidRDefault="00BA08BB" w:rsidP="004E4E36">
      <w:pPr>
        <w:pStyle w:val="ListParagraph"/>
        <w:numPr>
          <w:ilvl w:val="0"/>
          <w:numId w:val="45"/>
        </w:numPr>
      </w:pPr>
      <w:r>
        <w:t>Segment market trajectory</w:t>
      </w:r>
    </w:p>
    <w:p w14:paraId="153A6BB4" w14:textId="77777777" w:rsidR="00B11F8A" w:rsidRDefault="00B11F8A" w:rsidP="00D72B7E">
      <w:pPr>
        <w:autoSpaceDE w:val="0"/>
        <w:autoSpaceDN w:val="0"/>
        <w:adjustRightInd w:val="0"/>
        <w:spacing w:line="240" w:lineRule="auto"/>
      </w:pPr>
    </w:p>
    <w:p w14:paraId="7D429EF8" w14:textId="26644A7D" w:rsidR="00D1698E" w:rsidRDefault="00BA08BB" w:rsidP="00D72B7E">
      <w:pPr>
        <w:autoSpaceDE w:val="0"/>
        <w:autoSpaceDN w:val="0"/>
        <w:adjustRightInd w:val="0"/>
        <w:spacing w:line="240" w:lineRule="auto"/>
      </w:pPr>
      <w:r>
        <w:t xml:space="preserve">The </w:t>
      </w:r>
      <w:r w:rsidR="006D0ED2">
        <w:t>Emerging Technologies</w:t>
      </w:r>
      <w:r>
        <w:t xml:space="preserve"> that passed the screening criteria were used to derive ET UES values</w:t>
      </w:r>
      <w:r w:rsidR="005A5DC8">
        <w:t xml:space="preserve"> </w:t>
      </w:r>
      <w:r w:rsidR="00C56434">
        <w:t xml:space="preserve">grouped </w:t>
      </w:r>
      <w:r w:rsidR="005A5DC8">
        <w:t>by market segment</w:t>
      </w:r>
      <w:r w:rsidR="005A5DC8" w:rsidRPr="0048195D">
        <w:t xml:space="preserve"> </w:t>
      </w:r>
      <w:r w:rsidR="005A5DC8">
        <w:t>(e.g.</w:t>
      </w:r>
      <w:r w:rsidR="005A5DC8" w:rsidRPr="003D3E7E">
        <w:t xml:space="preserve"> Petroleum</w:t>
      </w:r>
      <w:r w:rsidR="005A5DC8">
        <w:t xml:space="preserve">, Food Processing, etc.) using the methodology defined in </w:t>
      </w:r>
      <w:r w:rsidR="00C56434">
        <w:fldChar w:fldCharType="begin"/>
      </w:r>
      <w:r w:rsidR="00C56434">
        <w:instrText xml:space="preserve"> REF _Ref482611464 \n \h </w:instrText>
      </w:r>
      <w:r w:rsidR="00C56434">
        <w:fldChar w:fldCharType="separate"/>
      </w:r>
      <w:r w:rsidR="00C407F4">
        <w:t>Appendix E</w:t>
      </w:r>
      <w:r w:rsidR="00C56434">
        <w:fldChar w:fldCharType="end"/>
      </w:r>
      <w:r>
        <w:t xml:space="preserve">. ET UES </w:t>
      </w:r>
      <w:r w:rsidR="006D0ED2">
        <w:t xml:space="preserve">is represented as a percent savings relative to the total building energy consumption. It is meant to reflect the combination of available emerging technologies </w:t>
      </w:r>
      <w:r>
        <w:t xml:space="preserve">that pass the screening process </w:t>
      </w:r>
      <w:r w:rsidR="006D0ED2">
        <w:t xml:space="preserve">for each sector and segment (rather than represent individual technologies). UES is estimated based on multiple factors listed below </w:t>
      </w:r>
      <w:r w:rsidR="006D0ED2">
        <w:fldChar w:fldCharType="begin"/>
      </w:r>
      <w:r w:rsidR="006D0ED2">
        <w:instrText xml:space="preserve"> REF _Ref482622750 \h </w:instrText>
      </w:r>
      <w:r w:rsidR="006D0ED2">
        <w:fldChar w:fldCharType="separate"/>
      </w:r>
      <w:r w:rsidR="00C407F4" w:rsidRPr="00B20B55">
        <w:t xml:space="preserve">Equation </w:t>
      </w:r>
      <w:r w:rsidR="00C407F4">
        <w:rPr>
          <w:noProof/>
        </w:rPr>
        <w:t>2</w:t>
      </w:r>
      <w:r w:rsidR="00C407F4">
        <w:noBreakHyphen/>
      </w:r>
      <w:r w:rsidR="00C407F4">
        <w:rPr>
          <w:noProof/>
        </w:rPr>
        <w:t>4</w:t>
      </w:r>
      <w:r w:rsidR="006D0ED2">
        <w:fldChar w:fldCharType="end"/>
      </w:r>
      <w:r w:rsidR="006D0ED2">
        <w:t>.</w:t>
      </w:r>
    </w:p>
    <w:p w14:paraId="7FD99457" w14:textId="77777777" w:rsidR="006D0ED2" w:rsidRDefault="006D0ED2" w:rsidP="00D72B7E">
      <w:pPr>
        <w:autoSpaceDE w:val="0"/>
        <w:autoSpaceDN w:val="0"/>
        <w:adjustRightInd w:val="0"/>
        <w:spacing w:line="240" w:lineRule="auto"/>
      </w:pPr>
    </w:p>
    <w:p w14:paraId="591CBE5F" w14:textId="77777777" w:rsidR="006D0ED2" w:rsidRPr="00B20B55" w:rsidRDefault="006D0ED2" w:rsidP="006D0ED2">
      <w:pPr>
        <w:pStyle w:val="Caption"/>
      </w:pPr>
      <w:bookmarkStart w:id="223" w:name="_Ref482622750"/>
      <w:r w:rsidRPr="00B20B55">
        <w:t xml:space="preserve">Equation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noBreakHyphen/>
      </w:r>
      <w:r w:rsidR="00272F76">
        <w:fldChar w:fldCharType="begin"/>
      </w:r>
      <w:r w:rsidR="00272F76">
        <w:instrText xml:space="preserve"> SEQ Equation </w:instrText>
      </w:r>
      <w:r w:rsidR="00272F76">
        <w:instrText xml:space="preserve">\* ARABIC \s 1 </w:instrText>
      </w:r>
      <w:r w:rsidR="00272F76">
        <w:fldChar w:fldCharType="separate"/>
      </w:r>
      <w:r w:rsidR="00C407F4">
        <w:rPr>
          <w:noProof/>
        </w:rPr>
        <w:t>4</w:t>
      </w:r>
      <w:r w:rsidR="00272F76">
        <w:rPr>
          <w:noProof/>
        </w:rPr>
        <w:fldChar w:fldCharType="end"/>
      </w:r>
      <w:bookmarkEnd w:id="223"/>
      <w:r w:rsidRPr="00B20B55">
        <w:t xml:space="preserve">. </w:t>
      </w:r>
      <w:r>
        <w:t xml:space="preserve">UES Equation for Emerging Technologies  </w:t>
      </w:r>
    </w:p>
    <w:p w14:paraId="3EC02A96" w14:textId="77777777" w:rsidR="00D72B7E" w:rsidRDefault="00D72B7E" w:rsidP="00D72B7E">
      <w:pPr>
        <w:autoSpaceDE w:val="0"/>
        <w:autoSpaceDN w:val="0"/>
        <w:adjustRightInd w:val="0"/>
        <w:spacing w:line="240" w:lineRule="auto"/>
      </w:pPr>
    </w:p>
    <w:p w14:paraId="6D2EA1CB" w14:textId="77777777" w:rsidR="00D72B7E" w:rsidRDefault="003452E4" w:rsidP="00D72B7E">
      <m:oMathPara>
        <m:oMath>
          <m:r>
            <w:rPr>
              <w:rFonts w:ascii="Cambria Math" w:eastAsiaTheme="minorHAnsi" w:hAnsi="Cambria Math" w:cstheme="minorBidi"/>
              <w:sz w:val="24"/>
            </w:rPr>
            <m:t>UES</m:t>
          </m:r>
          <m:r>
            <w:rPr>
              <w:rFonts w:ascii="Cambria Math" w:hAnsi="Cambria Math"/>
            </w:rPr>
            <m:t>=</m:t>
          </m:r>
          <m:sSub>
            <m:sSubPr>
              <m:ctrlPr>
                <w:rPr>
                  <w:rFonts w:ascii="Cambria Math" w:eastAsiaTheme="minorHAnsi" w:hAnsi="Cambria Math" w:cstheme="minorBidi"/>
                  <w:i/>
                  <w:sz w:val="24"/>
                </w:rPr>
              </m:ctrlPr>
            </m:sSubPr>
            <m:e>
              <m:r>
                <w:rPr>
                  <w:rFonts w:ascii="Cambria Math" w:hAnsi="Cambria Math"/>
                </w:rPr>
                <m:t>T</m:t>
              </m:r>
            </m:e>
            <m:sub>
              <m:r>
                <w:rPr>
                  <w:rFonts w:ascii="Cambria Math" w:hAnsi="Cambria Math"/>
                </w:rPr>
                <m:t>e</m:t>
              </m:r>
            </m:sub>
          </m:sSub>
          <m:r>
            <w:rPr>
              <w:rFonts w:ascii="Cambria Math" w:hAnsi="Cambria Math"/>
            </w:rPr>
            <m:t xml:space="preserve"> × </m:t>
          </m:r>
          <m:sSub>
            <m:sSubPr>
              <m:ctrlPr>
                <w:rPr>
                  <w:rFonts w:ascii="Cambria Math" w:eastAsiaTheme="minorHAnsi" w:hAnsi="Cambria Math" w:cstheme="minorBidi"/>
                  <w:i/>
                  <w:sz w:val="24"/>
                </w:rPr>
              </m:ctrlPr>
            </m:sSubPr>
            <m:e>
              <m:r>
                <w:rPr>
                  <w:rFonts w:ascii="Cambria Math" w:hAnsi="Cambria Math"/>
                </w:rPr>
                <m:t>E</m:t>
              </m:r>
            </m:e>
            <m:sub>
              <m:r>
                <w:rPr>
                  <w:rFonts w:ascii="Cambria Math" w:hAnsi="Cambria Math"/>
                </w:rPr>
                <m:t>i,j</m:t>
              </m:r>
            </m:sub>
          </m:sSub>
          <m:r>
            <w:rPr>
              <w:rFonts w:ascii="Cambria Math" w:hAnsi="Cambria Math"/>
            </w:rPr>
            <m:t xml:space="preserve"> × </m:t>
          </m:r>
          <m:sSub>
            <m:sSubPr>
              <m:ctrlPr>
                <w:rPr>
                  <w:rFonts w:ascii="Cambria Math" w:eastAsiaTheme="minorHAnsi" w:hAnsi="Cambria Math" w:cstheme="minorBidi"/>
                  <w:i/>
                  <w:sz w:val="24"/>
                </w:rPr>
              </m:ctrlPr>
            </m:sSubPr>
            <m:e>
              <m:r>
                <w:rPr>
                  <w:rFonts w:ascii="Cambria Math" w:hAnsi="Cambria Math"/>
                </w:rPr>
                <m:t>MT</m:t>
              </m:r>
            </m:e>
            <m:sub>
              <m:r>
                <w:rPr>
                  <w:rFonts w:ascii="Cambria Math" w:hAnsi="Cambria Math"/>
                </w:rPr>
                <m:t xml:space="preserve">j </m:t>
              </m:r>
            </m:sub>
          </m:sSub>
          <m:r>
            <w:rPr>
              <w:rFonts w:ascii="Cambria Math" w:hAnsi="Cambria Math"/>
            </w:rPr>
            <m:t xml:space="preserve">× </m:t>
          </m:r>
          <m:sSub>
            <m:sSubPr>
              <m:ctrlPr>
                <w:rPr>
                  <w:rFonts w:ascii="Cambria Math" w:eastAsiaTheme="minorHAnsi" w:hAnsi="Cambria Math" w:cstheme="minorBidi"/>
                  <w:i/>
                  <w:sz w:val="24"/>
                </w:rPr>
              </m:ctrlPr>
            </m:sSubPr>
            <m:e>
              <m:r>
                <w:rPr>
                  <w:rFonts w:ascii="Cambria Math" w:hAnsi="Cambria Math"/>
                </w:rPr>
                <m:t>TW</m:t>
              </m:r>
            </m:e>
            <m:sub>
              <m:r>
                <w:rPr>
                  <w:rFonts w:ascii="Cambria Math" w:hAnsi="Cambria Math"/>
                </w:rPr>
                <m:t>j</m:t>
              </m:r>
            </m:sub>
          </m:sSub>
        </m:oMath>
      </m:oMathPara>
    </w:p>
    <w:p w14:paraId="3101D8C4" w14:textId="77777777" w:rsidR="00D72B7E" w:rsidRDefault="00D72B7E" w:rsidP="00D72B7E">
      <w:pPr>
        <w:ind w:left="360"/>
      </w:pPr>
      <w:r>
        <w:t>Where:</w:t>
      </w:r>
    </w:p>
    <w:p w14:paraId="2EE59FF6" w14:textId="77777777" w:rsidR="00D72B7E" w:rsidRDefault="00D72B7E" w:rsidP="00D72B7E">
      <w:pPr>
        <w:tabs>
          <w:tab w:val="left" w:pos="900"/>
        </w:tabs>
        <w:ind w:left="360"/>
      </w:pPr>
      <w:r>
        <w:rPr>
          <w:i/>
        </w:rPr>
        <w:t>e</w:t>
      </w:r>
      <w:r>
        <w:tab/>
        <w:t>= subscript indicating the specific emerging technology</w:t>
      </w:r>
    </w:p>
    <w:p w14:paraId="3A366228" w14:textId="77777777" w:rsidR="00D72B7E" w:rsidRDefault="00D72B7E" w:rsidP="00D72B7E">
      <w:pPr>
        <w:tabs>
          <w:tab w:val="left" w:pos="900"/>
        </w:tabs>
        <w:ind w:left="360"/>
      </w:pPr>
      <w:r>
        <w:rPr>
          <w:i/>
        </w:rPr>
        <w:t>i</w:t>
      </w:r>
      <w:r>
        <w:tab/>
        <w:t>= subscript indicating the specific end-use and fuel type</w:t>
      </w:r>
    </w:p>
    <w:p w14:paraId="53605E70" w14:textId="77777777" w:rsidR="00D72B7E" w:rsidRPr="00681F49" w:rsidRDefault="00D72B7E" w:rsidP="00D72B7E">
      <w:pPr>
        <w:tabs>
          <w:tab w:val="left" w:pos="900"/>
        </w:tabs>
        <w:ind w:left="360"/>
      </w:pPr>
      <w:r>
        <w:rPr>
          <w:i/>
        </w:rPr>
        <w:t>j</w:t>
      </w:r>
      <w:r>
        <w:tab/>
        <w:t>= subscript indicating the market sub-sector and NAICS segment</w:t>
      </w:r>
    </w:p>
    <w:p w14:paraId="3313DA96" w14:textId="77777777" w:rsidR="00D72B7E" w:rsidRPr="00754C9E" w:rsidRDefault="00272F76" w:rsidP="00D72B7E">
      <w:pPr>
        <w:tabs>
          <w:tab w:val="left" w:pos="900"/>
        </w:tabs>
        <w:ind w:left="360"/>
        <w:rPr>
          <w:i/>
        </w:rPr>
      </w:pPr>
      <m:oMath>
        <m:sSub>
          <m:sSubPr>
            <m:ctrlPr>
              <w:rPr>
                <w:rFonts w:ascii="Cambria Math" w:eastAsiaTheme="minorHAnsi" w:hAnsi="Cambria Math" w:cstheme="minorBidi"/>
                <w:i/>
                <w:sz w:val="16"/>
                <w:szCs w:val="18"/>
              </w:rPr>
            </m:ctrlPr>
          </m:sSubPr>
          <m:e>
            <m:r>
              <w:rPr>
                <w:rFonts w:ascii="Cambria Math" w:hAnsi="Cambria Math"/>
                <w:sz w:val="16"/>
                <w:szCs w:val="18"/>
              </w:rPr>
              <m:t>T</m:t>
            </m:r>
          </m:e>
          <m:sub>
            <m:r>
              <w:rPr>
                <w:rFonts w:ascii="Cambria Math" w:hAnsi="Cambria Math"/>
                <w:sz w:val="16"/>
                <w:szCs w:val="18"/>
              </w:rPr>
              <m:t>e</m:t>
            </m:r>
          </m:sub>
        </m:sSub>
      </m:oMath>
      <w:r w:rsidR="00D72B7E">
        <w:tab/>
        <w:t xml:space="preserve">= technology energy savings percentage for emerging technology, </w:t>
      </w:r>
      <w:r w:rsidR="00D72B7E">
        <w:rPr>
          <w:i/>
        </w:rPr>
        <w:t>e,</w:t>
      </w:r>
      <w:r w:rsidR="00D72B7E" w:rsidRPr="002D607B">
        <w:t xml:space="preserve"> by end-use </w:t>
      </w:r>
      <w:r w:rsidR="00D72B7E" w:rsidRPr="00422AC8">
        <w:t>application</w:t>
      </w:r>
      <w:r w:rsidR="00D72B7E">
        <w:rPr>
          <w:rFonts w:eastAsiaTheme="minorEastAsia"/>
        </w:rPr>
        <w:tab/>
      </w:r>
    </w:p>
    <w:p w14:paraId="1BB5758D" w14:textId="77777777" w:rsidR="00D72B7E" w:rsidRDefault="00272F76" w:rsidP="00D72B7E">
      <w:pPr>
        <w:tabs>
          <w:tab w:val="left" w:pos="900"/>
        </w:tabs>
        <w:ind w:left="360"/>
      </w:pPr>
      <m:oMath>
        <m:sSub>
          <m:sSubPr>
            <m:ctrlPr>
              <w:rPr>
                <w:rFonts w:ascii="Cambria Math" w:eastAsiaTheme="minorHAnsi" w:hAnsi="Cambria Math" w:cstheme="minorBidi"/>
                <w:i/>
                <w:sz w:val="16"/>
                <w:szCs w:val="18"/>
              </w:rPr>
            </m:ctrlPr>
          </m:sSubPr>
          <m:e>
            <m:r>
              <w:rPr>
                <w:rFonts w:ascii="Cambria Math" w:hAnsi="Cambria Math"/>
                <w:sz w:val="16"/>
                <w:szCs w:val="18"/>
              </w:rPr>
              <m:t>E</m:t>
            </m:r>
          </m:e>
          <m:sub>
            <m:r>
              <w:rPr>
                <w:rFonts w:ascii="Cambria Math" w:hAnsi="Cambria Math"/>
                <w:sz w:val="16"/>
                <w:szCs w:val="18"/>
              </w:rPr>
              <m:t>i,j</m:t>
            </m:r>
          </m:sub>
        </m:sSub>
      </m:oMath>
      <w:r w:rsidR="00D72B7E" w:rsidRPr="00B86184">
        <w:rPr>
          <w:sz w:val="18"/>
          <w:szCs w:val="18"/>
        </w:rPr>
        <w:t xml:space="preserve"> </w:t>
      </w:r>
      <w:r w:rsidR="00D72B7E">
        <w:tab/>
        <w:t xml:space="preserve">= percentage of total energy consumption by sub-sector </w:t>
      </w:r>
      <w:r w:rsidR="00D72B7E">
        <w:rPr>
          <w:i/>
        </w:rPr>
        <w:t>j</w:t>
      </w:r>
      <w:r w:rsidR="00D72B7E">
        <w:t xml:space="preserve"> energy attributable to end-use, </w:t>
      </w:r>
      <w:r w:rsidR="00D72B7E">
        <w:rPr>
          <w:i/>
        </w:rPr>
        <w:t xml:space="preserve">i </w:t>
      </w:r>
      <w:r w:rsidR="00D72B7E">
        <w:t xml:space="preserve"> </w:t>
      </w:r>
    </w:p>
    <w:p w14:paraId="1B6B5986" w14:textId="77777777" w:rsidR="00D72B7E" w:rsidRPr="00681F49" w:rsidRDefault="00272F76" w:rsidP="00D72B7E">
      <w:pPr>
        <w:tabs>
          <w:tab w:val="left" w:pos="900"/>
        </w:tabs>
        <w:ind w:left="360"/>
        <w:rPr>
          <w:i/>
        </w:rPr>
      </w:pPr>
      <m:oMath>
        <m:sSub>
          <m:sSubPr>
            <m:ctrlPr>
              <w:rPr>
                <w:rFonts w:ascii="Cambria Math" w:eastAsiaTheme="minorHAnsi" w:hAnsi="Cambria Math" w:cstheme="minorBidi"/>
                <w:i/>
                <w:sz w:val="16"/>
                <w:szCs w:val="18"/>
              </w:rPr>
            </m:ctrlPr>
          </m:sSubPr>
          <m:e>
            <m:r>
              <w:rPr>
                <w:rFonts w:ascii="Cambria Math" w:hAnsi="Cambria Math"/>
                <w:sz w:val="16"/>
                <w:szCs w:val="18"/>
              </w:rPr>
              <m:t>MT</m:t>
            </m:r>
          </m:e>
          <m:sub>
            <m:r>
              <w:rPr>
                <w:rFonts w:ascii="Cambria Math" w:hAnsi="Cambria Math"/>
                <w:sz w:val="16"/>
                <w:szCs w:val="18"/>
              </w:rPr>
              <m:t xml:space="preserve">j </m:t>
            </m:r>
          </m:sub>
        </m:sSub>
      </m:oMath>
      <w:r w:rsidR="00D72B7E" w:rsidRPr="00B86184">
        <w:rPr>
          <w:sz w:val="18"/>
        </w:rPr>
        <w:t xml:space="preserve"> </w:t>
      </w:r>
      <w:r w:rsidR="00D72B7E">
        <w:tab/>
        <w:t xml:space="preserve">= market trajectory for sector </w:t>
      </w:r>
      <w:r w:rsidR="00D72B7E">
        <w:rPr>
          <w:i/>
        </w:rPr>
        <w:t>j</w:t>
      </w:r>
    </w:p>
    <w:p w14:paraId="00561F1C" w14:textId="77777777" w:rsidR="00D72B7E" w:rsidRPr="00681F49" w:rsidRDefault="00272F76" w:rsidP="00D72B7E">
      <w:pPr>
        <w:tabs>
          <w:tab w:val="left" w:pos="900"/>
        </w:tabs>
        <w:ind w:left="360"/>
        <w:rPr>
          <w:i/>
        </w:rPr>
      </w:pPr>
      <m:oMath>
        <m:sSub>
          <m:sSubPr>
            <m:ctrlPr>
              <w:rPr>
                <w:rFonts w:ascii="Cambria Math" w:eastAsiaTheme="minorHAnsi" w:hAnsi="Cambria Math" w:cstheme="minorBidi"/>
                <w:i/>
                <w:sz w:val="16"/>
                <w:szCs w:val="16"/>
              </w:rPr>
            </m:ctrlPr>
          </m:sSubPr>
          <m:e>
            <m:r>
              <w:rPr>
                <w:rFonts w:ascii="Cambria Math" w:hAnsi="Cambria Math"/>
                <w:sz w:val="16"/>
                <w:szCs w:val="16"/>
              </w:rPr>
              <m:t>TW</m:t>
            </m:r>
          </m:e>
          <m:sub>
            <m:r>
              <w:rPr>
                <w:rFonts w:ascii="Cambria Math" w:hAnsi="Cambria Math"/>
                <w:sz w:val="16"/>
                <w:szCs w:val="16"/>
              </w:rPr>
              <m:t>j</m:t>
            </m:r>
          </m:sub>
        </m:sSub>
      </m:oMath>
      <w:r w:rsidR="00D72B7E" w:rsidRPr="00B86184">
        <w:rPr>
          <w:sz w:val="16"/>
          <w:szCs w:val="16"/>
        </w:rPr>
        <w:t xml:space="preserve"> </w:t>
      </w:r>
      <w:r w:rsidR="00D72B7E">
        <w:tab/>
        <w:t xml:space="preserve">= segment energy consumption trend weight for sector </w:t>
      </w:r>
      <w:r w:rsidR="00D72B7E">
        <w:rPr>
          <w:i/>
        </w:rPr>
        <w:t>j</w:t>
      </w:r>
    </w:p>
    <w:p w14:paraId="02F415D8" w14:textId="77777777" w:rsidR="00D72B7E" w:rsidRDefault="00D72B7E" w:rsidP="00D72B7E"/>
    <w:p w14:paraId="68F6BA70" w14:textId="77777777" w:rsidR="00D72B7E" w:rsidRDefault="00D72B7E" w:rsidP="00D72B7E">
      <w:pPr>
        <w:rPr>
          <w:szCs w:val="20"/>
        </w:rPr>
      </w:pPr>
      <w:r w:rsidRPr="005E3093">
        <w:rPr>
          <w:rFonts w:cs="Arial"/>
        </w:rPr>
        <w:t>The technology energy savings percentage</w:t>
      </w:r>
      <w:r>
        <w:rPr>
          <w:rFonts w:cs="Arial"/>
        </w:rPr>
        <w:t xml:space="preserve">, </w:t>
      </w:r>
      <w:r w:rsidRPr="005E3093">
        <w:rPr>
          <w:rFonts w:cs="Arial"/>
          <w:i/>
        </w:rPr>
        <w:t>T</w:t>
      </w:r>
      <w:r w:rsidRPr="005E3093">
        <w:rPr>
          <w:rFonts w:cs="Arial"/>
          <w:i/>
          <w:vertAlign w:val="subscript"/>
        </w:rPr>
        <w:t>e</w:t>
      </w:r>
      <w:r w:rsidRPr="005E3093">
        <w:rPr>
          <w:rFonts w:eastAsiaTheme="minorEastAsia" w:cs="Arial"/>
          <w:i/>
        </w:rPr>
        <w:t>,</w:t>
      </w:r>
      <w:r>
        <w:rPr>
          <w:rFonts w:eastAsiaTheme="minorEastAsia" w:cs="Arial"/>
        </w:rPr>
        <w:t xml:space="preserve"> wa</w:t>
      </w:r>
      <w:r w:rsidRPr="005E3093">
        <w:rPr>
          <w:rFonts w:eastAsiaTheme="minorEastAsia" w:cs="Arial"/>
        </w:rPr>
        <w:t>s determined for each emerging technology.  The sector end-use percentage</w:t>
      </w:r>
      <w:r>
        <w:rPr>
          <w:rFonts w:eastAsiaTheme="minorEastAsia" w:cs="Arial"/>
        </w:rPr>
        <w:t xml:space="preserve">, </w:t>
      </w:r>
      <w:r w:rsidRPr="005E3093">
        <w:rPr>
          <w:rFonts w:eastAsiaTheme="minorEastAsia" w:cs="Arial"/>
          <w:i/>
        </w:rPr>
        <w:t>E</w:t>
      </w:r>
      <w:r w:rsidRPr="005E3093">
        <w:rPr>
          <w:rFonts w:eastAsiaTheme="minorEastAsia" w:cs="Arial"/>
          <w:i/>
          <w:vertAlign w:val="subscript"/>
        </w:rPr>
        <w:t>i,j</w:t>
      </w:r>
      <w:r w:rsidRPr="005E3093">
        <w:rPr>
          <w:rFonts w:eastAsiaTheme="minorEastAsia" w:cs="Arial"/>
          <w:i/>
        </w:rPr>
        <w:t>,</w:t>
      </w:r>
      <w:r>
        <w:rPr>
          <w:rFonts w:eastAsiaTheme="minorEastAsia" w:cs="Arial"/>
        </w:rPr>
        <w:t xml:space="preserve"> </w:t>
      </w:r>
      <w:r w:rsidRPr="005E3093">
        <w:rPr>
          <w:rFonts w:eastAsiaTheme="minorEastAsia" w:cs="Arial"/>
        </w:rPr>
        <w:t>is derived from California market data.  The market trajectory for each sector</w:t>
      </w:r>
      <w:r>
        <w:rPr>
          <w:rFonts w:eastAsiaTheme="minorEastAsia" w:cs="Arial"/>
        </w:rPr>
        <w:t xml:space="preserve">, </w:t>
      </w:r>
      <w:r w:rsidRPr="005E3093">
        <w:rPr>
          <w:rFonts w:eastAsiaTheme="minorEastAsia" w:cs="Arial"/>
          <w:i/>
        </w:rPr>
        <w:t>MT</w:t>
      </w:r>
      <w:r w:rsidRPr="005E3093">
        <w:rPr>
          <w:rFonts w:eastAsiaTheme="minorEastAsia" w:cs="Arial"/>
          <w:i/>
          <w:vertAlign w:val="subscript"/>
        </w:rPr>
        <w:t>j</w:t>
      </w:r>
      <w:r>
        <w:rPr>
          <w:rFonts w:eastAsiaTheme="minorEastAsia" w:cs="Arial"/>
        </w:rPr>
        <w:t xml:space="preserve">, </w:t>
      </w:r>
      <w:r w:rsidRPr="005E3093">
        <w:rPr>
          <w:rFonts w:eastAsiaTheme="minorEastAsia" w:cs="Arial"/>
        </w:rPr>
        <w:t xml:space="preserve">is a value between 0 and 1, indicating if the sector is likely to </w:t>
      </w:r>
      <w:r>
        <w:rPr>
          <w:rFonts w:eastAsiaTheme="minorEastAsia" w:cs="Arial"/>
        </w:rPr>
        <w:t>move</w:t>
      </w:r>
      <w:r w:rsidRPr="005E3093">
        <w:rPr>
          <w:rFonts w:eastAsiaTheme="minorEastAsia" w:cs="Arial"/>
        </w:rPr>
        <w:t xml:space="preserve"> offshore (0.33), close to tipping point of moving offshore (0.67), or likely to remain in the US (1).</w:t>
      </w:r>
      <w:r w:rsidRPr="005E3093">
        <w:rPr>
          <w:rStyle w:val="FootnoteReference"/>
          <w:rFonts w:eastAsiaTheme="minorEastAsia" w:cs="Arial"/>
        </w:rPr>
        <w:footnoteReference w:id="24"/>
      </w:r>
      <w:r w:rsidRPr="005E3093">
        <w:rPr>
          <w:rFonts w:eastAsiaTheme="minorEastAsia" w:cs="Arial"/>
        </w:rPr>
        <w:t xml:space="preserve">  The segment energy consumption trend weight</w:t>
      </w:r>
      <w:r>
        <w:rPr>
          <w:rFonts w:eastAsiaTheme="minorEastAsia" w:cs="Arial"/>
        </w:rPr>
        <w:t xml:space="preserve">, </w:t>
      </w:r>
      <w:r w:rsidRPr="005E3093">
        <w:rPr>
          <w:rFonts w:eastAsiaTheme="minorEastAsia" w:cs="Arial"/>
          <w:i/>
        </w:rPr>
        <w:t>TW</w:t>
      </w:r>
      <w:r w:rsidRPr="005E3093">
        <w:rPr>
          <w:rFonts w:eastAsiaTheme="minorEastAsia" w:cs="Arial"/>
          <w:i/>
          <w:vertAlign w:val="subscript"/>
        </w:rPr>
        <w:t>j</w:t>
      </w:r>
      <w:r>
        <w:rPr>
          <w:rFonts w:eastAsiaTheme="minorEastAsia" w:cs="Arial"/>
        </w:rPr>
        <w:t xml:space="preserve">, </w:t>
      </w:r>
      <w:r w:rsidRPr="005E3093">
        <w:rPr>
          <w:rFonts w:eastAsiaTheme="minorEastAsia" w:cs="Arial"/>
        </w:rPr>
        <w:t>is a value between 0 and 1, indicating the trend of energy consumption of each sector over time based on an analysis provided by the California Energy Commission (CEC) shows electricity consumption trend for various ind</w:t>
      </w:r>
      <w:r w:rsidR="00B11F8A">
        <w:rPr>
          <w:rFonts w:eastAsiaTheme="minorEastAsia" w:cs="Arial"/>
        </w:rPr>
        <w:t>ustries from 1990 through 2015.</w:t>
      </w:r>
    </w:p>
    <w:p w14:paraId="5C5B4107" w14:textId="77777777" w:rsidR="00D72B7E" w:rsidRDefault="00D72B7E" w:rsidP="00B607AE">
      <w:pPr>
        <w:rPr>
          <w:highlight w:val="yellow"/>
        </w:rPr>
      </w:pPr>
    </w:p>
    <w:p w14:paraId="33DA881B" w14:textId="77777777" w:rsidR="00835ACB" w:rsidRDefault="00835ACB" w:rsidP="00B607AE">
      <w:r>
        <w:t xml:space="preserve">Section </w:t>
      </w:r>
      <w:r>
        <w:fldChar w:fldCharType="begin"/>
      </w:r>
      <w:r>
        <w:instrText xml:space="preserve"> REF _Ref482543555 \n \h </w:instrText>
      </w:r>
      <w:r>
        <w:fldChar w:fldCharType="separate"/>
      </w:r>
      <w:r w:rsidR="00C407F4">
        <w:t>3.5</w:t>
      </w:r>
      <w:r>
        <w:fldChar w:fldCharType="end"/>
      </w:r>
      <w:r>
        <w:t xml:space="preserve"> discussed the data inputs for this equation. </w:t>
      </w:r>
    </w:p>
    <w:p w14:paraId="61A43020" w14:textId="77777777" w:rsidR="008820EA" w:rsidRDefault="008820EA" w:rsidP="008820EA">
      <w:pPr>
        <w:pStyle w:val="Heading3"/>
      </w:pPr>
      <w:bookmarkStart w:id="224" w:name="_Toc482634271"/>
      <w:bookmarkStart w:id="225" w:name="_Toc482626403"/>
      <w:bookmarkStart w:id="226" w:name="_Toc484092474"/>
      <w:bookmarkStart w:id="227" w:name="_Toc484172677"/>
      <w:bookmarkStart w:id="228" w:name="_Toc484183014"/>
      <w:bookmarkStart w:id="229" w:name="_Toc485126529"/>
      <w:r>
        <w:t>Behavior, Retrocommissioning</w:t>
      </w:r>
      <w:r w:rsidR="00C5490B">
        <w:t>, Operational Efficiency (BROs)</w:t>
      </w:r>
      <w:bookmarkEnd w:id="219"/>
      <w:bookmarkEnd w:id="224"/>
      <w:bookmarkEnd w:id="225"/>
      <w:bookmarkEnd w:id="226"/>
      <w:bookmarkEnd w:id="227"/>
      <w:bookmarkEnd w:id="228"/>
      <w:bookmarkEnd w:id="229"/>
      <w:r w:rsidRPr="00CD1669">
        <w:t xml:space="preserve"> </w:t>
      </w:r>
      <w:bookmarkEnd w:id="220"/>
      <w:bookmarkEnd w:id="221"/>
    </w:p>
    <w:p w14:paraId="72D71DEE" w14:textId="77777777" w:rsidR="00F65784" w:rsidRDefault="008820EA" w:rsidP="00C50ED5">
      <w:r w:rsidRPr="00515448">
        <w:t>For the purposes of this study, the Navigant team defines behavior-based initiatives as those providing information about energy use and conservation actions, rather than financial incentives, equipment, or services.</w:t>
      </w:r>
      <w:r w:rsidR="00515448" w:rsidRPr="00515448">
        <w:t xml:space="preserve"> </w:t>
      </w:r>
      <w:r w:rsidR="000E4C23">
        <w:t xml:space="preserve">The market </w:t>
      </w:r>
      <w:r w:rsidR="000E4C23" w:rsidRPr="000E4C23">
        <w:t xml:space="preserve">potential </w:t>
      </w:r>
      <w:r w:rsidR="000E4C23">
        <w:t xml:space="preserve">modeled for these initiatives is </w:t>
      </w:r>
      <w:r w:rsidR="000E4C23" w:rsidRPr="000E4C23">
        <w:t>incremental to savings from equipment change-outs</w:t>
      </w:r>
      <w:r w:rsidR="003E3377">
        <w:t xml:space="preserve">. </w:t>
      </w:r>
    </w:p>
    <w:p w14:paraId="41A4194A" w14:textId="77777777" w:rsidR="00F65784" w:rsidRDefault="00F65784" w:rsidP="00F65784">
      <w:pPr>
        <w:pStyle w:val="Heading4"/>
      </w:pPr>
      <w:r>
        <w:t xml:space="preserve">Energy </w:t>
      </w:r>
      <w:r w:rsidR="00974FAC">
        <w:t xml:space="preserve">and Demand </w:t>
      </w:r>
      <w:r>
        <w:t>Savings</w:t>
      </w:r>
    </w:p>
    <w:p w14:paraId="4F6B0007" w14:textId="3E32B6E0" w:rsidR="00C50ED5" w:rsidRDefault="00B20B55" w:rsidP="00C50ED5">
      <w:r w:rsidRPr="00B20B55">
        <w:fldChar w:fldCharType="begin"/>
      </w:r>
      <w:r w:rsidRPr="00B20B55">
        <w:instrText xml:space="preserve"> REF _Ref481075763 \h </w:instrText>
      </w:r>
      <w:r>
        <w:instrText xml:space="preserve"> \* MERGEFORMAT </w:instrText>
      </w:r>
      <w:r w:rsidRPr="00B20B55">
        <w:fldChar w:fldCharType="separate"/>
      </w:r>
      <w:r w:rsidR="00C407F4" w:rsidRPr="00B20B55">
        <w:t xml:space="preserve">Equation </w:t>
      </w:r>
      <w:r w:rsidR="00C407F4">
        <w:rPr>
          <w:noProof/>
        </w:rPr>
        <w:t>2</w:t>
      </w:r>
      <w:r w:rsidR="00C407F4">
        <w:rPr>
          <w:noProof/>
        </w:rPr>
        <w:noBreakHyphen/>
        <w:t>5</w:t>
      </w:r>
      <w:r w:rsidRPr="00B20B55">
        <w:fldChar w:fldCharType="end"/>
      </w:r>
      <w:r w:rsidRPr="00B20B55">
        <w:t xml:space="preserve"> is the general equation for the BROs potential model. </w:t>
      </w:r>
      <w:r w:rsidR="00C50ED5">
        <w:t xml:space="preserve">Each of the components are described below. </w:t>
      </w:r>
    </w:p>
    <w:p w14:paraId="56ECE5B5" w14:textId="77777777" w:rsidR="00B20B55" w:rsidRPr="00B20B55" w:rsidRDefault="00B20B55" w:rsidP="008820EA"/>
    <w:p w14:paraId="59353070" w14:textId="77777777" w:rsidR="00B20B55" w:rsidRPr="00B20B55" w:rsidRDefault="00B20B55" w:rsidP="00921BF1">
      <w:pPr>
        <w:pStyle w:val="Caption"/>
      </w:pPr>
      <w:bookmarkStart w:id="230" w:name="_Ref481751326"/>
      <w:bookmarkStart w:id="231" w:name="_Ref481075763"/>
      <w:r w:rsidRPr="00B20B55">
        <w:lastRenderedPageBreak/>
        <w:t xml:space="preserve">Equation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D4736F">
        <w:noBreakHyphen/>
      </w:r>
      <w:r w:rsidR="00272F76">
        <w:fldChar w:fldCharType="begin"/>
      </w:r>
      <w:r w:rsidR="00272F76">
        <w:instrText xml:space="preserve"> SEQ Equation \* ARABIC \s 1 </w:instrText>
      </w:r>
      <w:r w:rsidR="00272F76">
        <w:fldChar w:fldCharType="separate"/>
      </w:r>
      <w:r w:rsidR="00C407F4">
        <w:rPr>
          <w:noProof/>
        </w:rPr>
        <w:t>5</w:t>
      </w:r>
      <w:r w:rsidR="00272F76">
        <w:rPr>
          <w:noProof/>
        </w:rPr>
        <w:fldChar w:fldCharType="end"/>
      </w:r>
      <w:bookmarkEnd w:id="230"/>
      <w:bookmarkEnd w:id="231"/>
      <w:r w:rsidRPr="00B20B55">
        <w:t>. General Equation for Calculating Incremental Market Potential for BROs</w:t>
      </w:r>
    </w:p>
    <w:p w14:paraId="689010CD" w14:textId="77777777" w:rsidR="00510C1B" w:rsidRDefault="00510C1B" w:rsidP="008820EA">
      <w:pPr>
        <w:rPr>
          <w:i/>
        </w:rPr>
      </w:pPr>
      <m:oMathPara>
        <m:oMath>
          <m:r>
            <w:rPr>
              <w:rFonts w:ascii="Cambria Math" w:hAnsi="Cambria Math"/>
            </w:rPr>
            <m:t>Incremental Market Potential=Population × Applicability Factor × Unit Energy Savings × Penetration Rate</m:t>
          </m:r>
        </m:oMath>
      </m:oMathPara>
    </w:p>
    <w:p w14:paraId="79E179B0" w14:textId="77777777" w:rsidR="00852E44" w:rsidRDefault="00852E44" w:rsidP="008820EA"/>
    <w:p w14:paraId="5A064062" w14:textId="77777777" w:rsidR="00C50ED5" w:rsidRDefault="00C50ED5" w:rsidP="008820EA">
      <w:r>
        <w:t xml:space="preserve">Where, </w:t>
      </w:r>
    </w:p>
    <w:p w14:paraId="3CE0DBB9" w14:textId="77777777" w:rsidR="00C50ED5" w:rsidRDefault="00C50ED5" w:rsidP="004E4E36">
      <w:pPr>
        <w:pStyle w:val="ListParagraph"/>
        <w:numPr>
          <w:ilvl w:val="0"/>
          <w:numId w:val="36"/>
        </w:numPr>
      </w:pPr>
      <w:r w:rsidRPr="00C50ED5">
        <w:rPr>
          <w:b/>
        </w:rPr>
        <w:t>Population</w:t>
      </w:r>
      <w:r>
        <w:t xml:space="preserve"> is a global input that can be represented in two ways - number of homes and square feet of floor space or in sector energy consumption. </w:t>
      </w:r>
    </w:p>
    <w:p w14:paraId="195A262B" w14:textId="77777777" w:rsidR="00C50ED5" w:rsidRPr="00B20B55" w:rsidRDefault="00C50ED5" w:rsidP="004E4E36">
      <w:pPr>
        <w:pStyle w:val="ListParagraph"/>
        <w:numPr>
          <w:ilvl w:val="0"/>
          <w:numId w:val="36"/>
        </w:numPr>
      </w:pPr>
      <w:r w:rsidRPr="00C50ED5">
        <w:rPr>
          <w:b/>
        </w:rPr>
        <w:t>Applicability Factor</w:t>
      </w:r>
      <w:r>
        <w:t xml:space="preserve"> represents eligibility and other program-specific variables</w:t>
      </w:r>
      <w:r w:rsidR="00CB3715">
        <w:t>, including existing saturation that precludes customers from participating in future IOU interventions</w:t>
      </w:r>
      <w:r>
        <w:t>.</w:t>
      </w:r>
    </w:p>
    <w:p w14:paraId="327710EB" w14:textId="77777777" w:rsidR="00C50ED5" w:rsidRDefault="00C50ED5" w:rsidP="004E4E36">
      <w:pPr>
        <w:pStyle w:val="ListParagraph"/>
        <w:numPr>
          <w:ilvl w:val="0"/>
          <w:numId w:val="36"/>
        </w:numPr>
      </w:pPr>
      <w:r w:rsidRPr="00852E44">
        <w:rPr>
          <w:b/>
        </w:rPr>
        <w:t>Unit Energy Savings</w:t>
      </w:r>
      <w:r>
        <w:t xml:space="preserve"> represent the savings expected from participants and can also be represented in two ways </w:t>
      </w:r>
      <w:r w:rsidR="00852E44">
        <w:t>–</w:t>
      </w:r>
      <w:r>
        <w:t xml:space="preserve"> </w:t>
      </w:r>
      <w:r w:rsidR="00852E44">
        <w:t xml:space="preserve">kWh and therms or in percent of consumption. </w:t>
      </w:r>
    </w:p>
    <w:p w14:paraId="1CD0E449" w14:textId="77777777" w:rsidR="00852E44" w:rsidRDefault="00852E44" w:rsidP="004E4E36">
      <w:pPr>
        <w:pStyle w:val="ListParagraph"/>
        <w:numPr>
          <w:ilvl w:val="0"/>
          <w:numId w:val="36"/>
        </w:numPr>
      </w:pPr>
      <w:r>
        <w:rPr>
          <w:b/>
        </w:rPr>
        <w:t xml:space="preserve">Penetration Rate </w:t>
      </w:r>
      <w:r>
        <w:t xml:space="preserve">represents participation and varies over time and by scenario (reference or aggressive). This reflects both the utility-driven rollout and the customer uptake of the program, depending on the nature of the program. </w:t>
      </w:r>
    </w:p>
    <w:p w14:paraId="14D280FD" w14:textId="77777777" w:rsidR="00F65784" w:rsidRDefault="00F65784" w:rsidP="00F65784"/>
    <w:p w14:paraId="6AAB33CA" w14:textId="77777777" w:rsidR="00F65784" w:rsidRDefault="00F65784" w:rsidP="00974FAC">
      <w:r>
        <w:t>The initial penetration rates are based on existing levels of participation (either for the California IOUs for existing programs or the program from which data was drawn applied to the California IOUs’ territories). The forecasts are the result of professional judgement</w:t>
      </w:r>
      <w:r w:rsidR="00C56AB3">
        <w:t xml:space="preserve"> based upon program operations and whether participation is utility driven (opt-out) or customer</w:t>
      </w:r>
      <w:r w:rsidR="00C56AB3" w:rsidRPr="00C56AB3">
        <w:t xml:space="preserve"> </w:t>
      </w:r>
      <w:r w:rsidR="00C56AB3">
        <w:t xml:space="preserve">driven (opt-in). </w:t>
      </w:r>
    </w:p>
    <w:p w14:paraId="44EEA9F8" w14:textId="77777777" w:rsidR="00EC0C31" w:rsidRDefault="00EC0C31" w:rsidP="00974FAC"/>
    <w:p w14:paraId="12FB63EA" w14:textId="77777777" w:rsidR="00EC0C31" w:rsidRPr="00B20B55" w:rsidRDefault="00EC0C31" w:rsidP="00EC0C31">
      <w:r>
        <w:t xml:space="preserve">The potential for double counting among BROs programs was addressed in the characterization of programs in the same sector. Adjustments to penetration and applicability were made to avoid the double counting of savings. </w:t>
      </w:r>
    </w:p>
    <w:p w14:paraId="5134D329" w14:textId="77777777" w:rsidR="00974FAC" w:rsidRDefault="00974FAC" w:rsidP="00974FAC"/>
    <w:p w14:paraId="7295ACD9" w14:textId="20CBDE5F" w:rsidR="00510C1B" w:rsidRDefault="00510C1B" w:rsidP="00974FAC">
      <w:r>
        <w:t>This effort does not examine demand-focused programs</w:t>
      </w:r>
      <w:r w:rsidR="005C2BDF">
        <w:t>, but does include demand savings that are associated with programs focused on energy efficiency using</w:t>
      </w:r>
      <w:r w:rsidR="00D4736F">
        <w:t xml:space="preserve"> the energy savings from </w:t>
      </w:r>
      <w:r w:rsidR="00D4736F">
        <w:fldChar w:fldCharType="begin"/>
      </w:r>
      <w:r w:rsidR="00D4736F">
        <w:instrText xml:space="preserve"> REF _Ref481751326 \h </w:instrText>
      </w:r>
      <w:r w:rsidR="00D4736F">
        <w:fldChar w:fldCharType="separate"/>
      </w:r>
      <w:r w:rsidR="00C407F4" w:rsidRPr="00B20B55">
        <w:t xml:space="preserve">Equation </w:t>
      </w:r>
      <w:r w:rsidR="00C407F4">
        <w:rPr>
          <w:noProof/>
        </w:rPr>
        <w:t>2</w:t>
      </w:r>
      <w:r w:rsidR="00C407F4">
        <w:noBreakHyphen/>
      </w:r>
      <w:r w:rsidR="00C407F4">
        <w:rPr>
          <w:noProof/>
        </w:rPr>
        <w:t>5</w:t>
      </w:r>
      <w:r w:rsidR="00D4736F">
        <w:fldChar w:fldCharType="end"/>
      </w:r>
      <w:r w:rsidR="00D4736F">
        <w:t xml:space="preserve"> in</w:t>
      </w:r>
      <w:r w:rsidR="005C2BDF">
        <w:t xml:space="preserve"> </w:t>
      </w:r>
      <w:r w:rsidR="005C2BDF">
        <w:fldChar w:fldCharType="begin"/>
      </w:r>
      <w:r w:rsidR="005C2BDF">
        <w:instrText xml:space="preserve"> REF _Ref481750819 \h </w:instrText>
      </w:r>
      <w:r w:rsidR="005C2BDF">
        <w:fldChar w:fldCharType="separate"/>
      </w:r>
      <w:r w:rsidR="00C407F4">
        <w:t xml:space="preserve">Equation </w:t>
      </w:r>
      <w:r w:rsidR="00C407F4">
        <w:rPr>
          <w:noProof/>
        </w:rPr>
        <w:t>2</w:t>
      </w:r>
      <w:r w:rsidR="00C407F4">
        <w:noBreakHyphen/>
      </w:r>
      <w:r w:rsidR="00C407F4">
        <w:rPr>
          <w:noProof/>
        </w:rPr>
        <w:t>6</w:t>
      </w:r>
      <w:r w:rsidR="005C2BDF">
        <w:fldChar w:fldCharType="end"/>
      </w:r>
      <w:r w:rsidR="005C2BDF">
        <w:t xml:space="preserve">. </w:t>
      </w:r>
    </w:p>
    <w:p w14:paraId="731502AE" w14:textId="77777777" w:rsidR="005C2BDF" w:rsidRDefault="005C2BDF" w:rsidP="00974FAC"/>
    <w:p w14:paraId="0814C52D" w14:textId="77777777" w:rsidR="005C2BDF" w:rsidRDefault="005C2BDF" w:rsidP="00974FAC">
      <w:pPr>
        <w:pStyle w:val="Caption"/>
      </w:pPr>
      <w:bookmarkStart w:id="232" w:name="_Ref481750819"/>
      <w:r>
        <w:t xml:space="preserve">Equation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D4736F">
        <w:noBreakHyphen/>
      </w:r>
      <w:r w:rsidR="00272F76">
        <w:fldChar w:fldCharType="begin"/>
      </w:r>
      <w:r w:rsidR="00272F76">
        <w:instrText xml:space="preserve"> SEQ Equation \* ARABIC \s 1 </w:instrText>
      </w:r>
      <w:r w:rsidR="00272F76">
        <w:fldChar w:fldCharType="separate"/>
      </w:r>
      <w:r w:rsidR="00C407F4">
        <w:rPr>
          <w:noProof/>
        </w:rPr>
        <w:t>6</w:t>
      </w:r>
      <w:r w:rsidR="00272F76">
        <w:rPr>
          <w:noProof/>
        </w:rPr>
        <w:fldChar w:fldCharType="end"/>
      </w:r>
      <w:bookmarkEnd w:id="232"/>
      <w:r>
        <w:t>. General Equation for Calculating BROs Demand Savings</w:t>
      </w:r>
    </w:p>
    <w:p w14:paraId="1FDCFB7C" w14:textId="77777777" w:rsidR="005C2BDF" w:rsidRDefault="005C2BDF" w:rsidP="00974FAC">
      <m:oMathPara>
        <m:oMath>
          <m:r>
            <w:rPr>
              <w:rFonts w:ascii="Cambria Math" w:hAnsi="Cambria Math"/>
            </w:rPr>
            <m:t xml:space="preserve">Incremental Market Potential </m:t>
          </m:r>
          <m:d>
            <m:dPr>
              <m:ctrlPr>
                <w:rPr>
                  <w:rFonts w:ascii="Cambria Math" w:hAnsi="Cambria Math"/>
                  <w:i/>
                </w:rPr>
              </m:ctrlPr>
            </m:dPr>
            <m:e>
              <m:r>
                <w:rPr>
                  <w:rFonts w:ascii="Cambria Math" w:hAnsi="Cambria Math"/>
                </w:rPr>
                <m:t>kW</m:t>
              </m:r>
            </m:e>
          </m:d>
          <m:r>
            <w:rPr>
              <w:rFonts w:ascii="Cambria Math" w:hAnsi="Cambria Math"/>
            </w:rPr>
            <m:t xml:space="preserve">=Incremental Market Potential </m:t>
          </m:r>
          <m:d>
            <m:dPr>
              <m:ctrlPr>
                <w:rPr>
                  <w:rFonts w:ascii="Cambria Math" w:hAnsi="Cambria Math"/>
                  <w:i/>
                </w:rPr>
              </m:ctrlPr>
            </m:dPr>
            <m:e>
              <m:r>
                <w:rPr>
                  <w:rFonts w:ascii="Cambria Math" w:hAnsi="Cambria Math"/>
                </w:rPr>
                <m:t>kWh</m:t>
              </m:r>
            </m:e>
          </m:d>
          <m:r>
            <w:rPr>
              <w:rFonts w:ascii="Cambria Math" w:hAnsi="Cambria Math"/>
            </w:rPr>
            <m:t xml:space="preserve"> × Peak to Energy Ratio</m:t>
          </m:r>
        </m:oMath>
      </m:oMathPara>
    </w:p>
    <w:p w14:paraId="7BA876FF" w14:textId="77777777" w:rsidR="00F65784" w:rsidRPr="00974FAC" w:rsidRDefault="00F65784" w:rsidP="00F65784">
      <w:pPr>
        <w:pStyle w:val="Heading4"/>
      </w:pPr>
      <w:r w:rsidRPr="00974FAC">
        <w:t>Costs</w:t>
      </w:r>
    </w:p>
    <w:p w14:paraId="08EA0243" w14:textId="72DA1BC3" w:rsidR="00D4736F" w:rsidRPr="00974FAC" w:rsidRDefault="00D4736F" w:rsidP="00974FAC">
      <w:r w:rsidRPr="00974FAC">
        <w:t xml:space="preserve">Similarly to demand savings, </w:t>
      </w:r>
      <w:r w:rsidR="00CB3715">
        <w:t xml:space="preserve">utility </w:t>
      </w:r>
      <w:r w:rsidRPr="00974FAC">
        <w:t xml:space="preserve">program costs are calculated from the energy savings in </w:t>
      </w:r>
      <w:r w:rsidRPr="00974FAC">
        <w:fldChar w:fldCharType="begin"/>
      </w:r>
      <w:r w:rsidRPr="00974FAC">
        <w:instrText xml:space="preserve"> REF _Ref481751326 \h </w:instrText>
      </w:r>
      <w:r w:rsidR="00662ECD">
        <w:instrText xml:space="preserve"> \* MERGEFORMAT </w:instrText>
      </w:r>
      <w:r w:rsidRPr="00974FAC">
        <w:fldChar w:fldCharType="separate"/>
      </w:r>
      <w:r w:rsidR="00C407F4" w:rsidRPr="00B20B55">
        <w:t xml:space="preserve">Equation </w:t>
      </w:r>
      <w:r w:rsidR="00C407F4">
        <w:rPr>
          <w:noProof/>
        </w:rPr>
        <w:t>2</w:t>
      </w:r>
      <w:r w:rsidR="00C407F4">
        <w:rPr>
          <w:noProof/>
        </w:rPr>
        <w:noBreakHyphen/>
        <w:t>5</w:t>
      </w:r>
      <w:r w:rsidRPr="00974FAC">
        <w:fldChar w:fldCharType="end"/>
      </w:r>
      <w:r w:rsidRPr="00974FAC">
        <w:t xml:space="preserve">. The Cost Factor in </w:t>
      </w:r>
      <w:r w:rsidRPr="00974FAC">
        <w:fldChar w:fldCharType="begin"/>
      </w:r>
      <w:r w:rsidRPr="00974FAC">
        <w:instrText xml:space="preserve"> REF _Ref481751824 \h </w:instrText>
      </w:r>
      <w:r w:rsidR="00662ECD">
        <w:instrText xml:space="preserve"> \* MERGEFORMAT </w:instrText>
      </w:r>
      <w:r w:rsidRPr="00974FAC">
        <w:fldChar w:fldCharType="separate"/>
      </w:r>
      <w:r w:rsidR="00C407F4" w:rsidRPr="00974FAC">
        <w:t xml:space="preserve">Equation </w:t>
      </w:r>
      <w:r w:rsidR="00C407F4">
        <w:rPr>
          <w:noProof/>
        </w:rPr>
        <w:t>2</w:t>
      </w:r>
      <w:r w:rsidR="00C407F4" w:rsidRPr="00974FAC">
        <w:rPr>
          <w:noProof/>
        </w:rPr>
        <w:noBreakHyphen/>
      </w:r>
      <w:r w:rsidR="00C407F4">
        <w:rPr>
          <w:noProof/>
        </w:rPr>
        <w:t>7</w:t>
      </w:r>
      <w:r w:rsidRPr="00974FAC">
        <w:fldChar w:fldCharType="end"/>
      </w:r>
      <w:r w:rsidRPr="00974FAC">
        <w:t xml:space="preserve"> is a unit energy cost expressed in either dollars per kWh or dollars per therm. </w:t>
      </w:r>
      <w:r w:rsidR="00662ECD" w:rsidRPr="00974FAC">
        <w:t xml:space="preserve">For programs that save both electricity and gas, it was sometimes possible to divide the costs by fuel type, but in instances where this was not possible all costs were assigned to one fuel type to avoid double-counting costs. </w:t>
      </w:r>
    </w:p>
    <w:p w14:paraId="14656DEE" w14:textId="77777777" w:rsidR="00D4736F" w:rsidRPr="00974FAC" w:rsidRDefault="00D4736F" w:rsidP="00974FAC"/>
    <w:p w14:paraId="1236EFAC" w14:textId="77777777" w:rsidR="00D4736F" w:rsidRPr="00974FAC" w:rsidRDefault="00D4736F" w:rsidP="00974FAC">
      <w:pPr>
        <w:pStyle w:val="Caption"/>
      </w:pPr>
      <w:bookmarkStart w:id="233" w:name="_Ref481751824"/>
      <w:r w:rsidRPr="00974FAC">
        <w:t xml:space="preserve">Equation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Pr="00974FAC">
        <w:noBreakHyphen/>
      </w:r>
      <w:r w:rsidR="00272F76">
        <w:fldChar w:fldCharType="begin"/>
      </w:r>
      <w:r w:rsidR="00272F76">
        <w:instrText xml:space="preserve"> SEQ Equation \* ARABIC \s 1 </w:instrText>
      </w:r>
      <w:r w:rsidR="00272F76">
        <w:fldChar w:fldCharType="separate"/>
      </w:r>
      <w:r w:rsidR="00C407F4">
        <w:rPr>
          <w:noProof/>
        </w:rPr>
        <w:t>7</w:t>
      </w:r>
      <w:r w:rsidR="00272F76">
        <w:rPr>
          <w:noProof/>
        </w:rPr>
        <w:fldChar w:fldCharType="end"/>
      </w:r>
      <w:bookmarkEnd w:id="233"/>
      <w:r w:rsidRPr="00974FAC">
        <w:t>. General Equation for Calculating BROs Program Costs</w:t>
      </w:r>
    </w:p>
    <w:p w14:paraId="60955367" w14:textId="77777777" w:rsidR="00D4736F" w:rsidRPr="00974FAC" w:rsidRDefault="00D4736F" w:rsidP="00974FAC">
      <m:oMathPara>
        <m:oMath>
          <m:r>
            <w:rPr>
              <w:rFonts w:ascii="Cambria Math" w:hAnsi="Cambria Math"/>
            </w:rPr>
            <m:t>Program Cost=Incremental Market Potential × Cost Factor</m:t>
          </m:r>
        </m:oMath>
      </m:oMathPara>
    </w:p>
    <w:p w14:paraId="5BAD7FEA" w14:textId="77777777" w:rsidR="008820EA" w:rsidRPr="001B5456" w:rsidRDefault="00D30C26" w:rsidP="008820EA">
      <w:pPr>
        <w:pStyle w:val="Heading3"/>
      </w:pPr>
      <w:bookmarkStart w:id="234" w:name="_Toc482626404"/>
      <w:bookmarkStart w:id="235" w:name="_Toc485126530"/>
      <w:bookmarkStart w:id="236" w:name="_Toc478990498"/>
      <w:bookmarkStart w:id="237" w:name="_Toc479768571"/>
      <w:bookmarkStart w:id="238" w:name="_Toc482357296"/>
      <w:bookmarkStart w:id="239" w:name="_Toc482634272"/>
      <w:bookmarkStart w:id="240" w:name="_Toc484092475"/>
      <w:bookmarkStart w:id="241" w:name="_Toc484172678"/>
      <w:bookmarkStart w:id="242" w:name="_Toc484183015"/>
      <w:r w:rsidRPr="001B5456">
        <w:lastRenderedPageBreak/>
        <w:t>Residential Low Income</w:t>
      </w:r>
      <w:bookmarkEnd w:id="234"/>
      <w:bookmarkEnd w:id="235"/>
      <w:r w:rsidR="00C5490B" w:rsidRPr="001B5456">
        <w:t xml:space="preserve"> </w:t>
      </w:r>
      <w:bookmarkEnd w:id="236"/>
      <w:bookmarkEnd w:id="237"/>
      <w:bookmarkEnd w:id="238"/>
      <w:bookmarkEnd w:id="239"/>
      <w:bookmarkEnd w:id="240"/>
      <w:bookmarkEnd w:id="241"/>
      <w:bookmarkEnd w:id="242"/>
    </w:p>
    <w:p w14:paraId="2A112A9F" w14:textId="77777777" w:rsidR="008016FC" w:rsidRPr="00CA5727" w:rsidRDefault="008016FC" w:rsidP="008113A1">
      <w:r w:rsidRPr="00CA5727">
        <w:t xml:space="preserve">The </w:t>
      </w:r>
      <w:r>
        <w:t>p</w:t>
      </w:r>
      <w:r w:rsidRPr="00CA5727">
        <w:t xml:space="preserve">otential for energy efficiency in the low-income sector is forecast based on the Energy Savings Assistance program (ESAP).  ESAP is offered by all four IOUs </w:t>
      </w:r>
      <w:r>
        <w:t xml:space="preserve">as a </w:t>
      </w:r>
      <w:r w:rsidRPr="00CA5727">
        <w:t>no cost direct installation of weatherization measures</w:t>
      </w:r>
      <w:r>
        <w:t xml:space="preserve"> that also includes </w:t>
      </w:r>
      <w:r w:rsidRPr="00CA5727">
        <w:t>a wide range of energy efficiency equipment combined with energy efficiency education and referrals to other income qualified programs. The 2018 PG</w:t>
      </w:r>
      <w:r>
        <w:t xml:space="preserve"> model </w:t>
      </w:r>
      <w:r w:rsidRPr="00CA5727">
        <w:t xml:space="preserve">forecast is an update </w:t>
      </w:r>
      <w:r>
        <w:t xml:space="preserve">to previous forecasts </w:t>
      </w:r>
      <w:r w:rsidRPr="00CA5727">
        <w:t xml:space="preserve">based on changes in the low-income market and regulatory environment that </w:t>
      </w:r>
      <w:r>
        <w:t>impact the ESAP offering</w:t>
      </w:r>
      <w:r w:rsidRPr="00CA5727">
        <w:t xml:space="preserve">.  </w:t>
      </w:r>
      <w:r>
        <w:t xml:space="preserve">One of the major changes to the 2018 PG model is to include ESAP program savings for ‘retreatment’ installations as allowed by Decision </w:t>
      </w:r>
      <w:r w:rsidRPr="001E6C86">
        <w:t>16-11-022</w:t>
      </w:r>
      <w:r>
        <w:t xml:space="preserve"> (the Decision).</w:t>
      </w:r>
      <w:r>
        <w:rPr>
          <w:rStyle w:val="FootnoteReference"/>
          <w:rFonts w:cs="Arial"/>
        </w:rPr>
        <w:footnoteReference w:id="25"/>
      </w:r>
      <w:r>
        <w:t xml:space="preserve">  The Decision allows the ESAP program to go-back and retreat households by installing new and updated measures in homes that have been served by past ESAP program activity.  All past PG model low income forecast have only included estimates of potential for ‘first time’ installations on households that have never participated in ESAP. </w:t>
      </w:r>
    </w:p>
    <w:p w14:paraId="6F9CDDD7" w14:textId="77777777" w:rsidR="008016FC" w:rsidRDefault="008016FC" w:rsidP="008820EA"/>
    <w:p w14:paraId="6FF77744" w14:textId="314A93EC" w:rsidR="001B5456" w:rsidRPr="001B5456" w:rsidRDefault="001B5456" w:rsidP="008113A1">
      <w:r w:rsidRPr="001B5456">
        <w:t xml:space="preserve">Residential Low Income (LI) programs are modeled based on two key inputs: number of households (HH) forecasted to be treated and unit energy savings (UES) per treated household. The savings are calculated using </w:t>
      </w:r>
      <w:r w:rsidRPr="001B5456">
        <w:fldChar w:fldCharType="begin"/>
      </w:r>
      <w:r w:rsidRPr="001B5456">
        <w:instrText xml:space="preserve"> REF _Ref481592893 \h </w:instrText>
      </w:r>
      <w:r>
        <w:instrText xml:space="preserve"> \* MERGEFORMAT </w:instrText>
      </w:r>
      <w:r w:rsidRPr="001B5456">
        <w:fldChar w:fldCharType="separate"/>
      </w:r>
      <w:r w:rsidR="00C407F4" w:rsidRPr="001B5456">
        <w:t xml:space="preserve">Equation </w:t>
      </w:r>
      <w:r w:rsidR="00C407F4">
        <w:rPr>
          <w:noProof/>
        </w:rPr>
        <w:t>2</w:t>
      </w:r>
      <w:r w:rsidR="00C407F4">
        <w:rPr>
          <w:noProof/>
        </w:rPr>
        <w:noBreakHyphen/>
        <w:t>8</w:t>
      </w:r>
      <w:r w:rsidRPr="001B5456">
        <w:fldChar w:fldCharType="end"/>
      </w:r>
    </w:p>
    <w:p w14:paraId="03A756C8" w14:textId="77777777" w:rsidR="001B5456" w:rsidRPr="001B5456" w:rsidRDefault="001B5456" w:rsidP="008820EA"/>
    <w:p w14:paraId="45B8D97F" w14:textId="77777777" w:rsidR="001B5456" w:rsidRPr="001B5456" w:rsidRDefault="001B5456" w:rsidP="001B5456">
      <w:pPr>
        <w:pStyle w:val="Caption"/>
      </w:pPr>
      <w:bookmarkStart w:id="243" w:name="_Ref481592893"/>
      <w:r w:rsidRPr="001B5456">
        <w:t xml:space="preserve">Equation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D4736F">
        <w:noBreakHyphen/>
      </w:r>
      <w:r w:rsidR="00272F76">
        <w:fldChar w:fldCharType="begin"/>
      </w:r>
      <w:r w:rsidR="00272F76">
        <w:instrText xml:space="preserve"> SEQ Equation \* ARABIC \s 1 </w:instrText>
      </w:r>
      <w:r w:rsidR="00272F76">
        <w:fldChar w:fldCharType="separate"/>
      </w:r>
      <w:r w:rsidR="00C407F4">
        <w:rPr>
          <w:noProof/>
        </w:rPr>
        <w:t>8</w:t>
      </w:r>
      <w:r w:rsidR="00272F76">
        <w:rPr>
          <w:noProof/>
        </w:rPr>
        <w:fldChar w:fldCharType="end"/>
      </w:r>
      <w:bookmarkEnd w:id="243"/>
      <w:r w:rsidRPr="001B5456">
        <w:t>. General Equation for Calculating LI Savings</w:t>
      </w:r>
    </w:p>
    <w:p w14:paraId="5F7CC8BB" w14:textId="77777777" w:rsidR="001B5456" w:rsidRPr="001B5456" w:rsidRDefault="001B5456" w:rsidP="008820EA">
      <m:oMathPara>
        <m:oMath>
          <m:r>
            <w:rPr>
              <w:rFonts w:ascii="Cambria Math" w:hAnsi="Cambria Math"/>
            </w:rPr>
            <m:t>Low Income Program Savings=Households Treated x Unit Energy Savings</m:t>
          </m:r>
        </m:oMath>
      </m:oMathPara>
    </w:p>
    <w:p w14:paraId="512DA7D7" w14:textId="77777777" w:rsidR="001B5456" w:rsidRPr="001B5456" w:rsidRDefault="001B5456" w:rsidP="008820EA"/>
    <w:p w14:paraId="5F8CD140" w14:textId="77777777" w:rsidR="001B5456" w:rsidRDefault="001B5456" w:rsidP="008820EA">
      <w:r w:rsidRPr="001B5456">
        <w:t>The forecast for Households treated is obtained from IOU plans. The team does not develop its own forecast. The savings potential reported for Low Income are not a true “Market Potential” but more of a “forecast of IOU planned activity”.</w:t>
      </w:r>
      <w:r>
        <w:t xml:space="preserve"> The model allows for disaggregation of savings by building type (Single Family, Multifamily, Mobile Home) based on IOU data provided. </w:t>
      </w:r>
    </w:p>
    <w:p w14:paraId="38445E8A" w14:textId="77777777" w:rsidR="008113A1" w:rsidRDefault="008113A1" w:rsidP="008820EA"/>
    <w:p w14:paraId="31EBA941" w14:textId="77777777" w:rsidR="008113A1" w:rsidRDefault="008113A1" w:rsidP="008113A1">
      <w:pPr>
        <w:pStyle w:val="CommentText"/>
      </w:pPr>
      <w:r>
        <w:t xml:space="preserve">The PG model reports LI savings separately from all other rebate programs. Though this may not be the case in the goal setting process. </w:t>
      </w:r>
    </w:p>
    <w:p w14:paraId="38C8E347" w14:textId="77777777" w:rsidR="008820EA" w:rsidRPr="006B44D0" w:rsidRDefault="008820EA" w:rsidP="008820EA">
      <w:pPr>
        <w:pStyle w:val="Heading3"/>
      </w:pPr>
      <w:bookmarkStart w:id="244" w:name="_Toc478990499"/>
      <w:bookmarkStart w:id="245" w:name="_Toc479768572"/>
      <w:bookmarkStart w:id="246" w:name="_Toc482357297"/>
      <w:bookmarkStart w:id="247" w:name="_Toc482634273"/>
      <w:bookmarkStart w:id="248" w:name="_Toc482626405"/>
      <w:bookmarkStart w:id="249" w:name="_Toc484092476"/>
      <w:bookmarkStart w:id="250" w:name="_Toc484172679"/>
      <w:bookmarkStart w:id="251" w:name="_Toc484183016"/>
      <w:bookmarkStart w:id="252" w:name="_Toc485126531"/>
      <w:r w:rsidRPr="006B44D0">
        <w:t>Codes and Standards (C&amp;S)</w:t>
      </w:r>
      <w:bookmarkEnd w:id="244"/>
      <w:bookmarkEnd w:id="245"/>
      <w:bookmarkEnd w:id="246"/>
      <w:bookmarkEnd w:id="247"/>
      <w:bookmarkEnd w:id="248"/>
      <w:bookmarkEnd w:id="249"/>
      <w:bookmarkEnd w:id="250"/>
      <w:bookmarkEnd w:id="251"/>
      <w:bookmarkEnd w:id="252"/>
      <w:r w:rsidRPr="006B44D0">
        <w:t xml:space="preserve"> </w:t>
      </w:r>
    </w:p>
    <w:p w14:paraId="0DC3EB45" w14:textId="77777777" w:rsidR="006B44D0" w:rsidRDefault="006B44D0" w:rsidP="006B44D0">
      <w:r>
        <w:t>Codes and Standards (</w:t>
      </w:r>
      <w:r w:rsidRPr="00E54706">
        <w:t>C&amp;S</w:t>
      </w:r>
      <w:r>
        <w:t>)</w:t>
      </w:r>
      <w:r w:rsidRPr="00E54706">
        <w:t xml:space="preserve"> impacts </w:t>
      </w:r>
      <w:r>
        <w:t>on energy efficiency potential are modeled two ways:</w:t>
      </w:r>
    </w:p>
    <w:p w14:paraId="30256CB1" w14:textId="77777777" w:rsidR="006B44D0" w:rsidRDefault="006B44D0" w:rsidP="004E4E36">
      <w:pPr>
        <w:pStyle w:val="ListParagraph"/>
        <w:numPr>
          <w:ilvl w:val="0"/>
          <w:numId w:val="22"/>
        </w:numPr>
        <w:spacing w:line="240" w:lineRule="auto"/>
      </w:pPr>
      <w:r w:rsidRPr="00E54706">
        <w:t xml:space="preserve">C&amp;S </w:t>
      </w:r>
      <w:r>
        <w:t xml:space="preserve">impacts the code baseline for IOU rebated measures; as C&amp;S becomes more stringent in the future, above-code savings claimable by IOU programs decreases. This is discussed further in section </w:t>
      </w:r>
      <w:r>
        <w:fldChar w:fldCharType="begin"/>
      </w:r>
      <w:r>
        <w:instrText xml:space="preserve"> REF _Ref477347831 \r \h </w:instrText>
      </w:r>
      <w:r>
        <w:fldChar w:fldCharType="separate"/>
      </w:r>
      <w:r w:rsidR="00C407F4">
        <w:t>2.1.1.2</w:t>
      </w:r>
      <w:r>
        <w:fldChar w:fldCharType="end"/>
      </w:r>
      <w:r>
        <w:t>.</w:t>
      </w:r>
    </w:p>
    <w:p w14:paraId="26C785BD" w14:textId="77777777" w:rsidR="007B1535" w:rsidRDefault="006B44D0" w:rsidP="004E4E36">
      <w:pPr>
        <w:pStyle w:val="ListParagraph"/>
        <w:numPr>
          <w:ilvl w:val="0"/>
          <w:numId w:val="22"/>
        </w:numPr>
        <w:autoSpaceDE w:val="0"/>
        <w:autoSpaceDN w:val="0"/>
        <w:adjustRightInd w:val="0"/>
        <w:spacing w:line="240" w:lineRule="auto"/>
        <w:rPr>
          <w:rFonts w:ascii="PalatinoLinotype" w:hAnsi="PalatinoLinotype" w:cs="PalatinoLinotype"/>
          <w:szCs w:val="20"/>
        </w:rPr>
      </w:pPr>
      <w:r w:rsidRPr="00E54706">
        <w:t>IOUs can claim a portion of savings from C&amp;S</w:t>
      </w:r>
      <w:r>
        <w:t xml:space="preserve"> that come into effect through the IOU C&amp;S advocacy programs</w:t>
      </w:r>
      <w:r w:rsidRPr="00E54706">
        <w:t>.</w:t>
      </w:r>
      <w:r w:rsidR="007B1535">
        <w:t xml:space="preserve"> </w:t>
      </w:r>
      <w:r w:rsidRPr="007B1535">
        <w:rPr>
          <w:rFonts w:ascii="PalatinoLinotype" w:hAnsi="PalatinoLinotype" w:cs="PalatinoLinotype"/>
          <w:szCs w:val="20"/>
        </w:rPr>
        <w:t xml:space="preserve">This section describes the calculation of IOU claimable savings from C&amp;S. </w:t>
      </w:r>
    </w:p>
    <w:p w14:paraId="4F62696B" w14:textId="77777777" w:rsidR="007B1535" w:rsidRDefault="007B1535" w:rsidP="007B1535">
      <w:pPr>
        <w:autoSpaceDE w:val="0"/>
        <w:autoSpaceDN w:val="0"/>
        <w:adjustRightInd w:val="0"/>
        <w:spacing w:line="240" w:lineRule="auto"/>
        <w:rPr>
          <w:rFonts w:ascii="PalatinoLinotype" w:hAnsi="PalatinoLinotype" w:cs="PalatinoLinotype"/>
          <w:szCs w:val="20"/>
        </w:rPr>
      </w:pPr>
    </w:p>
    <w:p w14:paraId="0D730BD6" w14:textId="77777777" w:rsidR="006B44D0" w:rsidRPr="007B1535" w:rsidRDefault="006B44D0" w:rsidP="00AA58B2">
      <w:r w:rsidRPr="007B1535">
        <w:t xml:space="preserve">This study calculates the estimated savings of codes and standards in multiple formats, each for a different use: </w:t>
      </w:r>
    </w:p>
    <w:p w14:paraId="1199BBAE" w14:textId="77777777" w:rsidR="006B44D0" w:rsidRPr="00707E30" w:rsidRDefault="006B44D0" w:rsidP="004E4E36">
      <w:pPr>
        <w:pStyle w:val="ListParagraph"/>
        <w:numPr>
          <w:ilvl w:val="0"/>
          <w:numId w:val="22"/>
        </w:numPr>
        <w:spacing w:line="240" w:lineRule="auto"/>
      </w:pPr>
      <w:r w:rsidRPr="00707E30">
        <w:rPr>
          <w:b/>
        </w:rPr>
        <w:t>Net C&amp;S Savings</w:t>
      </w:r>
      <w:r w:rsidRPr="00707E30">
        <w:t xml:space="preserve"> are the total energy savings estimated to be achieved from the updates to</w:t>
      </w:r>
      <w:r>
        <w:t xml:space="preserve"> </w:t>
      </w:r>
      <w:r w:rsidRPr="00707E30">
        <w:t>codes and standards since 2006. Net savings calculations account</w:t>
      </w:r>
      <w:r>
        <w:t xml:space="preserve"> </w:t>
      </w:r>
      <w:r w:rsidRPr="00707E30">
        <w:t xml:space="preserve">for naturally occurring market adoption (NOMAD) of code-compliant equipment </w:t>
      </w:r>
      <w:r>
        <w:t xml:space="preserve">and are used </w:t>
      </w:r>
      <w:r w:rsidRPr="00707E30">
        <w:t>to inform demand forecasting,</w:t>
      </w:r>
      <w:r>
        <w:t xml:space="preserve"> </w:t>
      </w:r>
      <w:r w:rsidRPr="00707E30">
        <w:lastRenderedPageBreak/>
        <w:t>procurement planning, and tracking against greenhouse gas targets.</w:t>
      </w:r>
      <w:r w:rsidR="00E20953">
        <w:t xml:space="preserve"> This informs the CEC forecast.</w:t>
      </w:r>
    </w:p>
    <w:p w14:paraId="51C1B8C2" w14:textId="77777777" w:rsidR="006B44D0" w:rsidRDefault="006B44D0" w:rsidP="004E4E36">
      <w:pPr>
        <w:pStyle w:val="ListParagraph"/>
        <w:numPr>
          <w:ilvl w:val="0"/>
          <w:numId w:val="22"/>
        </w:numPr>
        <w:spacing w:line="240" w:lineRule="auto"/>
      </w:pPr>
      <w:r w:rsidRPr="00707E30">
        <w:rPr>
          <w:b/>
        </w:rPr>
        <w:t>Net IOU C&amp;S Program Savings</w:t>
      </w:r>
      <w:r w:rsidRPr="00707E30">
        <w:t xml:space="preserve"> identif</w:t>
      </w:r>
      <w:r>
        <w:t>ies</w:t>
      </w:r>
      <w:r w:rsidRPr="00707E30">
        <w:t xml:space="preserve"> the portion of the </w:t>
      </w:r>
      <w:r>
        <w:t>Net</w:t>
      </w:r>
      <w:r w:rsidRPr="00707E30">
        <w:t xml:space="preserve"> </w:t>
      </w:r>
      <w:r>
        <w:t xml:space="preserve">C&amp;S Savings </w:t>
      </w:r>
      <w:r w:rsidRPr="00707E30">
        <w:t>that can</w:t>
      </w:r>
      <w:r>
        <w:t xml:space="preserve"> </w:t>
      </w:r>
      <w:r w:rsidRPr="00707E30">
        <w:t xml:space="preserve">be attributed to the advocacy work of the IOU’s C&amp;S program. </w:t>
      </w:r>
      <w:r>
        <w:t xml:space="preserve">This result is used to </w:t>
      </w:r>
      <w:r w:rsidRPr="00707E30">
        <w:t>inform the IOU</w:t>
      </w:r>
      <w:r>
        <w:t xml:space="preserve"> program </w:t>
      </w:r>
      <w:r w:rsidRPr="00707E30">
        <w:t>goals.</w:t>
      </w:r>
    </w:p>
    <w:p w14:paraId="0FD9CD4F" w14:textId="77777777" w:rsidR="006B44D0" w:rsidRDefault="006B44D0" w:rsidP="006B44D0">
      <w:pPr>
        <w:spacing w:line="240" w:lineRule="auto"/>
      </w:pPr>
    </w:p>
    <w:p w14:paraId="31A61994" w14:textId="5D5294BA" w:rsidR="006B44D0" w:rsidRDefault="006B44D0" w:rsidP="00AA58B2">
      <w:r>
        <w:t xml:space="preserve">The </w:t>
      </w:r>
      <w:r w:rsidRPr="00707E30">
        <w:t xml:space="preserve">modeling </w:t>
      </w:r>
      <w:r>
        <w:t xml:space="preserve">methodology </w:t>
      </w:r>
      <w:r w:rsidRPr="00707E30">
        <w:t xml:space="preserve">of </w:t>
      </w:r>
      <w:r>
        <w:t>C&amp;S savings was</w:t>
      </w:r>
      <w:r w:rsidRPr="00707E30">
        <w:t xml:space="preserve"> based on </w:t>
      </w:r>
      <w:r>
        <w:t>the</w:t>
      </w:r>
      <w:r w:rsidRPr="00707E30">
        <w:t xml:space="preserve"> </w:t>
      </w:r>
      <w:r w:rsidRPr="00243365">
        <w:t>Integrated Standards Savings Model</w:t>
      </w:r>
      <w:r>
        <w:t xml:space="preserve"> (ISSM)</w:t>
      </w:r>
      <w:r w:rsidRPr="00243365">
        <w:rPr>
          <w:rStyle w:val="FootnoteReference"/>
        </w:rPr>
        <w:footnoteReference w:id="26"/>
      </w:r>
      <w:r w:rsidRPr="00243365">
        <w:t xml:space="preserve"> developed by CADMUS and DNV GL</w:t>
      </w:r>
      <w:r>
        <w:t xml:space="preserve"> </w:t>
      </w:r>
      <w:r w:rsidRPr="00707E30">
        <w:t xml:space="preserve">used by the CPUC </w:t>
      </w:r>
      <w:r>
        <w:t xml:space="preserve">in </w:t>
      </w:r>
      <w:r w:rsidRPr="00707E30">
        <w:t>C&amp;S program evaluation.</w:t>
      </w:r>
      <w:r>
        <w:t xml:space="preserve"> </w:t>
      </w:r>
      <w:r w:rsidRPr="00707E30">
        <w:t xml:space="preserve">The Navigant team replicated the methodology </w:t>
      </w:r>
      <w:r>
        <w:t xml:space="preserve">of ISSM in the PG Model </w:t>
      </w:r>
      <w:r w:rsidRPr="00707E30">
        <w:t>for</w:t>
      </w:r>
      <w:r>
        <w:t xml:space="preserve"> </w:t>
      </w:r>
      <w:r w:rsidRPr="00707E30">
        <w:t xml:space="preserve">use in this study. </w:t>
      </w:r>
      <w:r>
        <w:t xml:space="preserve">The process of calculating Net C&amp;S Savings and Net IOU C&amp;S Program Savings is illustrated in </w:t>
      </w:r>
      <w:r>
        <w:fldChar w:fldCharType="begin"/>
      </w:r>
      <w:r>
        <w:instrText xml:space="preserve"> REF _Ref477184347 \h </w:instrText>
      </w:r>
      <w:r w:rsidR="00AA58B2">
        <w:instrText xml:space="preserve"> \* MERGEFORMAT </w:instrText>
      </w:r>
      <w:r>
        <w:fldChar w:fldCharType="separate"/>
      </w:r>
      <w:r w:rsidR="00C23564">
        <w:t xml:space="preserve">Figure </w:t>
      </w:r>
      <w:r w:rsidR="00C23564">
        <w:rPr>
          <w:noProof/>
        </w:rPr>
        <w:t>2</w:t>
      </w:r>
      <w:r w:rsidR="00C23564">
        <w:rPr>
          <w:noProof/>
        </w:rPr>
        <w:noBreakHyphen/>
        <w:t>8</w:t>
      </w:r>
      <w:r>
        <w:fldChar w:fldCharType="end"/>
      </w:r>
      <w:r>
        <w:t xml:space="preserve">. Key components of the </w:t>
      </w:r>
      <w:r w:rsidR="002179A1">
        <w:t xml:space="preserve">calculation listed in </w:t>
      </w:r>
      <w:r w:rsidR="002179A1">
        <w:fldChar w:fldCharType="begin"/>
      </w:r>
      <w:r w:rsidR="002179A1">
        <w:instrText xml:space="preserve"> REF _Ref477184347 \h </w:instrText>
      </w:r>
      <w:r w:rsidR="00AA58B2">
        <w:instrText xml:space="preserve"> \* MERGEFORMAT </w:instrText>
      </w:r>
      <w:r w:rsidR="002179A1">
        <w:fldChar w:fldCharType="separate"/>
      </w:r>
      <w:r w:rsidR="00C23564">
        <w:t xml:space="preserve">Figure </w:t>
      </w:r>
      <w:r w:rsidR="00C23564">
        <w:rPr>
          <w:noProof/>
        </w:rPr>
        <w:t>2</w:t>
      </w:r>
      <w:r w:rsidR="00C23564">
        <w:rPr>
          <w:noProof/>
        </w:rPr>
        <w:noBreakHyphen/>
        <w:t>8</w:t>
      </w:r>
      <w:r w:rsidR="002179A1">
        <w:fldChar w:fldCharType="end"/>
      </w:r>
      <w:r w:rsidR="002179A1">
        <w:t xml:space="preserve"> include:</w:t>
      </w:r>
      <w:r>
        <w:t xml:space="preserve"> </w:t>
      </w:r>
    </w:p>
    <w:p w14:paraId="4C30205A" w14:textId="77777777" w:rsidR="002179A1" w:rsidRPr="007B1535" w:rsidRDefault="002179A1" w:rsidP="004E4E36">
      <w:pPr>
        <w:pStyle w:val="ListParagraph"/>
        <w:numPr>
          <w:ilvl w:val="0"/>
          <w:numId w:val="23"/>
        </w:numPr>
      </w:pPr>
      <w:r w:rsidRPr="007B1535">
        <w:rPr>
          <w:b/>
        </w:rPr>
        <w:t>Unit Sales</w:t>
      </w:r>
      <w:r w:rsidRPr="007B1535">
        <w:t xml:space="preserve"> – Unit sales are the assumed baseline units sold each year for each measure. They represent the expected population of code-compliant or standard-compliant equipment adopted.</w:t>
      </w:r>
    </w:p>
    <w:p w14:paraId="6D55F183" w14:textId="77777777" w:rsidR="002179A1" w:rsidRPr="007B1535" w:rsidRDefault="002179A1" w:rsidP="004E4E36">
      <w:pPr>
        <w:pStyle w:val="ListParagraph"/>
        <w:numPr>
          <w:ilvl w:val="0"/>
          <w:numId w:val="23"/>
        </w:numPr>
      </w:pPr>
      <w:r w:rsidRPr="007B1535">
        <w:rPr>
          <w:b/>
        </w:rPr>
        <w:t>Unit Energy Savings</w:t>
      </w:r>
      <w:r w:rsidRPr="007B1535">
        <w:t xml:space="preserve"> – Unit energy savings are the energy savings (in kWh, kW, or therms) relative to the previous code or standard for the new compliant equipment.</w:t>
      </w:r>
    </w:p>
    <w:p w14:paraId="151F201C" w14:textId="77777777" w:rsidR="002179A1" w:rsidRPr="007B1535" w:rsidRDefault="00E20953" w:rsidP="004E4E36">
      <w:pPr>
        <w:pStyle w:val="ListParagraph"/>
        <w:numPr>
          <w:ilvl w:val="0"/>
          <w:numId w:val="23"/>
        </w:numPr>
      </w:pPr>
      <w:r>
        <w:rPr>
          <w:b/>
        </w:rPr>
        <w:t>Compliance Adjustment Factor (CAF)</w:t>
      </w:r>
      <w:r w:rsidR="002179A1" w:rsidRPr="007B1535">
        <w:t xml:space="preserve"> – </w:t>
      </w:r>
      <w:r>
        <w:t>(CAF)</w:t>
      </w:r>
      <w:r w:rsidR="002179A1" w:rsidRPr="007B1535">
        <w:t xml:space="preserve"> is the baseline assumption for the rate at which the population complies with codes or standards.</w:t>
      </w:r>
    </w:p>
    <w:p w14:paraId="661F8CD7" w14:textId="77777777" w:rsidR="002179A1" w:rsidRPr="007B1535" w:rsidRDefault="002179A1" w:rsidP="004E4E36">
      <w:pPr>
        <w:pStyle w:val="ListParagraph"/>
        <w:numPr>
          <w:ilvl w:val="0"/>
          <w:numId w:val="23"/>
        </w:numPr>
      </w:pPr>
      <w:r w:rsidRPr="007B1535">
        <w:rPr>
          <w:b/>
        </w:rPr>
        <w:t>NOMAD</w:t>
      </w:r>
      <w:r w:rsidRPr="007B1535">
        <w:t xml:space="preserve"> – The naturally occurring market adoption is the fraction of the population that would naturally adopt the code-compliant or standard-compliant measure in the absence of any code or standard.</w:t>
      </w:r>
    </w:p>
    <w:p w14:paraId="636AF68F" w14:textId="77777777" w:rsidR="002179A1" w:rsidRPr="007B1535" w:rsidRDefault="002179A1" w:rsidP="004E4E36">
      <w:pPr>
        <w:pStyle w:val="ListParagraph"/>
        <w:numPr>
          <w:ilvl w:val="0"/>
          <w:numId w:val="23"/>
        </w:numPr>
      </w:pPr>
      <w:r w:rsidRPr="007B1535">
        <w:rPr>
          <w:b/>
        </w:rPr>
        <w:t>Attribution</w:t>
      </w:r>
      <w:r w:rsidRPr="007B1535">
        <w:t xml:space="preserve"> – IOU Attribution is the portion of gross C&amp;S savings in California that can be claimed by IOU Code Support programs.</w:t>
      </w:r>
    </w:p>
    <w:p w14:paraId="1981BFB7" w14:textId="77777777" w:rsidR="002179A1" w:rsidRPr="007B1535" w:rsidRDefault="002179A1" w:rsidP="004E4E36">
      <w:pPr>
        <w:pStyle w:val="ListParagraph"/>
        <w:numPr>
          <w:ilvl w:val="0"/>
          <w:numId w:val="23"/>
        </w:numPr>
      </w:pPr>
      <w:r w:rsidRPr="007B1535">
        <w:rPr>
          <w:b/>
        </w:rPr>
        <w:t>Allocation Factors</w:t>
      </w:r>
      <w:r w:rsidRPr="007B1535">
        <w:t xml:space="preserve"> – Allocation factors are the fraction of the statewide C&amp;S savings that occur in each IOU territory. Additional allocation factors assumed by Navigant break down the savings into sectors and end uses.  </w:t>
      </w:r>
    </w:p>
    <w:p w14:paraId="21A49B4F" w14:textId="77777777" w:rsidR="002179A1" w:rsidRDefault="002179A1" w:rsidP="006B44D0">
      <w:pPr>
        <w:spacing w:line="240" w:lineRule="auto"/>
      </w:pPr>
    </w:p>
    <w:p w14:paraId="42E6F8A5" w14:textId="77777777" w:rsidR="006B44D0" w:rsidRDefault="006B44D0" w:rsidP="006B44D0">
      <w:pPr>
        <w:spacing w:line="240" w:lineRule="auto"/>
      </w:pPr>
    </w:p>
    <w:p w14:paraId="31DDAEB4" w14:textId="340313E4" w:rsidR="006B44D0" w:rsidRDefault="006B44D0" w:rsidP="006B44D0">
      <w:pPr>
        <w:pStyle w:val="Caption"/>
      </w:pPr>
      <w:bookmarkStart w:id="253" w:name="_Ref477184347"/>
      <w:bookmarkStart w:id="254" w:name="_Toc482634245"/>
      <w:bookmarkStart w:id="255" w:name="_Toc482626454"/>
      <w:bookmarkStart w:id="256" w:name="_Toc484436998"/>
      <w:bookmarkStart w:id="257" w:name="_Toc485125508"/>
      <w:r>
        <w:lastRenderedPageBreak/>
        <w:t xml:space="preserve">Figure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23564">
        <w:rPr>
          <w:noProof/>
        </w:rPr>
        <w:t>8</w:t>
      </w:r>
      <w:r w:rsidR="00272F76">
        <w:rPr>
          <w:noProof/>
        </w:rPr>
        <w:fldChar w:fldCharType="end"/>
      </w:r>
      <w:bookmarkEnd w:id="253"/>
      <w:r w:rsidR="00BB59F5">
        <w:rPr>
          <w:noProof/>
        </w:rPr>
        <w:t>.</w:t>
      </w:r>
      <w:r>
        <w:t xml:space="preserve"> C&amp;S Savings Calculation Methodology</w:t>
      </w:r>
      <w:bookmarkEnd w:id="254"/>
      <w:bookmarkEnd w:id="255"/>
      <w:bookmarkEnd w:id="256"/>
      <w:bookmarkEnd w:id="257"/>
    </w:p>
    <w:p w14:paraId="20840449" w14:textId="77777777" w:rsidR="006B44D0" w:rsidRDefault="008113A1" w:rsidP="002179A1">
      <w:pPr>
        <w:jc w:val="center"/>
        <w:rPr>
          <w:highlight w:val="yellow"/>
        </w:rPr>
      </w:pPr>
      <w:r w:rsidRPr="008113A1">
        <w:rPr>
          <w:noProof/>
        </w:rPr>
        <w:drawing>
          <wp:inline distT="0" distB="0" distL="0" distR="0" wp14:anchorId="2AED53AA" wp14:editId="6DAF7A72">
            <wp:extent cx="5646273" cy="266606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4784" cy="2670081"/>
                    </a:xfrm>
                    <a:prstGeom prst="rect">
                      <a:avLst/>
                    </a:prstGeom>
                    <a:noFill/>
                  </pic:spPr>
                </pic:pic>
              </a:graphicData>
            </a:graphic>
          </wp:inline>
        </w:drawing>
      </w:r>
    </w:p>
    <w:p w14:paraId="03A536A5" w14:textId="77777777" w:rsidR="006B44D0" w:rsidRDefault="006B44D0" w:rsidP="008820EA">
      <w:pPr>
        <w:rPr>
          <w:highlight w:val="yellow"/>
        </w:rPr>
      </w:pPr>
    </w:p>
    <w:p w14:paraId="742E0E69" w14:textId="77777777" w:rsidR="006B44D0" w:rsidRDefault="006B44D0" w:rsidP="008820EA">
      <w:pPr>
        <w:rPr>
          <w:highlight w:val="yellow"/>
        </w:rPr>
      </w:pPr>
    </w:p>
    <w:p w14:paraId="25EBD45F" w14:textId="77777777" w:rsidR="0035722A" w:rsidRPr="006B44D0" w:rsidRDefault="006B44D0" w:rsidP="008D4574">
      <w:r>
        <w:t xml:space="preserve">The </w:t>
      </w:r>
      <w:r w:rsidR="00BB59F5">
        <w:t>2018</w:t>
      </w:r>
      <w:r>
        <w:t xml:space="preserve"> study continued to use no layering when analyzing net IOU attributable C&amp;S savings. In addition to the removal of layering as provided by ISSM data, the </w:t>
      </w:r>
      <w:r w:rsidR="00BB59F5">
        <w:t>2018</w:t>
      </w:r>
      <w:r>
        <w:t xml:space="preserve"> study analyzed all codes and standards included in the analysis and removed savings from standards that were superseded by other standards once the new standard took effect. This holistic approach to layering removal is a change in methodology relative to the 2015 study</w:t>
      </w:r>
      <w:r w:rsidR="008D4574">
        <w:t xml:space="preserve">. A detailed table of C&amp;S impacted by layering can be found in </w:t>
      </w:r>
      <w:r w:rsidR="008D4574">
        <w:fldChar w:fldCharType="begin"/>
      </w:r>
      <w:r w:rsidR="008D4574">
        <w:instrText xml:space="preserve"> REF _Ref477351442 \n \h </w:instrText>
      </w:r>
      <w:r w:rsidR="00AA58B2">
        <w:instrText xml:space="preserve"> \* MERGEFORMAT </w:instrText>
      </w:r>
      <w:r w:rsidR="008D4574">
        <w:fldChar w:fldCharType="separate"/>
      </w:r>
      <w:r w:rsidR="00C407F4">
        <w:t>Appendix D</w:t>
      </w:r>
      <w:r w:rsidR="008D4574">
        <w:fldChar w:fldCharType="end"/>
      </w:r>
      <w:r w:rsidR="008D4574">
        <w:t>.</w:t>
      </w:r>
    </w:p>
    <w:p w14:paraId="633F0EA9" w14:textId="77777777" w:rsidR="008820EA" w:rsidRDefault="008820EA" w:rsidP="008820EA">
      <w:pPr>
        <w:pStyle w:val="Heading3"/>
      </w:pPr>
      <w:bookmarkStart w:id="258" w:name="_Toc482357298"/>
      <w:bookmarkStart w:id="259" w:name="_Toc482634274"/>
      <w:bookmarkStart w:id="260" w:name="_Toc482626406"/>
      <w:bookmarkStart w:id="261" w:name="_Toc484092477"/>
      <w:bookmarkStart w:id="262" w:name="_Toc484172680"/>
      <w:bookmarkStart w:id="263" w:name="_Toc484183017"/>
      <w:bookmarkStart w:id="264" w:name="_Toc485126532"/>
      <w:bookmarkStart w:id="265" w:name="_Toc478990500"/>
      <w:bookmarkStart w:id="266" w:name="_Toc479768573"/>
      <w:r>
        <w:t>F</w:t>
      </w:r>
      <w:r w:rsidRPr="00CD1669">
        <w:t>inancing</w:t>
      </w:r>
      <w:bookmarkEnd w:id="258"/>
      <w:bookmarkEnd w:id="259"/>
      <w:bookmarkEnd w:id="260"/>
      <w:bookmarkEnd w:id="261"/>
      <w:bookmarkEnd w:id="262"/>
      <w:bookmarkEnd w:id="263"/>
      <w:bookmarkEnd w:id="264"/>
      <w:r w:rsidRPr="00CD1669">
        <w:t xml:space="preserve"> </w:t>
      </w:r>
      <w:bookmarkEnd w:id="265"/>
      <w:bookmarkEnd w:id="266"/>
    </w:p>
    <w:p w14:paraId="0522548C" w14:textId="77777777" w:rsidR="008820EA" w:rsidRDefault="008820EA" w:rsidP="008820EA">
      <w:r w:rsidRPr="00CD1669">
        <w:t>Financing has the potential to break through a number of market barriers that have limited the widespread market adoption of cost-effective energy efficiency measures. The PG Model estimates the incremental effects of introducing energy efficiency financing on energy efficiency market potential and how shifting assumptions about financing affect the potential energy savings.</w:t>
      </w:r>
    </w:p>
    <w:p w14:paraId="11122899" w14:textId="77777777" w:rsidR="005A7511" w:rsidRDefault="005A7511" w:rsidP="008820EA"/>
    <w:p w14:paraId="00AC2FBB" w14:textId="77777777" w:rsidR="00947B1F" w:rsidRPr="004B7BF5" w:rsidRDefault="00947B1F" w:rsidP="00947B1F">
      <w:pPr>
        <w:rPr>
          <w:rFonts w:cs="Arial"/>
          <w:szCs w:val="20"/>
        </w:rPr>
      </w:pPr>
      <w:r w:rsidRPr="004B7BF5">
        <w:rPr>
          <w:rFonts w:cs="Arial"/>
        </w:rPr>
        <w:t>Examples of market barriers that can slow energy efficiency adoption</w:t>
      </w:r>
      <w:r w:rsidRPr="004B7BF5">
        <w:rPr>
          <w:rStyle w:val="FootnoteReference"/>
          <w:rFonts w:cs="Arial"/>
        </w:rPr>
        <w:footnoteReference w:id="27"/>
      </w:r>
      <w:r w:rsidRPr="004B7BF5">
        <w:rPr>
          <w:rFonts w:cs="Arial"/>
        </w:rPr>
        <w:t xml:space="preserve"> </w:t>
      </w:r>
      <w:r w:rsidRPr="008E0DE8">
        <w:rPr>
          <w:rFonts w:cs="Arial"/>
        </w:rPr>
        <w:t xml:space="preserve">include: </w:t>
      </w:r>
    </w:p>
    <w:p w14:paraId="68AFCA9C"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Information Search Cost </w:t>
      </w:r>
      <w:r w:rsidRPr="00211361">
        <w:rPr>
          <w:rFonts w:cs="Arial"/>
          <w:szCs w:val="20"/>
        </w:rPr>
        <w:t>- Even when information of new technologies is publicly available, it is costly for consumers to learn about the innovation</w:t>
      </w:r>
    </w:p>
    <w:p w14:paraId="3AFCACEC"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Lack of Capital Access and Liquidity Constraint - </w:t>
      </w:r>
      <w:r w:rsidRPr="00211361">
        <w:rPr>
          <w:rFonts w:cs="Arial"/>
          <w:szCs w:val="20"/>
        </w:rPr>
        <w:t>Lack of up-front capital or credit for energy efficiency investments.</w:t>
      </w:r>
    </w:p>
    <w:p w14:paraId="0A82AE68"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Un-internalized Externalities </w:t>
      </w:r>
      <w:r w:rsidRPr="00211361">
        <w:rPr>
          <w:rFonts w:cs="Arial"/>
          <w:szCs w:val="20"/>
        </w:rPr>
        <w:t>- Energy is heavily subsidized; consumers are not aware of the true cost of energy.</w:t>
      </w:r>
    </w:p>
    <w:p w14:paraId="526988FF"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Split Incentives </w:t>
      </w:r>
      <w:r w:rsidRPr="00211361">
        <w:rPr>
          <w:rFonts w:cs="Arial"/>
          <w:szCs w:val="20"/>
        </w:rPr>
        <w:t>- Party making the efficiency investment decision is not the party benefitting from the decision.</w:t>
      </w:r>
    </w:p>
    <w:p w14:paraId="35B987D6"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lastRenderedPageBreak/>
        <w:t xml:space="preserve">Hassle Factor - </w:t>
      </w:r>
      <w:r w:rsidRPr="00211361">
        <w:rPr>
          <w:rFonts w:cs="Arial"/>
          <w:szCs w:val="20"/>
        </w:rPr>
        <w:t>This includes efforts invested in completing transactions such as the application process.</w:t>
      </w:r>
    </w:p>
    <w:p w14:paraId="299CF77B" w14:textId="77777777" w:rsidR="00947B1F" w:rsidRPr="00211361" w:rsidRDefault="00947B1F" w:rsidP="004E4E36">
      <w:pPr>
        <w:pStyle w:val="ListParagraph"/>
        <w:numPr>
          <w:ilvl w:val="0"/>
          <w:numId w:val="75"/>
        </w:numPr>
        <w:autoSpaceDE w:val="0"/>
        <w:autoSpaceDN w:val="0"/>
        <w:adjustRightInd w:val="0"/>
        <w:spacing w:line="240" w:lineRule="auto"/>
        <w:rPr>
          <w:rFonts w:cs="Arial"/>
        </w:rPr>
      </w:pPr>
      <w:r w:rsidRPr="00211361">
        <w:rPr>
          <w:rFonts w:cs="Arial"/>
          <w:b/>
          <w:bCs/>
          <w:szCs w:val="20"/>
        </w:rPr>
        <w:t xml:space="preserve">Behavioral Failures </w:t>
      </w:r>
      <w:r w:rsidRPr="00211361">
        <w:rPr>
          <w:rFonts w:cs="Arial"/>
          <w:szCs w:val="20"/>
        </w:rPr>
        <w:t>- Consumers are not perfectly rational, resulting in consumer behavior inconsistent with utility maximization or energy cost minimization.</w:t>
      </w:r>
    </w:p>
    <w:p w14:paraId="05CF0241" w14:textId="77777777" w:rsidR="00662116" w:rsidRPr="004B7BF5" w:rsidRDefault="00662116" w:rsidP="00662116">
      <w:pPr>
        <w:pStyle w:val="Heading4"/>
      </w:pPr>
      <w:r>
        <w:t>Financing Programs Background</w:t>
      </w:r>
    </w:p>
    <w:p w14:paraId="71961F8C" w14:textId="77777777" w:rsidR="00947B1F" w:rsidRPr="004B7BF5" w:rsidRDefault="00947B1F" w:rsidP="00AA58B2">
      <w:pPr>
        <w:rPr>
          <w:rFonts w:cs="Arial"/>
          <w:bCs/>
          <w:szCs w:val="20"/>
        </w:rPr>
      </w:pPr>
      <w:r w:rsidRPr="004B7BF5">
        <w:rPr>
          <w:rFonts w:cs="Arial"/>
          <w:bCs/>
          <w:szCs w:val="20"/>
        </w:rPr>
        <w:t xml:space="preserve">California financing programs address some of these market barriers, such as lack of capital access and liquidity. Per the </w:t>
      </w:r>
      <w:r>
        <w:rPr>
          <w:rFonts w:cs="Arial"/>
          <w:bCs/>
          <w:szCs w:val="20"/>
        </w:rPr>
        <w:t xml:space="preserve">CPUC’s </w:t>
      </w:r>
      <w:r w:rsidRPr="004B7BF5">
        <w:rPr>
          <w:rFonts w:cs="Arial"/>
          <w:bCs/>
          <w:szCs w:val="20"/>
        </w:rPr>
        <w:t>PY2014 Finance Residential Market Baseline Study</w:t>
      </w:r>
      <w:r>
        <w:rPr>
          <w:rFonts w:cs="Arial"/>
          <w:bCs/>
          <w:szCs w:val="20"/>
        </w:rPr>
        <w:t xml:space="preserve"> Report</w:t>
      </w:r>
      <w:r>
        <w:rPr>
          <w:rStyle w:val="FootnoteReference"/>
          <w:rFonts w:cs="Arial"/>
          <w:bCs/>
          <w:szCs w:val="20"/>
        </w:rPr>
        <w:footnoteReference w:id="28"/>
      </w:r>
      <w:r w:rsidRPr="004B7BF5">
        <w:rPr>
          <w:rFonts w:cs="Arial"/>
          <w:bCs/>
          <w:szCs w:val="20"/>
        </w:rPr>
        <w:t>, more than half of homeowners (54%) believe that the higher upfront costs present a barrier</w:t>
      </w:r>
      <w:r w:rsidR="00BB10CF">
        <w:rPr>
          <w:rFonts w:cs="Arial"/>
          <w:bCs/>
          <w:szCs w:val="20"/>
        </w:rPr>
        <w:t xml:space="preserve"> to energy efficiency projects and </w:t>
      </w:r>
      <w:r w:rsidRPr="004B7BF5">
        <w:rPr>
          <w:rFonts w:cs="Arial"/>
          <w:bCs/>
          <w:szCs w:val="20"/>
        </w:rPr>
        <w:t xml:space="preserve">one third of respondents stated that financing could help reduce that barrier. </w:t>
      </w:r>
    </w:p>
    <w:p w14:paraId="274536F2" w14:textId="77777777" w:rsidR="00AA58B2" w:rsidRPr="004B7BF5" w:rsidRDefault="00AA58B2" w:rsidP="00AA58B2"/>
    <w:p w14:paraId="2559A9C6" w14:textId="77777777" w:rsidR="00947B1F" w:rsidRPr="008E0DE8" w:rsidRDefault="00947B1F" w:rsidP="00AA58B2">
      <w:pPr>
        <w:rPr>
          <w:rFonts w:cs="Arial"/>
        </w:rPr>
      </w:pPr>
      <w:r w:rsidRPr="004B7BF5">
        <w:rPr>
          <w:rFonts w:cs="Arial"/>
          <w:bCs/>
          <w:szCs w:val="20"/>
        </w:rPr>
        <w:t>Furthermore, there is research to suggest that financing programs encourage deeper energy savings per project since consumers can take on larger projects with higher associated savings, beyond what they could have otherwise afforded in the absence of financing.</w:t>
      </w:r>
      <w:r w:rsidRPr="004B7BF5">
        <w:rPr>
          <w:vertAlign w:val="superscript"/>
        </w:rPr>
        <w:footnoteReference w:id="29"/>
      </w:r>
      <w:r w:rsidR="00BB10CF">
        <w:rPr>
          <w:rFonts w:cs="Arial"/>
          <w:bCs/>
          <w:szCs w:val="20"/>
        </w:rPr>
        <w:t xml:space="preserve">  </w:t>
      </w:r>
      <w:r w:rsidRPr="008E0DE8">
        <w:rPr>
          <w:rFonts w:cs="Arial"/>
          <w:bCs/>
          <w:szCs w:val="20"/>
        </w:rPr>
        <w:t>Amongs</w:t>
      </w:r>
      <w:r w:rsidRPr="004B7BF5">
        <w:rPr>
          <w:rFonts w:cs="Arial"/>
          <w:bCs/>
          <w:szCs w:val="20"/>
        </w:rPr>
        <w:t>t homeowners</w:t>
      </w:r>
      <w:r w:rsidRPr="004B7BF5">
        <w:rPr>
          <w:rFonts w:cstheme="minorHAnsi"/>
          <w:szCs w:val="20"/>
        </w:rPr>
        <w:t xml:space="preserve"> who made an energy upgrade and used financing, nearly three-quarters using financing indicated that the financing allowed them to do a larger project or purchase higher quality equipment than what they would have done on their own</w:t>
      </w:r>
      <w:r>
        <w:rPr>
          <w:rStyle w:val="FootnoteReference"/>
          <w:rFonts w:cstheme="minorHAnsi"/>
          <w:szCs w:val="20"/>
        </w:rPr>
        <w:footnoteReference w:id="30"/>
      </w:r>
      <w:r w:rsidRPr="004B7BF5">
        <w:rPr>
          <w:rFonts w:cstheme="minorHAnsi"/>
          <w:szCs w:val="20"/>
        </w:rPr>
        <w:t>. For the non-residential sector, 83% of</w:t>
      </w:r>
      <w:r>
        <w:rPr>
          <w:rFonts w:cstheme="minorHAnsi"/>
          <w:szCs w:val="20"/>
        </w:rPr>
        <w:t xml:space="preserve"> </w:t>
      </w:r>
      <w:r w:rsidR="00BB10CF">
        <w:rPr>
          <w:rFonts w:cstheme="minorHAnsi"/>
          <w:szCs w:val="20"/>
        </w:rPr>
        <w:t>on bill financing (</w:t>
      </w:r>
      <w:r>
        <w:rPr>
          <w:rFonts w:cstheme="minorHAnsi"/>
          <w:szCs w:val="20"/>
        </w:rPr>
        <w:t>OBF</w:t>
      </w:r>
      <w:r w:rsidR="00BB10CF">
        <w:rPr>
          <w:rFonts w:cstheme="minorHAnsi"/>
          <w:szCs w:val="20"/>
        </w:rPr>
        <w:t>)</w:t>
      </w:r>
      <w:r w:rsidRPr="008E0DE8">
        <w:rPr>
          <w:rFonts w:cstheme="minorHAnsi"/>
          <w:szCs w:val="20"/>
        </w:rPr>
        <w:t xml:space="preserve"> loans were for projects </w:t>
      </w:r>
      <w:r>
        <w:rPr>
          <w:rFonts w:cstheme="minorHAnsi"/>
          <w:szCs w:val="20"/>
        </w:rPr>
        <w:t>exceeding</w:t>
      </w:r>
      <w:r w:rsidRPr="008E0DE8">
        <w:rPr>
          <w:rFonts w:cstheme="minorHAnsi"/>
          <w:szCs w:val="20"/>
        </w:rPr>
        <w:t xml:space="preserve"> 10% energy savings</w:t>
      </w:r>
      <w:r>
        <w:rPr>
          <w:rFonts w:cstheme="minorHAnsi"/>
          <w:szCs w:val="20"/>
        </w:rPr>
        <w:t>.</w:t>
      </w:r>
      <w:r>
        <w:rPr>
          <w:rStyle w:val="FootnoteReference"/>
          <w:rFonts w:cstheme="minorHAnsi"/>
          <w:szCs w:val="20"/>
        </w:rPr>
        <w:footnoteReference w:id="31"/>
      </w:r>
    </w:p>
    <w:p w14:paraId="7BD2CBD2" w14:textId="77777777" w:rsidR="00AA58B2" w:rsidRPr="008E0DE8" w:rsidRDefault="00AA58B2" w:rsidP="00AA58B2"/>
    <w:p w14:paraId="60E22EA6" w14:textId="77777777" w:rsidR="00947B1F" w:rsidRPr="004B7BF5" w:rsidRDefault="00947B1F" w:rsidP="00AA58B2">
      <w:pPr>
        <w:rPr>
          <w:rFonts w:cs="Arial"/>
          <w:bCs/>
          <w:szCs w:val="20"/>
        </w:rPr>
      </w:pPr>
      <w:r w:rsidRPr="004B7BF5">
        <w:rPr>
          <w:rFonts w:cs="Arial"/>
          <w:bCs/>
          <w:szCs w:val="20"/>
        </w:rPr>
        <w:t xml:space="preserve">Financing may also reduce the “hassle factor” barrier that may affect a consumer’s willingness to take on an energy efficiency project. </w:t>
      </w:r>
      <w:r>
        <w:rPr>
          <w:rFonts w:cs="Arial"/>
          <w:bCs/>
          <w:szCs w:val="20"/>
        </w:rPr>
        <w:t>In a California study of</w:t>
      </w:r>
      <w:r w:rsidRPr="004B7BF5">
        <w:rPr>
          <w:rFonts w:cs="Arial"/>
          <w:bCs/>
          <w:szCs w:val="20"/>
        </w:rPr>
        <w:t xml:space="preserve"> homeowners who chose to use financing, </w:t>
      </w:r>
      <w:r>
        <w:rPr>
          <w:rFonts w:cs="Arial"/>
          <w:bCs/>
          <w:szCs w:val="20"/>
        </w:rPr>
        <w:t>a clear majority</w:t>
      </w:r>
      <w:r w:rsidRPr="004B7BF5">
        <w:rPr>
          <w:rFonts w:cs="Arial"/>
          <w:bCs/>
          <w:szCs w:val="20"/>
        </w:rPr>
        <w:t xml:space="preserve"> (88%) </w:t>
      </w:r>
      <w:r>
        <w:rPr>
          <w:rFonts w:cs="Arial"/>
          <w:bCs/>
          <w:szCs w:val="20"/>
        </w:rPr>
        <w:t>felt</w:t>
      </w:r>
      <w:r w:rsidRPr="004B7BF5">
        <w:rPr>
          <w:rFonts w:cs="Arial"/>
          <w:bCs/>
          <w:szCs w:val="20"/>
        </w:rPr>
        <w:t xml:space="preserve"> that financing was the most convenient option for them</w:t>
      </w:r>
      <w:r w:rsidRPr="004B7BF5">
        <w:rPr>
          <w:rStyle w:val="FootnoteReference"/>
          <w:rFonts w:cs="Arial"/>
          <w:bCs/>
          <w:szCs w:val="20"/>
        </w:rPr>
        <w:footnoteReference w:id="32"/>
      </w:r>
      <w:r w:rsidRPr="004B7BF5">
        <w:rPr>
          <w:rFonts w:cs="Arial"/>
          <w:bCs/>
          <w:szCs w:val="20"/>
        </w:rPr>
        <w:t xml:space="preserve">. </w:t>
      </w:r>
    </w:p>
    <w:p w14:paraId="60247DC7" w14:textId="77777777" w:rsidR="00947B1F" w:rsidRDefault="00947B1F" w:rsidP="00AA58B2">
      <w:pPr>
        <w:rPr>
          <w:rFonts w:cs="Arial"/>
          <w:bCs/>
          <w:szCs w:val="20"/>
        </w:rPr>
      </w:pPr>
      <w:r w:rsidRPr="004B7BF5">
        <w:rPr>
          <w:rFonts w:cs="Arial"/>
          <w:bCs/>
          <w:szCs w:val="20"/>
        </w:rPr>
        <w:t xml:space="preserve">For non-residential customers, qualified customers can access zero-percent OBF through a statewide program administered by the investor-owned utilities (IOUs). </w:t>
      </w:r>
      <w:r>
        <w:rPr>
          <w:rFonts w:cs="Arial"/>
          <w:bCs/>
          <w:szCs w:val="20"/>
        </w:rPr>
        <w:t>The OBF programs use alternative underwriting criteria that considers utility bill repayment history as a measure of creditworthiness</w:t>
      </w:r>
      <w:r>
        <w:rPr>
          <w:rStyle w:val="FootnoteReference"/>
          <w:rFonts w:cs="Arial"/>
          <w:bCs/>
          <w:szCs w:val="20"/>
        </w:rPr>
        <w:footnoteReference w:id="33"/>
      </w:r>
      <w:r>
        <w:rPr>
          <w:rFonts w:cs="Arial"/>
          <w:bCs/>
          <w:szCs w:val="20"/>
        </w:rPr>
        <w:t>. Participating in OBF and repaying</w:t>
      </w:r>
      <w:r w:rsidRPr="004B7BF5">
        <w:rPr>
          <w:rFonts w:cs="Arial"/>
          <w:bCs/>
          <w:szCs w:val="20"/>
        </w:rPr>
        <w:t xml:space="preserve"> the financed cost through </w:t>
      </w:r>
      <w:r>
        <w:rPr>
          <w:rFonts w:cs="Arial"/>
          <w:bCs/>
          <w:szCs w:val="20"/>
        </w:rPr>
        <w:t>a</w:t>
      </w:r>
      <w:r w:rsidRPr="004B7BF5">
        <w:rPr>
          <w:rFonts w:cs="Arial"/>
          <w:bCs/>
          <w:szCs w:val="20"/>
        </w:rPr>
        <w:t xml:space="preserve"> utility bill may be </w:t>
      </w:r>
      <w:r>
        <w:rPr>
          <w:rFonts w:cs="Arial"/>
          <w:bCs/>
          <w:szCs w:val="20"/>
        </w:rPr>
        <w:t>easier to understand and more convenient</w:t>
      </w:r>
      <w:r w:rsidRPr="004B7BF5">
        <w:rPr>
          <w:rFonts w:cs="Arial"/>
          <w:bCs/>
          <w:szCs w:val="20"/>
        </w:rPr>
        <w:t xml:space="preserve"> than applying for and repaying a conventional financing option. </w:t>
      </w:r>
    </w:p>
    <w:p w14:paraId="72FA3593" w14:textId="77777777" w:rsidR="00AA58B2" w:rsidRDefault="00AA58B2" w:rsidP="00AA58B2"/>
    <w:p w14:paraId="03E63308" w14:textId="77777777" w:rsidR="00947B1F" w:rsidRPr="004B7BF5" w:rsidRDefault="00947B1F" w:rsidP="00AA58B2">
      <w:pPr>
        <w:rPr>
          <w:rFonts w:cs="Arial"/>
          <w:bCs/>
          <w:szCs w:val="20"/>
        </w:rPr>
      </w:pPr>
      <w:r w:rsidRPr="004B7BF5">
        <w:rPr>
          <w:rFonts w:cs="Arial"/>
          <w:bCs/>
          <w:szCs w:val="20"/>
        </w:rPr>
        <w:t>Because a significant proportion of customers (46%</w:t>
      </w:r>
      <w:r>
        <w:rPr>
          <w:rFonts w:cs="Arial"/>
          <w:bCs/>
          <w:szCs w:val="20"/>
        </w:rPr>
        <w:t>)</w:t>
      </w:r>
      <w:r w:rsidRPr="004B7BF5">
        <w:rPr>
          <w:rFonts w:cs="Arial"/>
          <w:bCs/>
          <w:szCs w:val="20"/>
        </w:rPr>
        <w:t xml:space="preserve"> indicated a preference for zero percent financing over rebates (34%)</w:t>
      </w:r>
      <w:r w:rsidRPr="004B7BF5">
        <w:rPr>
          <w:rStyle w:val="FootnoteReference"/>
          <w:rFonts w:cs="Arial"/>
          <w:bCs/>
          <w:szCs w:val="20"/>
        </w:rPr>
        <w:footnoteReference w:id="34"/>
      </w:r>
      <w:r w:rsidRPr="004B7BF5">
        <w:rPr>
          <w:rFonts w:cs="Arial"/>
          <w:bCs/>
          <w:szCs w:val="20"/>
        </w:rPr>
        <w:t>, PG&amp;E is testing an OBF alternative pathway</w:t>
      </w:r>
      <w:r>
        <w:rPr>
          <w:rFonts w:cs="Arial"/>
          <w:bCs/>
          <w:szCs w:val="20"/>
        </w:rPr>
        <w:t xml:space="preserve"> that will be paired with metered energy data instead of an incentive</w:t>
      </w:r>
      <w:r>
        <w:rPr>
          <w:rStyle w:val="FootnoteReference"/>
          <w:rFonts w:cs="Arial"/>
          <w:bCs/>
          <w:szCs w:val="20"/>
        </w:rPr>
        <w:footnoteReference w:id="35"/>
      </w:r>
      <w:r>
        <w:rPr>
          <w:rFonts w:cs="Arial"/>
          <w:bCs/>
          <w:szCs w:val="20"/>
        </w:rPr>
        <w:t xml:space="preserve">. Because the incentive applications are where most problems occur </w:t>
      </w:r>
      <w:r>
        <w:rPr>
          <w:rFonts w:cs="Arial"/>
          <w:bCs/>
          <w:szCs w:val="20"/>
        </w:rPr>
        <w:lastRenderedPageBreak/>
        <w:t>in the application process, the alternate pathway program may further reduce the complexity and hassle barrier that some customers may associate with participating in utility energy efficiency programs.</w:t>
      </w:r>
      <w:r>
        <w:rPr>
          <w:rStyle w:val="FootnoteReference"/>
          <w:rFonts w:cs="Arial"/>
          <w:bCs/>
          <w:szCs w:val="20"/>
        </w:rPr>
        <w:footnoteReference w:id="36"/>
      </w:r>
    </w:p>
    <w:p w14:paraId="3140594D" w14:textId="77777777" w:rsidR="00947B1F" w:rsidRPr="004B7BF5" w:rsidRDefault="00947B1F" w:rsidP="00662116">
      <w:pPr>
        <w:pStyle w:val="Heading4"/>
      </w:pPr>
      <w:r w:rsidRPr="004B7BF5">
        <w:t xml:space="preserve">Impact of Financing on </w:t>
      </w:r>
      <w:r w:rsidR="00662116">
        <w:t>Consumer Economics</w:t>
      </w:r>
      <w:r w:rsidRPr="004B7BF5">
        <w:t xml:space="preserve"> </w:t>
      </w:r>
    </w:p>
    <w:p w14:paraId="0CAEBCF0" w14:textId="77777777" w:rsidR="00947B1F" w:rsidRPr="004B7BF5" w:rsidRDefault="00947B1F" w:rsidP="00AA58B2">
      <w:pPr>
        <w:rPr>
          <w:rFonts w:cs="Arial"/>
        </w:rPr>
      </w:pPr>
      <w:r w:rsidRPr="004B7BF5">
        <w:rPr>
          <w:rFonts w:cs="Arial"/>
          <w:bCs/>
          <w:szCs w:val="20"/>
        </w:rPr>
        <w:t xml:space="preserve">Financing allows consumers to use private capital to fund energy efficiency projects; borrowers avoid the up-front cost and repay the project cost over time. We can evaluate the attractiveness of a financing option by looking at the annual cash flows for an efficient measure, compared to an efficient measure that is financed, and comparing the net present value of the options. </w:t>
      </w:r>
    </w:p>
    <w:p w14:paraId="2692EE20" w14:textId="77777777" w:rsidR="00947B1F" w:rsidRDefault="00947B1F" w:rsidP="00AA58B2">
      <w:pPr>
        <w:rPr>
          <w:rFonts w:cs="Arial"/>
          <w:bCs/>
          <w:szCs w:val="20"/>
        </w:rPr>
      </w:pPr>
    </w:p>
    <w:p w14:paraId="6DC5F82C" w14:textId="77777777" w:rsidR="00244626" w:rsidRDefault="00947B1F" w:rsidP="00AA58B2">
      <w:pPr>
        <w:rPr>
          <w:rFonts w:cs="Arial"/>
          <w:bCs/>
          <w:szCs w:val="20"/>
        </w:rPr>
      </w:pPr>
      <w:r w:rsidRPr="004B7BF5">
        <w:rPr>
          <w:rFonts w:cs="Arial"/>
          <w:bCs/>
          <w:szCs w:val="20"/>
        </w:rPr>
        <w:t xml:space="preserve">The net present value </w:t>
      </w:r>
      <w:r w:rsidR="00882599">
        <w:rPr>
          <w:rFonts w:cs="Arial"/>
          <w:bCs/>
          <w:szCs w:val="20"/>
        </w:rPr>
        <w:t>(NPV)</w:t>
      </w:r>
      <w:r w:rsidRPr="004B7BF5">
        <w:rPr>
          <w:rFonts w:cs="Arial"/>
          <w:bCs/>
          <w:szCs w:val="20"/>
        </w:rPr>
        <w:t xml:space="preserve"> is calculated by assigning costs and benefits, discounting future costs and benefits </w:t>
      </w:r>
      <w:r w:rsidR="00882599">
        <w:rPr>
          <w:rFonts w:cs="Arial"/>
          <w:bCs/>
          <w:szCs w:val="20"/>
        </w:rPr>
        <w:t xml:space="preserve">(future value, or FV) </w:t>
      </w:r>
      <w:r w:rsidRPr="004B7BF5">
        <w:rPr>
          <w:rFonts w:cs="Arial"/>
          <w:bCs/>
          <w:szCs w:val="20"/>
        </w:rPr>
        <w:t>by an appropriate discount rate</w:t>
      </w:r>
      <w:r w:rsidR="00882599">
        <w:rPr>
          <w:rFonts w:cs="Arial"/>
          <w:bCs/>
          <w:szCs w:val="20"/>
        </w:rPr>
        <w:t xml:space="preserve"> (i)</w:t>
      </w:r>
      <w:r w:rsidRPr="004B7BF5">
        <w:rPr>
          <w:rFonts w:cs="Arial"/>
          <w:bCs/>
          <w:szCs w:val="20"/>
        </w:rPr>
        <w:t>, and subtracting the present value total costs from the present value total benefits.</w:t>
      </w:r>
      <w:r w:rsidRPr="004B7BF5">
        <w:rPr>
          <w:rStyle w:val="FootnoteReference"/>
          <w:rFonts w:cs="Arial"/>
          <w:bCs/>
          <w:szCs w:val="20"/>
        </w:rPr>
        <w:footnoteReference w:id="37"/>
      </w:r>
    </w:p>
    <w:p w14:paraId="5ECE92D0" w14:textId="77777777" w:rsidR="00244626" w:rsidRDefault="00244626" w:rsidP="00AA58B2">
      <w:pPr>
        <w:rPr>
          <w:rFonts w:cs="Arial"/>
          <w:bCs/>
          <w:szCs w:val="20"/>
        </w:rPr>
      </w:pPr>
    </w:p>
    <w:p w14:paraId="35E325E2" w14:textId="70FD451D" w:rsidR="00244626" w:rsidRDefault="00244626" w:rsidP="00AA58B2">
      <w:pPr>
        <w:rPr>
          <w:rFonts w:cs="Arial"/>
          <w:bCs/>
          <w:szCs w:val="20"/>
        </w:rPr>
      </w:pPr>
      <w:r>
        <w:rPr>
          <w:rFonts w:cs="Arial"/>
          <w:bCs/>
          <w:szCs w:val="20"/>
        </w:rPr>
        <w:t>To discount future payments</w:t>
      </w:r>
      <w:r w:rsidR="00542182">
        <w:rPr>
          <w:rFonts w:cs="Arial"/>
          <w:bCs/>
          <w:szCs w:val="20"/>
        </w:rPr>
        <w:t xml:space="preserve">, we apply the </w:t>
      </w:r>
      <w:r w:rsidR="00923920">
        <w:rPr>
          <w:rFonts w:cs="Arial"/>
          <w:bCs/>
          <w:szCs w:val="20"/>
        </w:rPr>
        <w:t xml:space="preserve">annual </w:t>
      </w:r>
      <w:r>
        <w:rPr>
          <w:rFonts w:cs="Arial"/>
          <w:bCs/>
          <w:szCs w:val="20"/>
        </w:rPr>
        <w:t>consumer discount rate</w:t>
      </w:r>
      <w:r w:rsidR="00923920">
        <w:rPr>
          <w:rFonts w:cs="Arial"/>
          <w:bCs/>
          <w:szCs w:val="20"/>
        </w:rPr>
        <w:t xml:space="preserve"> (</w:t>
      </w:r>
      <w:r w:rsidR="00923920" w:rsidRPr="00662116">
        <w:rPr>
          <w:rFonts w:cs="Arial"/>
          <w:bCs/>
          <w:i/>
          <w:szCs w:val="20"/>
        </w:rPr>
        <w:t>i</w:t>
      </w:r>
      <w:r w:rsidR="00923920">
        <w:rPr>
          <w:rFonts w:cs="Arial"/>
          <w:bCs/>
          <w:szCs w:val="20"/>
        </w:rPr>
        <w:t>)</w:t>
      </w:r>
      <w:r w:rsidR="00542182">
        <w:rPr>
          <w:rFonts w:cs="Arial"/>
          <w:bCs/>
          <w:szCs w:val="20"/>
        </w:rPr>
        <w:t xml:space="preserve"> per</w:t>
      </w:r>
      <w:r w:rsidR="00957936">
        <w:rPr>
          <w:rFonts w:cs="Arial"/>
          <w:bCs/>
          <w:szCs w:val="20"/>
        </w:rPr>
        <w:t xml:space="preserve"> </w:t>
      </w:r>
      <w:r w:rsidR="00957936">
        <w:rPr>
          <w:rFonts w:cs="Arial"/>
          <w:bCs/>
          <w:szCs w:val="20"/>
        </w:rPr>
        <w:fldChar w:fldCharType="begin"/>
      </w:r>
      <w:r w:rsidR="00957936">
        <w:rPr>
          <w:rFonts w:cs="Arial"/>
          <w:bCs/>
          <w:szCs w:val="20"/>
        </w:rPr>
        <w:instrText xml:space="preserve"> REF _Ref482624568 \h </w:instrText>
      </w:r>
      <w:r w:rsidR="00957936">
        <w:rPr>
          <w:rFonts w:cs="Arial"/>
          <w:bCs/>
          <w:szCs w:val="20"/>
        </w:rPr>
      </w:r>
      <w:r w:rsidR="00957936">
        <w:rPr>
          <w:rFonts w:cs="Arial"/>
          <w:bCs/>
          <w:szCs w:val="20"/>
        </w:rPr>
        <w:fldChar w:fldCharType="separate"/>
      </w:r>
      <w:r w:rsidR="00C407F4" w:rsidRPr="001B5456">
        <w:t xml:space="preserve">Equation </w:t>
      </w:r>
      <w:r w:rsidR="00C407F4">
        <w:rPr>
          <w:noProof/>
        </w:rPr>
        <w:t>2</w:t>
      </w:r>
      <w:r w:rsidR="00C407F4">
        <w:noBreakHyphen/>
      </w:r>
      <w:r w:rsidR="00C407F4">
        <w:rPr>
          <w:noProof/>
        </w:rPr>
        <w:t>9</w:t>
      </w:r>
      <w:r w:rsidR="00957936">
        <w:rPr>
          <w:rFonts w:cs="Arial"/>
          <w:bCs/>
          <w:szCs w:val="20"/>
        </w:rPr>
        <w:fldChar w:fldCharType="end"/>
      </w:r>
      <w:r w:rsidR="00923920">
        <w:rPr>
          <w:rFonts w:cs="Arial"/>
          <w:bCs/>
          <w:szCs w:val="20"/>
        </w:rPr>
        <w:t xml:space="preserve">, where </w:t>
      </w:r>
      <w:r w:rsidR="00923920" w:rsidRPr="00662116">
        <w:rPr>
          <w:rFonts w:cs="Arial"/>
          <w:bCs/>
          <w:i/>
          <w:szCs w:val="20"/>
        </w:rPr>
        <w:t>n</w:t>
      </w:r>
      <w:r w:rsidR="00923920">
        <w:rPr>
          <w:rFonts w:cs="Arial"/>
          <w:bCs/>
          <w:szCs w:val="20"/>
        </w:rPr>
        <w:t xml:space="preserve"> is the number of years</w:t>
      </w:r>
      <w:r>
        <w:rPr>
          <w:rFonts w:cs="Arial"/>
          <w:bCs/>
          <w:szCs w:val="20"/>
        </w:rPr>
        <w:t xml:space="preserve">: </w:t>
      </w:r>
    </w:p>
    <w:p w14:paraId="66310D4A" w14:textId="77777777" w:rsidR="00244626" w:rsidRDefault="00244626" w:rsidP="00947B1F">
      <w:pPr>
        <w:autoSpaceDE w:val="0"/>
        <w:autoSpaceDN w:val="0"/>
        <w:adjustRightInd w:val="0"/>
        <w:spacing w:line="240" w:lineRule="auto"/>
        <w:rPr>
          <w:rFonts w:cs="Arial"/>
          <w:bCs/>
          <w:szCs w:val="20"/>
        </w:rPr>
      </w:pPr>
    </w:p>
    <w:p w14:paraId="02D7C6F3" w14:textId="0125E02F" w:rsidR="00923920" w:rsidRDefault="00957936">
      <w:pPr>
        <w:pStyle w:val="Caption"/>
      </w:pPr>
      <w:bookmarkStart w:id="267" w:name="_Ref482624568"/>
      <w:r w:rsidRPr="001B5456">
        <w:t xml:space="preserve">Equation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noBreakHyphen/>
      </w:r>
      <w:r w:rsidR="00272F76">
        <w:fldChar w:fldCharType="begin"/>
      </w:r>
      <w:r w:rsidR="00272F76">
        <w:instrText xml:space="preserve"> SEQ Equation \* ARABIC \s 1 </w:instrText>
      </w:r>
      <w:r w:rsidR="00272F76">
        <w:fldChar w:fldCharType="separate"/>
      </w:r>
      <w:r w:rsidR="00C407F4">
        <w:rPr>
          <w:noProof/>
        </w:rPr>
        <w:t>9</w:t>
      </w:r>
      <w:r w:rsidR="00272F76">
        <w:rPr>
          <w:noProof/>
        </w:rPr>
        <w:fldChar w:fldCharType="end"/>
      </w:r>
      <w:bookmarkEnd w:id="267"/>
      <w:r w:rsidRPr="001B5456">
        <w:t xml:space="preserve">. </w:t>
      </w:r>
      <w:r w:rsidR="00662116">
        <w:t>Present</w:t>
      </w:r>
      <w:r w:rsidR="00923920">
        <w:t xml:space="preserve"> Value Equation</w:t>
      </w:r>
    </w:p>
    <w:p w14:paraId="2AF7FD72" w14:textId="77777777" w:rsidR="00923920" w:rsidRDefault="00173FA8" w:rsidP="00923920">
      <w:pPr>
        <w:autoSpaceDE w:val="0"/>
        <w:autoSpaceDN w:val="0"/>
        <w:adjustRightInd w:val="0"/>
        <w:spacing w:line="240" w:lineRule="auto"/>
        <w:rPr>
          <w:rFonts w:cs="Arial"/>
          <w:bCs/>
          <w:szCs w:val="20"/>
        </w:rPr>
      </w:pPr>
      <m:oMathPara>
        <m:oMath>
          <m:r>
            <w:rPr>
              <w:rFonts w:ascii="Cambria Math" w:hAnsi="Cambria Math" w:cs="Arial"/>
              <w:szCs w:val="20"/>
            </w:rPr>
            <m:t>Present Value =Future Value ×</m:t>
          </m:r>
          <m:sSup>
            <m:sSupPr>
              <m:ctrlPr>
                <w:rPr>
                  <w:rFonts w:ascii="Cambria Math" w:hAnsi="Cambria Math" w:cs="Arial"/>
                  <w:bCs/>
                  <w:i/>
                  <w:szCs w:val="20"/>
                </w:rPr>
              </m:ctrlPr>
            </m:sSupPr>
            <m:e>
              <m:r>
                <w:rPr>
                  <w:rFonts w:ascii="Cambria Math" w:hAnsi="Cambria Math" w:cs="Arial"/>
                  <w:szCs w:val="20"/>
                </w:rPr>
                <m:t>(1+i)</m:t>
              </m:r>
            </m:e>
            <m:sup>
              <m:r>
                <w:rPr>
                  <w:rFonts w:ascii="Cambria Math" w:hAnsi="Cambria Math" w:cs="Arial"/>
                  <w:szCs w:val="20"/>
                </w:rPr>
                <m:t>-n</m:t>
              </m:r>
            </m:sup>
          </m:sSup>
        </m:oMath>
      </m:oMathPara>
    </w:p>
    <w:p w14:paraId="06C2B57E" w14:textId="77777777" w:rsidR="00244626" w:rsidRDefault="00244626" w:rsidP="00947B1F">
      <w:pPr>
        <w:autoSpaceDE w:val="0"/>
        <w:autoSpaceDN w:val="0"/>
        <w:adjustRightInd w:val="0"/>
        <w:spacing w:line="240" w:lineRule="auto"/>
        <w:rPr>
          <w:rFonts w:cs="Arial"/>
          <w:bCs/>
          <w:szCs w:val="20"/>
        </w:rPr>
      </w:pPr>
    </w:p>
    <w:p w14:paraId="76B95A4B" w14:textId="7673774C" w:rsidR="00B7636F" w:rsidRDefault="00923920" w:rsidP="00AA58B2">
      <w:pPr>
        <w:rPr>
          <w:rFonts w:cs="Arial"/>
          <w:bCs/>
          <w:szCs w:val="20"/>
        </w:rPr>
      </w:pPr>
      <w:r>
        <w:rPr>
          <w:rFonts w:cs="Arial"/>
          <w:bCs/>
          <w:szCs w:val="20"/>
        </w:rPr>
        <w:t xml:space="preserve">We can evaluate the present value of an energy efficiency measure over the useful life of the </w:t>
      </w:r>
      <w:r w:rsidR="00882599">
        <w:rPr>
          <w:rFonts w:cs="Arial"/>
          <w:bCs/>
          <w:szCs w:val="20"/>
        </w:rPr>
        <w:t>equipment</w:t>
      </w:r>
      <w:r>
        <w:rPr>
          <w:rFonts w:cs="Arial"/>
          <w:bCs/>
          <w:szCs w:val="20"/>
        </w:rPr>
        <w:t xml:space="preserve"> by comparing the net present value of </w:t>
      </w:r>
      <w:r w:rsidR="00882599">
        <w:rPr>
          <w:rFonts w:cs="Arial"/>
          <w:bCs/>
          <w:szCs w:val="20"/>
        </w:rPr>
        <w:t>the</w:t>
      </w:r>
      <w:r>
        <w:rPr>
          <w:rFonts w:cs="Arial"/>
          <w:bCs/>
          <w:szCs w:val="20"/>
        </w:rPr>
        <w:t xml:space="preserve"> hypothetical costs of the equipment and energy.</w:t>
      </w:r>
      <w:r w:rsidR="00882599">
        <w:rPr>
          <w:rFonts w:cs="Arial"/>
          <w:bCs/>
          <w:szCs w:val="20"/>
        </w:rPr>
        <w:t xml:space="preserve"> </w:t>
      </w:r>
      <w:r w:rsidR="00882599">
        <w:t xml:space="preserve">For example, </w:t>
      </w:r>
      <w:r w:rsidR="00882599">
        <w:fldChar w:fldCharType="begin"/>
      </w:r>
      <w:r w:rsidR="00882599">
        <w:instrText xml:space="preserve"> REF _Ref482002416 \h </w:instrText>
      </w:r>
      <w:r w:rsidR="00AA58B2">
        <w:instrText xml:space="preserve"> \* MERGEFORMAT </w:instrText>
      </w:r>
      <w:r w:rsidR="00882599">
        <w:fldChar w:fldCharType="separate"/>
      </w:r>
      <w:r w:rsidR="00C23564">
        <w:t xml:space="preserve">Table </w:t>
      </w:r>
      <w:r w:rsidR="00C23564">
        <w:rPr>
          <w:noProof/>
        </w:rPr>
        <w:t>2</w:t>
      </w:r>
      <w:r w:rsidR="00C23564">
        <w:rPr>
          <w:noProof/>
        </w:rPr>
        <w:noBreakHyphen/>
        <w:t>4</w:t>
      </w:r>
      <w:r w:rsidR="00882599">
        <w:fldChar w:fldCharType="end"/>
      </w:r>
      <w:r w:rsidR="00882599">
        <w:rPr>
          <w:rFonts w:cs="Arial"/>
          <w:bCs/>
          <w:szCs w:val="20"/>
        </w:rPr>
        <w:t xml:space="preserve"> shows the present value cost of a base efficiency </w:t>
      </w:r>
      <w:r w:rsidR="00C04E94">
        <w:rPr>
          <w:rFonts w:cs="Arial"/>
          <w:bCs/>
          <w:szCs w:val="20"/>
        </w:rPr>
        <w:t>technology</w:t>
      </w:r>
      <w:r w:rsidR="00882599">
        <w:rPr>
          <w:rFonts w:cs="Arial"/>
          <w:bCs/>
          <w:szCs w:val="20"/>
        </w:rPr>
        <w:t xml:space="preserve"> ($1000) purchased in year 0, followed by energy costs for that unit of $200 annually for ten years. The total cash outflows are discounted by the assumed consumer discount rate, which for this example is 7%. The net present cost of the base </w:t>
      </w:r>
      <w:r w:rsidR="00C04E94">
        <w:rPr>
          <w:rFonts w:cs="Arial"/>
          <w:bCs/>
          <w:szCs w:val="20"/>
        </w:rPr>
        <w:t>technology</w:t>
      </w:r>
      <w:r w:rsidR="00882599">
        <w:rPr>
          <w:rFonts w:cs="Arial"/>
          <w:bCs/>
          <w:szCs w:val="20"/>
        </w:rPr>
        <w:t xml:space="preserve"> is $2,</w:t>
      </w:r>
      <w:r w:rsidR="00514DB0">
        <w:rPr>
          <w:rFonts w:cs="Arial"/>
          <w:bCs/>
          <w:szCs w:val="20"/>
        </w:rPr>
        <w:t>405</w:t>
      </w:r>
      <w:r w:rsidR="00882599">
        <w:rPr>
          <w:rFonts w:cs="Arial"/>
          <w:bCs/>
          <w:szCs w:val="20"/>
        </w:rPr>
        <w:t xml:space="preserve">. </w:t>
      </w:r>
    </w:p>
    <w:p w14:paraId="3FC9DFF0" w14:textId="77777777" w:rsidR="00882599" w:rsidRDefault="00882599" w:rsidP="00AA58B2">
      <w:pPr>
        <w:rPr>
          <w:rFonts w:cs="Arial"/>
          <w:bCs/>
          <w:szCs w:val="20"/>
        </w:rPr>
      </w:pPr>
    </w:p>
    <w:p w14:paraId="3EA0DB38" w14:textId="77777777" w:rsidR="00882599" w:rsidRDefault="00882599" w:rsidP="00AA58B2">
      <w:pPr>
        <w:rPr>
          <w:rFonts w:cs="Arial"/>
          <w:bCs/>
          <w:szCs w:val="20"/>
        </w:rPr>
      </w:pPr>
      <w:r>
        <w:rPr>
          <w:rFonts w:cs="Arial"/>
          <w:bCs/>
          <w:szCs w:val="20"/>
        </w:rPr>
        <w:t xml:space="preserve">The next calculation shows the net present cost of the efficient technology, which in this case costs $1250 to the consumer </w:t>
      </w:r>
      <w:r w:rsidR="00542182">
        <w:rPr>
          <w:rFonts w:cs="Arial"/>
          <w:bCs/>
          <w:szCs w:val="20"/>
        </w:rPr>
        <w:t xml:space="preserve">up-front </w:t>
      </w:r>
      <w:r>
        <w:rPr>
          <w:rFonts w:cs="Arial"/>
          <w:bCs/>
          <w:szCs w:val="20"/>
        </w:rPr>
        <w:t xml:space="preserve">after a 50% rebate on the incremental cost of the efficient technology whose original cost was $1500 (i.e., $1500 – [($1500-$1000) x 50%] = $1250). The annual energy cost of the efficient </w:t>
      </w:r>
      <w:r w:rsidR="00C04E94">
        <w:rPr>
          <w:rFonts w:cs="Arial"/>
          <w:bCs/>
          <w:szCs w:val="20"/>
        </w:rPr>
        <w:t>technology</w:t>
      </w:r>
      <w:r>
        <w:rPr>
          <w:rFonts w:cs="Arial"/>
          <w:bCs/>
          <w:szCs w:val="20"/>
        </w:rPr>
        <w:t xml:space="preserve"> is $125 per year. The total cash outflows are discounted by the same consumer discount rate (7%)</w:t>
      </w:r>
      <w:r w:rsidR="00542182">
        <w:rPr>
          <w:rFonts w:cs="Arial"/>
          <w:bCs/>
          <w:szCs w:val="20"/>
        </w:rPr>
        <w:t>,</w:t>
      </w:r>
      <w:r>
        <w:rPr>
          <w:rFonts w:cs="Arial"/>
          <w:bCs/>
          <w:szCs w:val="20"/>
        </w:rPr>
        <w:t xml:space="preserve"> yielding a net present cost for the efficient </w:t>
      </w:r>
      <w:r w:rsidR="00C04E94">
        <w:rPr>
          <w:rFonts w:cs="Arial"/>
          <w:bCs/>
          <w:szCs w:val="20"/>
        </w:rPr>
        <w:t>technology</w:t>
      </w:r>
      <w:r>
        <w:rPr>
          <w:rFonts w:cs="Arial"/>
          <w:bCs/>
          <w:szCs w:val="20"/>
        </w:rPr>
        <w:t xml:space="preserve"> is $2,</w:t>
      </w:r>
      <w:r w:rsidR="00514DB0">
        <w:rPr>
          <w:rFonts w:cs="Arial"/>
          <w:bCs/>
          <w:szCs w:val="20"/>
        </w:rPr>
        <w:t>128</w:t>
      </w:r>
      <w:r w:rsidR="00542182">
        <w:rPr>
          <w:rFonts w:cs="Arial"/>
          <w:bCs/>
          <w:szCs w:val="20"/>
        </w:rPr>
        <w:t xml:space="preserve">. This total cost is less than the base </w:t>
      </w:r>
      <w:r w:rsidR="00C04E94">
        <w:rPr>
          <w:rFonts w:cs="Arial"/>
          <w:bCs/>
          <w:szCs w:val="20"/>
        </w:rPr>
        <w:t>technology</w:t>
      </w:r>
      <w:r>
        <w:rPr>
          <w:rFonts w:cs="Arial"/>
          <w:bCs/>
          <w:szCs w:val="20"/>
        </w:rPr>
        <w:t>.</w:t>
      </w:r>
    </w:p>
    <w:p w14:paraId="3C06D5CD" w14:textId="77777777" w:rsidR="00244626" w:rsidRDefault="00244626" w:rsidP="00947B1F">
      <w:pPr>
        <w:autoSpaceDE w:val="0"/>
        <w:autoSpaceDN w:val="0"/>
        <w:adjustRightInd w:val="0"/>
        <w:spacing w:line="240" w:lineRule="auto"/>
        <w:rPr>
          <w:rFonts w:cs="Arial"/>
          <w:bCs/>
          <w:szCs w:val="20"/>
        </w:rPr>
      </w:pPr>
    </w:p>
    <w:p w14:paraId="6D44E6DF" w14:textId="77777777" w:rsidR="00542182" w:rsidRDefault="00542182" w:rsidP="00AA58B2">
      <w:pPr>
        <w:rPr>
          <w:rFonts w:cs="Arial"/>
          <w:bCs/>
          <w:szCs w:val="20"/>
        </w:rPr>
      </w:pPr>
      <w:r>
        <w:rPr>
          <w:rFonts w:cs="Arial"/>
          <w:bCs/>
          <w:szCs w:val="20"/>
        </w:rPr>
        <w:t xml:space="preserve">Finally, the third calculation shows the net present cost of the efficient technology after financing. The efficient </w:t>
      </w:r>
      <w:r w:rsidR="00C04E94">
        <w:rPr>
          <w:rFonts w:cs="Arial"/>
          <w:bCs/>
          <w:szCs w:val="20"/>
        </w:rPr>
        <w:t>technology</w:t>
      </w:r>
      <w:r>
        <w:rPr>
          <w:rFonts w:cs="Arial"/>
          <w:bCs/>
          <w:szCs w:val="20"/>
        </w:rPr>
        <w:t xml:space="preserve"> costs $1250 with the utility incentive. Assuming a consumer uses an energy efficiency loan at 4% for ten years, the equipment and financing costs are spread over ten years at $148 per year. The annual energy cost of the efficient </w:t>
      </w:r>
      <w:r w:rsidR="00B73F53">
        <w:rPr>
          <w:rFonts w:cs="Arial"/>
          <w:bCs/>
          <w:szCs w:val="20"/>
        </w:rPr>
        <w:t>technology</w:t>
      </w:r>
      <w:r>
        <w:rPr>
          <w:rFonts w:cs="Arial"/>
          <w:bCs/>
          <w:szCs w:val="20"/>
        </w:rPr>
        <w:t xml:space="preserve"> financed is still $125 per year. The total cash outflows are discounted by the same consumer discount rate (7%), yielding a net present cost for the efficient </w:t>
      </w:r>
      <w:r w:rsidR="00B73F53">
        <w:rPr>
          <w:rFonts w:cs="Arial"/>
          <w:bCs/>
          <w:szCs w:val="20"/>
        </w:rPr>
        <w:t>technology</w:t>
      </w:r>
      <w:r>
        <w:rPr>
          <w:rFonts w:cs="Arial"/>
          <w:bCs/>
          <w:szCs w:val="20"/>
        </w:rPr>
        <w:t xml:space="preserve"> with financing of $1,</w:t>
      </w:r>
      <w:r w:rsidR="00514DB0">
        <w:rPr>
          <w:rFonts w:cs="Arial"/>
          <w:bCs/>
          <w:szCs w:val="20"/>
        </w:rPr>
        <w:t>992</w:t>
      </w:r>
      <w:r>
        <w:rPr>
          <w:rFonts w:cs="Arial"/>
          <w:bCs/>
          <w:szCs w:val="20"/>
        </w:rPr>
        <w:t xml:space="preserve">. This total cost is less than the base model and less than the efficient </w:t>
      </w:r>
      <w:r w:rsidR="00B73F53">
        <w:rPr>
          <w:rFonts w:cs="Arial"/>
          <w:bCs/>
          <w:szCs w:val="20"/>
        </w:rPr>
        <w:t>technology</w:t>
      </w:r>
      <w:r>
        <w:rPr>
          <w:rFonts w:cs="Arial"/>
          <w:bCs/>
          <w:szCs w:val="20"/>
        </w:rPr>
        <w:t xml:space="preserve"> without financing.</w:t>
      </w:r>
    </w:p>
    <w:p w14:paraId="0759EB35" w14:textId="77777777" w:rsidR="00542182" w:rsidRDefault="00542182" w:rsidP="00947B1F">
      <w:pPr>
        <w:autoSpaceDE w:val="0"/>
        <w:autoSpaceDN w:val="0"/>
        <w:adjustRightInd w:val="0"/>
        <w:spacing w:line="240" w:lineRule="auto"/>
        <w:rPr>
          <w:rFonts w:cs="Arial"/>
          <w:bCs/>
          <w:szCs w:val="20"/>
        </w:rPr>
      </w:pPr>
    </w:p>
    <w:p w14:paraId="1FA0FCD7" w14:textId="03CB5473" w:rsidR="00882599" w:rsidRDefault="00882599" w:rsidP="00662116">
      <w:pPr>
        <w:pStyle w:val="Caption"/>
      </w:pPr>
      <w:bookmarkStart w:id="268" w:name="_Ref482002416"/>
      <w:bookmarkStart w:id="269" w:name="_Toc482634204"/>
      <w:bookmarkStart w:id="270" w:name="_Toc484436943"/>
      <w:bookmarkStart w:id="271" w:name="_Ref485118759"/>
      <w:bookmarkStart w:id="272" w:name="_Toc485125654"/>
      <w:r>
        <w:lastRenderedPageBreak/>
        <w:t xml:space="preserve">Table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23564">
        <w:rPr>
          <w:noProof/>
        </w:rPr>
        <w:t>4</w:t>
      </w:r>
      <w:r w:rsidR="00272F76">
        <w:rPr>
          <w:noProof/>
        </w:rPr>
        <w:fldChar w:fldCharType="end"/>
      </w:r>
      <w:bookmarkEnd w:id="268"/>
      <w:r>
        <w:t xml:space="preserve">. </w:t>
      </w:r>
      <w:r w:rsidR="00662116">
        <w:t xml:space="preserve">Example </w:t>
      </w:r>
      <w:r>
        <w:t>Present Value Comparisons for Base and Efficient Technologies and Financing</w:t>
      </w:r>
      <w:bookmarkEnd w:id="269"/>
      <w:bookmarkEnd w:id="270"/>
      <w:bookmarkEnd w:id="271"/>
      <w:bookmarkEnd w:id="272"/>
      <w:r>
        <w:t xml:space="preserve"> </w:t>
      </w:r>
    </w:p>
    <w:tbl>
      <w:tblPr>
        <w:tblStyle w:val="EnergyTable1"/>
        <w:tblW w:w="9528" w:type="dxa"/>
        <w:tblLook w:val="04A0" w:firstRow="1" w:lastRow="0" w:firstColumn="1" w:lastColumn="0" w:noHBand="0" w:noVBand="1"/>
      </w:tblPr>
      <w:tblGrid>
        <w:gridCol w:w="2448"/>
        <w:gridCol w:w="804"/>
        <w:gridCol w:w="637"/>
        <w:gridCol w:w="638"/>
        <w:gridCol w:w="638"/>
        <w:gridCol w:w="638"/>
        <w:gridCol w:w="638"/>
        <w:gridCol w:w="638"/>
        <w:gridCol w:w="640"/>
        <w:gridCol w:w="638"/>
        <w:gridCol w:w="638"/>
        <w:gridCol w:w="581"/>
      </w:tblGrid>
      <w:tr w:rsidR="00244626" w:rsidRPr="00662116" w14:paraId="365E114A" w14:textId="77777777" w:rsidTr="00110120">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7E107A80" w14:textId="77777777" w:rsidR="00244626" w:rsidRPr="00662116" w:rsidRDefault="00244626" w:rsidP="00662116">
            <w:pPr>
              <w:keepNext/>
              <w:spacing w:line="240" w:lineRule="auto"/>
              <w:jc w:val="left"/>
              <w:rPr>
                <w:rFonts w:ascii="Arial Narrow" w:hAnsi="Arial Narrow" w:cs="Arial"/>
                <w:szCs w:val="20"/>
              </w:rPr>
            </w:pPr>
            <w:r w:rsidRPr="00662116">
              <w:rPr>
                <w:rFonts w:ascii="Arial Narrow" w:hAnsi="Arial Narrow" w:cs="Arial"/>
                <w:szCs w:val="20"/>
              </w:rPr>
              <w:t xml:space="preserve">Base Technology </w:t>
            </w:r>
          </w:p>
        </w:tc>
        <w:tc>
          <w:tcPr>
            <w:tcW w:w="5273" w:type="dxa"/>
            <w:gridSpan w:val="8"/>
            <w:noWrap/>
            <w:hideMark/>
          </w:tcPr>
          <w:p w14:paraId="59387BC1" w14:textId="77777777" w:rsidR="00244626" w:rsidRPr="00662116" w:rsidRDefault="00244626" w:rsidP="00662116">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62116">
              <w:rPr>
                <w:rFonts w:ascii="Arial Narrow" w:hAnsi="Arial Narrow" w:cs="Arial"/>
                <w:szCs w:val="20"/>
              </w:rPr>
              <w:t> </w:t>
            </w:r>
          </w:p>
        </w:tc>
        <w:tc>
          <w:tcPr>
            <w:tcW w:w="1804" w:type="dxa"/>
            <w:gridSpan w:val="3"/>
          </w:tcPr>
          <w:p w14:paraId="66F093AC" w14:textId="77777777" w:rsidR="00542182" w:rsidRPr="00662116" w:rsidRDefault="00542182" w:rsidP="00244626">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p>
        </w:tc>
      </w:tr>
      <w:tr w:rsidR="00244626" w:rsidRPr="00662116" w14:paraId="1777202A" w14:textId="77777777" w:rsidTr="0011012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51CA1BA0" w14:textId="77777777" w:rsidR="00244626" w:rsidRPr="00662116" w:rsidRDefault="00244626" w:rsidP="00662116">
            <w:pPr>
              <w:keepNext/>
              <w:spacing w:line="240" w:lineRule="auto"/>
              <w:rPr>
                <w:rFonts w:ascii="Arial Narrow" w:hAnsi="Arial Narrow" w:cs="Arial"/>
                <w:b/>
                <w:color w:val="000000"/>
                <w:szCs w:val="20"/>
              </w:rPr>
            </w:pPr>
            <w:r w:rsidRPr="00662116">
              <w:rPr>
                <w:rFonts w:ascii="Arial Narrow" w:hAnsi="Arial Narrow" w:cs="Arial"/>
                <w:b/>
                <w:color w:val="000000"/>
                <w:szCs w:val="20"/>
              </w:rPr>
              <w:t xml:space="preserve">Year </w:t>
            </w:r>
          </w:p>
        </w:tc>
        <w:tc>
          <w:tcPr>
            <w:tcW w:w="805" w:type="dxa"/>
            <w:noWrap/>
            <w:hideMark/>
          </w:tcPr>
          <w:p w14:paraId="51929780" w14:textId="77777777" w:rsidR="00244626" w:rsidRPr="00662116" w:rsidRDefault="00244626"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color w:val="000000"/>
                <w:szCs w:val="20"/>
              </w:rPr>
              <w:t>0</w:t>
            </w:r>
          </w:p>
        </w:tc>
        <w:tc>
          <w:tcPr>
            <w:tcW w:w="638" w:type="dxa"/>
            <w:noWrap/>
            <w:hideMark/>
          </w:tcPr>
          <w:p w14:paraId="7FCAE330" w14:textId="77777777" w:rsidR="00244626" w:rsidRPr="00662116" w:rsidRDefault="00244626"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color w:val="000000"/>
                <w:szCs w:val="20"/>
              </w:rPr>
              <w:t>1</w:t>
            </w:r>
          </w:p>
        </w:tc>
        <w:tc>
          <w:tcPr>
            <w:tcW w:w="638" w:type="dxa"/>
            <w:noWrap/>
            <w:hideMark/>
          </w:tcPr>
          <w:p w14:paraId="257A928A"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2</w:t>
            </w:r>
          </w:p>
        </w:tc>
        <w:tc>
          <w:tcPr>
            <w:tcW w:w="638" w:type="dxa"/>
            <w:noWrap/>
            <w:hideMark/>
          </w:tcPr>
          <w:p w14:paraId="6A547366"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3</w:t>
            </w:r>
          </w:p>
        </w:tc>
        <w:tc>
          <w:tcPr>
            <w:tcW w:w="638" w:type="dxa"/>
            <w:noWrap/>
            <w:hideMark/>
          </w:tcPr>
          <w:p w14:paraId="44DC03E5"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4</w:t>
            </w:r>
          </w:p>
        </w:tc>
        <w:tc>
          <w:tcPr>
            <w:tcW w:w="638" w:type="dxa"/>
            <w:noWrap/>
            <w:hideMark/>
          </w:tcPr>
          <w:p w14:paraId="478E3AFD"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5</w:t>
            </w:r>
          </w:p>
        </w:tc>
        <w:tc>
          <w:tcPr>
            <w:tcW w:w="638" w:type="dxa"/>
            <w:noWrap/>
            <w:hideMark/>
          </w:tcPr>
          <w:p w14:paraId="3679CABC"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6</w:t>
            </w:r>
          </w:p>
        </w:tc>
        <w:tc>
          <w:tcPr>
            <w:tcW w:w="638" w:type="dxa"/>
            <w:noWrap/>
            <w:hideMark/>
          </w:tcPr>
          <w:p w14:paraId="79636B6E"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7</w:t>
            </w:r>
          </w:p>
        </w:tc>
        <w:tc>
          <w:tcPr>
            <w:tcW w:w="638" w:type="dxa"/>
            <w:noWrap/>
            <w:hideMark/>
          </w:tcPr>
          <w:p w14:paraId="761D52B2"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8</w:t>
            </w:r>
          </w:p>
        </w:tc>
        <w:tc>
          <w:tcPr>
            <w:tcW w:w="638" w:type="dxa"/>
            <w:noWrap/>
            <w:hideMark/>
          </w:tcPr>
          <w:p w14:paraId="5DFA5AB1"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9</w:t>
            </w:r>
          </w:p>
        </w:tc>
        <w:tc>
          <w:tcPr>
            <w:tcW w:w="527" w:type="dxa"/>
          </w:tcPr>
          <w:p w14:paraId="68762505" w14:textId="77777777" w:rsidR="00542182" w:rsidRPr="00662116" w:rsidRDefault="00542182" w:rsidP="00542182">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10</w:t>
            </w:r>
          </w:p>
        </w:tc>
      </w:tr>
      <w:tr w:rsidR="004A09CC" w:rsidRPr="00662116" w14:paraId="3B855A67" w14:textId="77777777" w:rsidTr="0066211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50199B96" w14:textId="77777777" w:rsidR="00244626" w:rsidRPr="00662116" w:rsidRDefault="00542182"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Base </w:t>
            </w:r>
            <w:r w:rsidR="00244626" w:rsidRPr="00662116">
              <w:rPr>
                <w:rFonts w:ascii="Arial Narrow" w:hAnsi="Arial Narrow" w:cs="Arial"/>
                <w:color w:val="000000"/>
                <w:szCs w:val="20"/>
              </w:rPr>
              <w:t>Equipment Cost</w:t>
            </w:r>
            <w:r w:rsidRPr="00662116">
              <w:rPr>
                <w:rFonts w:ascii="Arial Narrow" w:hAnsi="Arial Narrow" w:cs="Arial"/>
                <w:color w:val="000000"/>
                <w:szCs w:val="20"/>
              </w:rPr>
              <w:t xml:space="preserve"> </w:t>
            </w:r>
          </w:p>
        </w:tc>
        <w:tc>
          <w:tcPr>
            <w:tcW w:w="805" w:type="dxa"/>
            <w:noWrap/>
            <w:hideMark/>
          </w:tcPr>
          <w:p w14:paraId="0172A968"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$1,000</w:t>
            </w:r>
          </w:p>
        </w:tc>
        <w:tc>
          <w:tcPr>
            <w:tcW w:w="638" w:type="dxa"/>
            <w:noWrap/>
            <w:hideMark/>
          </w:tcPr>
          <w:p w14:paraId="26D99B14"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051F0CC3"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13394030"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16603B22"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04C94057"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37B5EF2F"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59A5A84A"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433608AF"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0AF7E756"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527" w:type="dxa"/>
          </w:tcPr>
          <w:p w14:paraId="637285D6" w14:textId="77777777" w:rsidR="00542182" w:rsidRPr="00662116" w:rsidRDefault="00542182" w:rsidP="00542182">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r>
      <w:tr w:rsidR="00244626" w:rsidRPr="00662116" w14:paraId="6877505F" w14:textId="77777777" w:rsidTr="0011012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05E9FE55" w14:textId="77777777" w:rsidR="00244626" w:rsidRPr="00662116" w:rsidRDefault="00244626"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Energy Cost </w:t>
            </w:r>
          </w:p>
        </w:tc>
        <w:tc>
          <w:tcPr>
            <w:tcW w:w="805" w:type="dxa"/>
            <w:noWrap/>
            <w:hideMark/>
          </w:tcPr>
          <w:p w14:paraId="7CCEBF58"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228F8337"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76A98C59"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617A3B73"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9479434"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3A0D582C"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CFC5C30"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68696CDC"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F822271"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E701FD2"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527" w:type="dxa"/>
            <w:tcBorders>
              <w:bottom w:val="single" w:sz="8" w:space="0" w:color="808080" w:themeColor="background1" w:themeShade="80"/>
            </w:tcBorders>
          </w:tcPr>
          <w:p w14:paraId="1E817BCE" w14:textId="77777777" w:rsidR="00542182" w:rsidRPr="00662116" w:rsidRDefault="00542182" w:rsidP="00542182">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r>
      <w:tr w:rsidR="004A09CC" w:rsidRPr="00662116" w14:paraId="17704B42" w14:textId="77777777" w:rsidTr="0066211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445331BD" w14:textId="77777777" w:rsidR="00244626" w:rsidRPr="00662116" w:rsidRDefault="00244626"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Total Cash Out </w:t>
            </w:r>
          </w:p>
        </w:tc>
        <w:tc>
          <w:tcPr>
            <w:tcW w:w="805" w:type="dxa"/>
            <w:noWrap/>
            <w:hideMark/>
          </w:tcPr>
          <w:p w14:paraId="46A808B6"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$1,000</w:t>
            </w:r>
          </w:p>
        </w:tc>
        <w:tc>
          <w:tcPr>
            <w:tcW w:w="638" w:type="dxa"/>
            <w:noWrap/>
            <w:hideMark/>
          </w:tcPr>
          <w:p w14:paraId="3762FAEB"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6B40EA2D"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3464B443"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1664482F"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031DE63"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342D2EFE"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44709480"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DFDBE41"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7A788F96"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527" w:type="dxa"/>
            <w:tcBorders>
              <w:top w:val="single" w:sz="8" w:space="0" w:color="808080" w:themeColor="background1" w:themeShade="80"/>
              <w:bottom w:val="single" w:sz="4" w:space="0" w:color="DCDDDE"/>
            </w:tcBorders>
          </w:tcPr>
          <w:p w14:paraId="7E2974BC" w14:textId="77777777" w:rsidR="00542182" w:rsidRPr="00662116" w:rsidRDefault="00542182" w:rsidP="00542182">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r>
      <w:tr w:rsidR="00244626" w:rsidRPr="00662116" w14:paraId="5F60134B" w14:textId="77777777" w:rsidTr="0011012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4A03D94D" w14:textId="77777777" w:rsidR="00244626" w:rsidRPr="00662116" w:rsidRDefault="00542182"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Present Value</w:t>
            </w:r>
          </w:p>
        </w:tc>
        <w:tc>
          <w:tcPr>
            <w:tcW w:w="805" w:type="dxa"/>
            <w:noWrap/>
            <w:hideMark/>
          </w:tcPr>
          <w:p w14:paraId="10B42CE7"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$1,000</w:t>
            </w:r>
          </w:p>
        </w:tc>
        <w:tc>
          <w:tcPr>
            <w:tcW w:w="638" w:type="dxa"/>
            <w:noWrap/>
            <w:hideMark/>
          </w:tcPr>
          <w:p w14:paraId="6B2B49CB"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$187</w:t>
            </w:r>
          </w:p>
        </w:tc>
        <w:tc>
          <w:tcPr>
            <w:tcW w:w="638" w:type="dxa"/>
            <w:noWrap/>
            <w:hideMark/>
          </w:tcPr>
          <w:p w14:paraId="76BAF391"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175</w:t>
            </w:r>
          </w:p>
        </w:tc>
        <w:tc>
          <w:tcPr>
            <w:tcW w:w="638" w:type="dxa"/>
            <w:noWrap/>
            <w:hideMark/>
          </w:tcPr>
          <w:p w14:paraId="7D1F0792"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163</w:t>
            </w:r>
          </w:p>
        </w:tc>
        <w:tc>
          <w:tcPr>
            <w:tcW w:w="638" w:type="dxa"/>
            <w:noWrap/>
            <w:hideMark/>
          </w:tcPr>
          <w:p w14:paraId="2A725CA8"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153</w:t>
            </w:r>
          </w:p>
        </w:tc>
        <w:tc>
          <w:tcPr>
            <w:tcW w:w="638" w:type="dxa"/>
            <w:noWrap/>
            <w:hideMark/>
          </w:tcPr>
          <w:p w14:paraId="0059732D"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143</w:t>
            </w:r>
          </w:p>
        </w:tc>
        <w:tc>
          <w:tcPr>
            <w:tcW w:w="638" w:type="dxa"/>
            <w:noWrap/>
            <w:hideMark/>
          </w:tcPr>
          <w:p w14:paraId="02A4262C"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133</w:t>
            </w:r>
          </w:p>
        </w:tc>
        <w:tc>
          <w:tcPr>
            <w:tcW w:w="638" w:type="dxa"/>
            <w:noWrap/>
            <w:hideMark/>
          </w:tcPr>
          <w:p w14:paraId="6E590886"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125</w:t>
            </w:r>
          </w:p>
        </w:tc>
        <w:tc>
          <w:tcPr>
            <w:tcW w:w="638" w:type="dxa"/>
            <w:noWrap/>
            <w:hideMark/>
          </w:tcPr>
          <w:p w14:paraId="68A90124"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116</w:t>
            </w:r>
          </w:p>
        </w:tc>
        <w:tc>
          <w:tcPr>
            <w:tcW w:w="638" w:type="dxa"/>
            <w:noWrap/>
            <w:hideMark/>
          </w:tcPr>
          <w:p w14:paraId="369DA176"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109</w:t>
            </w:r>
          </w:p>
        </w:tc>
        <w:tc>
          <w:tcPr>
            <w:tcW w:w="527" w:type="dxa"/>
            <w:tcBorders>
              <w:top w:val="single" w:sz="4" w:space="0" w:color="DCDDDE"/>
            </w:tcBorders>
          </w:tcPr>
          <w:p w14:paraId="58480E79" w14:textId="77777777" w:rsidR="00542182" w:rsidRPr="00662116" w:rsidRDefault="00542182" w:rsidP="00542182">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$102</w:t>
            </w:r>
          </w:p>
        </w:tc>
      </w:tr>
      <w:tr w:rsidR="004A09CC" w:rsidRPr="00662116" w14:paraId="5450307A" w14:textId="77777777" w:rsidTr="0066211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03D10E33" w14:textId="77777777" w:rsidR="00244626" w:rsidRPr="00662116" w:rsidRDefault="00244626" w:rsidP="00662116">
            <w:pPr>
              <w:keepNext/>
              <w:spacing w:line="240" w:lineRule="auto"/>
              <w:jc w:val="left"/>
              <w:rPr>
                <w:rFonts w:ascii="Arial Narrow" w:hAnsi="Arial Narrow" w:cs="Arial"/>
                <w:b/>
                <w:color w:val="000000"/>
                <w:szCs w:val="20"/>
              </w:rPr>
            </w:pPr>
            <w:r w:rsidRPr="00662116">
              <w:rPr>
                <w:rFonts w:ascii="Arial Narrow" w:hAnsi="Arial Narrow" w:cs="Arial"/>
                <w:b/>
                <w:color w:val="000000"/>
                <w:szCs w:val="20"/>
              </w:rPr>
              <w:t xml:space="preserve">Net Present Value </w:t>
            </w:r>
            <w:r w:rsidR="00542182" w:rsidRPr="00662116">
              <w:rPr>
                <w:rFonts w:ascii="Arial Narrow" w:hAnsi="Arial Narrow" w:cs="Arial"/>
                <w:b/>
                <w:bCs/>
                <w:color w:val="000000"/>
                <w:szCs w:val="20"/>
              </w:rPr>
              <w:t>Cost</w:t>
            </w:r>
          </w:p>
        </w:tc>
        <w:tc>
          <w:tcPr>
            <w:tcW w:w="805" w:type="dxa"/>
            <w:noWrap/>
            <w:hideMark/>
          </w:tcPr>
          <w:p w14:paraId="061A67DD"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Cs w:val="20"/>
              </w:rPr>
            </w:pPr>
            <w:r w:rsidRPr="00662116">
              <w:rPr>
                <w:rFonts w:ascii="Arial Narrow" w:hAnsi="Arial Narrow" w:cs="Arial"/>
                <w:b/>
                <w:color w:val="000000"/>
                <w:szCs w:val="20"/>
              </w:rPr>
              <w:t>$2,</w:t>
            </w:r>
            <w:r w:rsidR="00542182" w:rsidRPr="00662116">
              <w:rPr>
                <w:rFonts w:ascii="Arial Narrow" w:hAnsi="Arial Narrow" w:cs="Arial"/>
                <w:b/>
                <w:color w:val="000000"/>
                <w:szCs w:val="20"/>
              </w:rPr>
              <w:t>405</w:t>
            </w:r>
          </w:p>
        </w:tc>
        <w:tc>
          <w:tcPr>
            <w:tcW w:w="638" w:type="dxa"/>
            <w:noWrap/>
            <w:hideMark/>
          </w:tcPr>
          <w:p w14:paraId="3E0F38A4"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68FCBD9F"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430378FE"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77458841"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4189199A"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43A809AE"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20881ECC"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21122FA2"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51BA242E"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527" w:type="dxa"/>
          </w:tcPr>
          <w:p w14:paraId="6D0AD9BE" w14:textId="77777777" w:rsidR="00542182" w:rsidRPr="00662116" w:rsidRDefault="00542182" w:rsidP="00542182">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r>
    </w:tbl>
    <w:p w14:paraId="2360AC3D" w14:textId="77777777" w:rsidR="00244626" w:rsidRDefault="00244626" w:rsidP="00662116">
      <w:pPr>
        <w:keepNext/>
        <w:autoSpaceDE w:val="0"/>
        <w:autoSpaceDN w:val="0"/>
        <w:adjustRightInd w:val="0"/>
        <w:spacing w:line="240" w:lineRule="auto"/>
        <w:rPr>
          <w:rFonts w:cs="Arial"/>
          <w:bCs/>
          <w:szCs w:val="20"/>
        </w:rPr>
      </w:pPr>
    </w:p>
    <w:tbl>
      <w:tblPr>
        <w:tblStyle w:val="EnergyTable1"/>
        <w:tblW w:w="9576" w:type="dxa"/>
        <w:tblLook w:val="04A0" w:firstRow="1" w:lastRow="0" w:firstColumn="1" w:lastColumn="0" w:noHBand="0" w:noVBand="1"/>
      </w:tblPr>
      <w:tblGrid>
        <w:gridCol w:w="2435"/>
        <w:gridCol w:w="800"/>
        <w:gridCol w:w="634"/>
        <w:gridCol w:w="634"/>
        <w:gridCol w:w="634"/>
        <w:gridCol w:w="634"/>
        <w:gridCol w:w="634"/>
        <w:gridCol w:w="634"/>
        <w:gridCol w:w="634"/>
        <w:gridCol w:w="634"/>
        <w:gridCol w:w="635"/>
        <w:gridCol w:w="634"/>
      </w:tblGrid>
      <w:tr w:rsidR="00514DB0" w:rsidRPr="00662116" w14:paraId="113EE596" w14:textId="77777777" w:rsidTr="00110120">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noWrap/>
            <w:hideMark/>
          </w:tcPr>
          <w:p w14:paraId="4EBC538F" w14:textId="77777777" w:rsidR="00514DB0" w:rsidRPr="00662116" w:rsidRDefault="00514DB0" w:rsidP="00662116">
            <w:pPr>
              <w:keepNext/>
              <w:spacing w:line="240" w:lineRule="auto"/>
              <w:jc w:val="left"/>
              <w:rPr>
                <w:rFonts w:ascii="Arial Narrow" w:hAnsi="Arial Narrow" w:cs="Arial"/>
                <w:bCs/>
                <w:szCs w:val="20"/>
              </w:rPr>
            </w:pPr>
            <w:r w:rsidRPr="00662116">
              <w:rPr>
                <w:rFonts w:ascii="Arial Narrow" w:hAnsi="Arial Narrow" w:cs="Arial"/>
                <w:bCs/>
                <w:szCs w:val="20"/>
              </w:rPr>
              <w:t xml:space="preserve">Efficient Technology </w:t>
            </w:r>
          </w:p>
        </w:tc>
        <w:tc>
          <w:tcPr>
            <w:tcW w:w="6507" w:type="dxa"/>
            <w:gridSpan w:val="10"/>
            <w:noWrap/>
            <w:hideMark/>
          </w:tcPr>
          <w:p w14:paraId="29DE8605" w14:textId="77777777" w:rsidR="00514DB0" w:rsidRPr="00662116" w:rsidRDefault="00514DB0" w:rsidP="00514DB0">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62116">
              <w:rPr>
                <w:rFonts w:ascii="Arial Narrow" w:hAnsi="Arial Narrow" w:cs="Arial"/>
                <w:szCs w:val="20"/>
              </w:rPr>
              <w:t> </w:t>
            </w:r>
          </w:p>
        </w:tc>
        <w:tc>
          <w:tcPr>
            <w:tcW w:w="634" w:type="dxa"/>
          </w:tcPr>
          <w:p w14:paraId="58C824F6" w14:textId="77777777" w:rsidR="00514DB0" w:rsidRPr="00662116" w:rsidRDefault="00514DB0" w:rsidP="00514DB0">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p>
        </w:tc>
      </w:tr>
      <w:tr w:rsidR="00514DB0" w:rsidRPr="00662116" w14:paraId="14AB315D" w14:textId="77777777" w:rsidTr="001101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noWrap/>
            <w:hideMark/>
          </w:tcPr>
          <w:p w14:paraId="34FA5467" w14:textId="77777777" w:rsidR="00514DB0" w:rsidRPr="00662116" w:rsidRDefault="00514DB0" w:rsidP="00514DB0">
            <w:pPr>
              <w:keepNext/>
              <w:spacing w:line="240" w:lineRule="auto"/>
              <w:rPr>
                <w:rFonts w:ascii="Arial Narrow" w:hAnsi="Arial Narrow" w:cs="Arial"/>
                <w:b/>
                <w:bCs/>
                <w:color w:val="000000"/>
                <w:szCs w:val="20"/>
              </w:rPr>
            </w:pPr>
            <w:r w:rsidRPr="00662116">
              <w:rPr>
                <w:rFonts w:ascii="Arial Narrow" w:hAnsi="Arial Narrow" w:cs="Arial"/>
                <w:b/>
                <w:bCs/>
                <w:color w:val="000000"/>
                <w:szCs w:val="20"/>
              </w:rPr>
              <w:t xml:space="preserve">Year </w:t>
            </w:r>
          </w:p>
        </w:tc>
        <w:tc>
          <w:tcPr>
            <w:tcW w:w="800" w:type="dxa"/>
            <w:noWrap/>
            <w:hideMark/>
          </w:tcPr>
          <w:p w14:paraId="0284D401"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0</w:t>
            </w:r>
          </w:p>
        </w:tc>
        <w:tc>
          <w:tcPr>
            <w:tcW w:w="634" w:type="dxa"/>
            <w:noWrap/>
            <w:hideMark/>
          </w:tcPr>
          <w:p w14:paraId="3CC5E302"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1</w:t>
            </w:r>
          </w:p>
        </w:tc>
        <w:tc>
          <w:tcPr>
            <w:tcW w:w="634" w:type="dxa"/>
            <w:noWrap/>
            <w:hideMark/>
          </w:tcPr>
          <w:p w14:paraId="0EA2A9DC"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2</w:t>
            </w:r>
          </w:p>
        </w:tc>
        <w:tc>
          <w:tcPr>
            <w:tcW w:w="634" w:type="dxa"/>
            <w:noWrap/>
            <w:hideMark/>
          </w:tcPr>
          <w:p w14:paraId="115B1725"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3</w:t>
            </w:r>
          </w:p>
        </w:tc>
        <w:tc>
          <w:tcPr>
            <w:tcW w:w="634" w:type="dxa"/>
            <w:noWrap/>
            <w:hideMark/>
          </w:tcPr>
          <w:p w14:paraId="6E939F16"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4</w:t>
            </w:r>
          </w:p>
        </w:tc>
        <w:tc>
          <w:tcPr>
            <w:tcW w:w="634" w:type="dxa"/>
            <w:noWrap/>
            <w:hideMark/>
          </w:tcPr>
          <w:p w14:paraId="304AF51F"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5</w:t>
            </w:r>
          </w:p>
        </w:tc>
        <w:tc>
          <w:tcPr>
            <w:tcW w:w="634" w:type="dxa"/>
            <w:noWrap/>
            <w:hideMark/>
          </w:tcPr>
          <w:p w14:paraId="46AA6FEB"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6</w:t>
            </w:r>
          </w:p>
        </w:tc>
        <w:tc>
          <w:tcPr>
            <w:tcW w:w="634" w:type="dxa"/>
            <w:noWrap/>
            <w:hideMark/>
          </w:tcPr>
          <w:p w14:paraId="1394530E"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7</w:t>
            </w:r>
          </w:p>
        </w:tc>
        <w:tc>
          <w:tcPr>
            <w:tcW w:w="634" w:type="dxa"/>
            <w:noWrap/>
            <w:hideMark/>
          </w:tcPr>
          <w:p w14:paraId="3C42FAE8"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8</w:t>
            </w:r>
          </w:p>
        </w:tc>
        <w:tc>
          <w:tcPr>
            <w:tcW w:w="634" w:type="dxa"/>
            <w:noWrap/>
            <w:hideMark/>
          </w:tcPr>
          <w:p w14:paraId="70A0604F"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9</w:t>
            </w:r>
          </w:p>
        </w:tc>
        <w:tc>
          <w:tcPr>
            <w:tcW w:w="634" w:type="dxa"/>
          </w:tcPr>
          <w:p w14:paraId="539BA238"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10</w:t>
            </w:r>
          </w:p>
        </w:tc>
      </w:tr>
      <w:tr w:rsidR="004A09CC" w:rsidRPr="00662116" w14:paraId="500CF4C4" w14:textId="77777777" w:rsidTr="0066211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noWrap/>
            <w:hideMark/>
          </w:tcPr>
          <w:p w14:paraId="0691694C"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Efficient Equipment Cost </w:t>
            </w:r>
          </w:p>
        </w:tc>
        <w:tc>
          <w:tcPr>
            <w:tcW w:w="800" w:type="dxa"/>
            <w:noWrap/>
            <w:vAlign w:val="top"/>
            <w:hideMark/>
          </w:tcPr>
          <w:p w14:paraId="1381380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$1,250</w:t>
            </w:r>
          </w:p>
        </w:tc>
        <w:tc>
          <w:tcPr>
            <w:tcW w:w="634" w:type="dxa"/>
            <w:noWrap/>
            <w:vAlign w:val="top"/>
            <w:hideMark/>
          </w:tcPr>
          <w:p w14:paraId="5F4FB0A5"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0F38A20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0AADAD16"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43D5C8B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7B82A06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5D513E0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10C66B7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2714850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594103A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vAlign w:val="top"/>
          </w:tcPr>
          <w:p w14:paraId="2E355BB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r>
      <w:tr w:rsidR="00662116" w:rsidRPr="00662116" w14:paraId="59316D93" w14:textId="77777777" w:rsidTr="001101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tcBorders>
              <w:bottom w:val="single" w:sz="8" w:space="0" w:color="808080" w:themeColor="background1" w:themeShade="80"/>
            </w:tcBorders>
            <w:noWrap/>
            <w:hideMark/>
          </w:tcPr>
          <w:p w14:paraId="1C16E942"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Energy Cost </w:t>
            </w:r>
          </w:p>
        </w:tc>
        <w:tc>
          <w:tcPr>
            <w:tcW w:w="800" w:type="dxa"/>
            <w:tcBorders>
              <w:bottom w:val="single" w:sz="8" w:space="0" w:color="808080" w:themeColor="background1" w:themeShade="80"/>
            </w:tcBorders>
            <w:noWrap/>
            <w:vAlign w:val="top"/>
            <w:hideMark/>
          </w:tcPr>
          <w:p w14:paraId="35FF4B97"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tcBorders>
              <w:bottom w:val="single" w:sz="8" w:space="0" w:color="808080" w:themeColor="background1" w:themeShade="80"/>
            </w:tcBorders>
            <w:noWrap/>
            <w:vAlign w:val="top"/>
            <w:hideMark/>
          </w:tcPr>
          <w:p w14:paraId="1E03A5B1"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0CF835DF"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293752D4"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4A7145F0"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7694E77E"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4981CEC6"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13E66177"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0835DC6A"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noWrap/>
            <w:vAlign w:val="top"/>
            <w:hideMark/>
          </w:tcPr>
          <w:p w14:paraId="15557B3E"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bottom w:val="single" w:sz="8" w:space="0" w:color="808080" w:themeColor="background1" w:themeShade="80"/>
            </w:tcBorders>
            <w:vAlign w:val="top"/>
          </w:tcPr>
          <w:p w14:paraId="0B65BDDD"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4A09CC" w:rsidRPr="00662116" w14:paraId="6FA01B58" w14:textId="77777777" w:rsidTr="0066211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tcBorders>
              <w:top w:val="single" w:sz="8" w:space="0" w:color="808080" w:themeColor="background1" w:themeShade="80"/>
              <w:bottom w:val="single" w:sz="4" w:space="0" w:color="DCDDDE"/>
            </w:tcBorders>
            <w:noWrap/>
            <w:hideMark/>
          </w:tcPr>
          <w:p w14:paraId="58457346"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Total Cash Out </w:t>
            </w:r>
          </w:p>
        </w:tc>
        <w:tc>
          <w:tcPr>
            <w:tcW w:w="800" w:type="dxa"/>
            <w:tcBorders>
              <w:top w:val="single" w:sz="8" w:space="0" w:color="808080" w:themeColor="background1" w:themeShade="80"/>
              <w:bottom w:val="single" w:sz="4" w:space="0" w:color="DCDDDE"/>
            </w:tcBorders>
            <w:noWrap/>
            <w:vAlign w:val="top"/>
            <w:hideMark/>
          </w:tcPr>
          <w:p w14:paraId="7B641A38"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$1,250</w:t>
            </w:r>
          </w:p>
        </w:tc>
        <w:tc>
          <w:tcPr>
            <w:tcW w:w="634" w:type="dxa"/>
            <w:tcBorders>
              <w:top w:val="single" w:sz="8" w:space="0" w:color="808080" w:themeColor="background1" w:themeShade="80"/>
              <w:bottom w:val="single" w:sz="4" w:space="0" w:color="DCDDDE"/>
            </w:tcBorders>
            <w:noWrap/>
            <w:vAlign w:val="top"/>
            <w:hideMark/>
          </w:tcPr>
          <w:p w14:paraId="4A4ED5B9"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4D69EBF4"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738DCFF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22715A1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719A8A02"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50AD648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26F5E41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423CDCF0"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33F4CA1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vAlign w:val="top"/>
          </w:tcPr>
          <w:p w14:paraId="50F8B0B6"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662116" w:rsidRPr="00662116" w14:paraId="7212FEF0" w14:textId="77777777" w:rsidTr="001101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tcBorders>
              <w:top w:val="single" w:sz="4" w:space="0" w:color="DCDDDE"/>
            </w:tcBorders>
            <w:noWrap/>
            <w:hideMark/>
          </w:tcPr>
          <w:p w14:paraId="6C45E804"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Present Value</w:t>
            </w:r>
          </w:p>
        </w:tc>
        <w:tc>
          <w:tcPr>
            <w:tcW w:w="800" w:type="dxa"/>
            <w:tcBorders>
              <w:top w:val="single" w:sz="4" w:space="0" w:color="DCDDDE"/>
            </w:tcBorders>
            <w:noWrap/>
            <w:vAlign w:val="top"/>
            <w:hideMark/>
          </w:tcPr>
          <w:p w14:paraId="50E2D4C4"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$1,250</w:t>
            </w:r>
          </w:p>
        </w:tc>
        <w:tc>
          <w:tcPr>
            <w:tcW w:w="634" w:type="dxa"/>
            <w:tcBorders>
              <w:top w:val="single" w:sz="4" w:space="0" w:color="DCDDDE"/>
            </w:tcBorders>
            <w:noWrap/>
            <w:vAlign w:val="top"/>
            <w:hideMark/>
          </w:tcPr>
          <w:p w14:paraId="29095206"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$117</w:t>
            </w:r>
          </w:p>
        </w:tc>
        <w:tc>
          <w:tcPr>
            <w:tcW w:w="634" w:type="dxa"/>
            <w:tcBorders>
              <w:top w:val="single" w:sz="4" w:space="0" w:color="DCDDDE"/>
            </w:tcBorders>
            <w:noWrap/>
            <w:vAlign w:val="top"/>
            <w:hideMark/>
          </w:tcPr>
          <w:p w14:paraId="659C7C74"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$109</w:t>
            </w:r>
          </w:p>
        </w:tc>
        <w:tc>
          <w:tcPr>
            <w:tcW w:w="634" w:type="dxa"/>
            <w:tcBorders>
              <w:top w:val="single" w:sz="4" w:space="0" w:color="DCDDDE"/>
            </w:tcBorders>
            <w:noWrap/>
            <w:vAlign w:val="top"/>
            <w:hideMark/>
          </w:tcPr>
          <w:p w14:paraId="3F5F6AE6"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$102</w:t>
            </w:r>
          </w:p>
        </w:tc>
        <w:tc>
          <w:tcPr>
            <w:tcW w:w="634" w:type="dxa"/>
            <w:tcBorders>
              <w:top w:val="single" w:sz="4" w:space="0" w:color="DCDDDE"/>
            </w:tcBorders>
            <w:noWrap/>
            <w:vAlign w:val="top"/>
            <w:hideMark/>
          </w:tcPr>
          <w:p w14:paraId="4A94BD97"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$95</w:t>
            </w:r>
          </w:p>
        </w:tc>
        <w:tc>
          <w:tcPr>
            <w:tcW w:w="634" w:type="dxa"/>
            <w:tcBorders>
              <w:top w:val="single" w:sz="4" w:space="0" w:color="DCDDDE"/>
            </w:tcBorders>
            <w:noWrap/>
            <w:vAlign w:val="top"/>
            <w:hideMark/>
          </w:tcPr>
          <w:p w14:paraId="473A20FF"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$89</w:t>
            </w:r>
          </w:p>
        </w:tc>
        <w:tc>
          <w:tcPr>
            <w:tcW w:w="634" w:type="dxa"/>
            <w:tcBorders>
              <w:top w:val="single" w:sz="4" w:space="0" w:color="DCDDDE"/>
            </w:tcBorders>
            <w:noWrap/>
            <w:vAlign w:val="top"/>
            <w:hideMark/>
          </w:tcPr>
          <w:p w14:paraId="1C10B9FF"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$83</w:t>
            </w:r>
          </w:p>
        </w:tc>
        <w:tc>
          <w:tcPr>
            <w:tcW w:w="634" w:type="dxa"/>
            <w:tcBorders>
              <w:top w:val="single" w:sz="4" w:space="0" w:color="DCDDDE"/>
            </w:tcBorders>
            <w:noWrap/>
            <w:vAlign w:val="top"/>
            <w:hideMark/>
          </w:tcPr>
          <w:p w14:paraId="48BC1991"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$78</w:t>
            </w:r>
          </w:p>
        </w:tc>
        <w:tc>
          <w:tcPr>
            <w:tcW w:w="634" w:type="dxa"/>
            <w:tcBorders>
              <w:top w:val="single" w:sz="4" w:space="0" w:color="DCDDDE"/>
            </w:tcBorders>
            <w:noWrap/>
            <w:vAlign w:val="top"/>
            <w:hideMark/>
          </w:tcPr>
          <w:p w14:paraId="732DB6C6"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$73</w:t>
            </w:r>
          </w:p>
        </w:tc>
        <w:tc>
          <w:tcPr>
            <w:tcW w:w="634" w:type="dxa"/>
            <w:tcBorders>
              <w:top w:val="single" w:sz="4" w:space="0" w:color="DCDDDE"/>
            </w:tcBorders>
            <w:noWrap/>
            <w:vAlign w:val="top"/>
            <w:hideMark/>
          </w:tcPr>
          <w:p w14:paraId="3BC9C7BC"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$68</w:t>
            </w:r>
          </w:p>
        </w:tc>
        <w:tc>
          <w:tcPr>
            <w:tcW w:w="634" w:type="dxa"/>
            <w:tcBorders>
              <w:top w:val="single" w:sz="4" w:space="0" w:color="DCDDDE"/>
            </w:tcBorders>
            <w:vAlign w:val="top"/>
          </w:tcPr>
          <w:p w14:paraId="4700503D"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$64</w:t>
            </w:r>
          </w:p>
        </w:tc>
      </w:tr>
      <w:tr w:rsidR="004A09CC" w:rsidRPr="00662116" w14:paraId="5B0BFE79" w14:textId="77777777" w:rsidTr="0066211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noWrap/>
            <w:hideMark/>
          </w:tcPr>
          <w:p w14:paraId="5DCB21AA" w14:textId="77777777" w:rsidR="00514DB0" w:rsidRPr="00662116" w:rsidRDefault="00514DB0" w:rsidP="00514DB0">
            <w:pPr>
              <w:keepNext/>
              <w:spacing w:line="240" w:lineRule="auto"/>
              <w:jc w:val="left"/>
              <w:rPr>
                <w:rFonts w:ascii="Arial Narrow" w:hAnsi="Arial Narrow" w:cs="Arial"/>
                <w:b/>
                <w:bCs/>
                <w:color w:val="000000"/>
                <w:szCs w:val="20"/>
              </w:rPr>
            </w:pPr>
            <w:r w:rsidRPr="00662116">
              <w:rPr>
                <w:rFonts w:ascii="Arial Narrow" w:hAnsi="Arial Narrow" w:cs="Arial"/>
                <w:b/>
                <w:bCs/>
                <w:color w:val="000000"/>
                <w:szCs w:val="20"/>
              </w:rPr>
              <w:t>Net Present Value Cost</w:t>
            </w:r>
          </w:p>
        </w:tc>
        <w:tc>
          <w:tcPr>
            <w:tcW w:w="800" w:type="dxa"/>
            <w:noWrap/>
            <w:vAlign w:val="top"/>
            <w:hideMark/>
          </w:tcPr>
          <w:p w14:paraId="54D766E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Cs w:val="20"/>
              </w:rPr>
            </w:pPr>
            <w:r w:rsidRPr="00662116">
              <w:rPr>
                <w:rFonts w:ascii="Arial Narrow" w:hAnsi="Arial Narrow"/>
                <w:b/>
              </w:rPr>
              <w:t>$2,128</w:t>
            </w:r>
          </w:p>
        </w:tc>
        <w:tc>
          <w:tcPr>
            <w:tcW w:w="634" w:type="dxa"/>
            <w:noWrap/>
            <w:vAlign w:val="top"/>
            <w:hideMark/>
          </w:tcPr>
          <w:p w14:paraId="669468B6"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66820D6B"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2649B304"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74655E91"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6FE9D0C4"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77FAE536"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6F384C1D"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5DCCEC58"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1993D6E5"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vAlign w:val="top"/>
          </w:tcPr>
          <w:p w14:paraId="57A7CA62"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r>
    </w:tbl>
    <w:p w14:paraId="762E3EDF" w14:textId="77777777" w:rsidR="00514DB0" w:rsidRDefault="00514DB0" w:rsidP="00662116">
      <w:pPr>
        <w:keepNext/>
        <w:autoSpaceDE w:val="0"/>
        <w:autoSpaceDN w:val="0"/>
        <w:adjustRightInd w:val="0"/>
        <w:spacing w:line="240" w:lineRule="auto"/>
        <w:rPr>
          <w:rFonts w:cs="Arial"/>
          <w:bCs/>
          <w:szCs w:val="20"/>
        </w:rPr>
      </w:pPr>
    </w:p>
    <w:tbl>
      <w:tblPr>
        <w:tblStyle w:val="EnergyTable1"/>
        <w:tblW w:w="9564" w:type="dxa"/>
        <w:tblLook w:val="04A0" w:firstRow="1" w:lastRow="0" w:firstColumn="1" w:lastColumn="0" w:noHBand="0" w:noVBand="1"/>
      </w:tblPr>
      <w:tblGrid>
        <w:gridCol w:w="2432"/>
        <w:gridCol w:w="799"/>
        <w:gridCol w:w="633"/>
        <w:gridCol w:w="633"/>
        <w:gridCol w:w="633"/>
        <w:gridCol w:w="633"/>
        <w:gridCol w:w="633"/>
        <w:gridCol w:w="633"/>
        <w:gridCol w:w="633"/>
        <w:gridCol w:w="633"/>
        <w:gridCol w:w="633"/>
        <w:gridCol w:w="636"/>
      </w:tblGrid>
      <w:tr w:rsidR="00514DB0" w:rsidRPr="00662116" w14:paraId="0D33B063" w14:textId="77777777" w:rsidTr="00110120">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64" w:type="dxa"/>
            <w:gridSpan w:val="12"/>
            <w:noWrap/>
            <w:hideMark/>
          </w:tcPr>
          <w:p w14:paraId="672EE5D3" w14:textId="77777777" w:rsidR="00514DB0" w:rsidRPr="00662116" w:rsidRDefault="00514DB0" w:rsidP="00662116">
            <w:pPr>
              <w:keepNext/>
              <w:spacing w:line="240" w:lineRule="auto"/>
              <w:jc w:val="left"/>
              <w:rPr>
                <w:rFonts w:ascii="Arial Narrow" w:hAnsi="Arial Narrow" w:cs="Arial"/>
                <w:szCs w:val="20"/>
              </w:rPr>
            </w:pPr>
            <w:r w:rsidRPr="00662116">
              <w:rPr>
                <w:rFonts w:ascii="Arial Narrow" w:hAnsi="Arial Narrow" w:cs="Arial"/>
                <w:bCs/>
                <w:szCs w:val="20"/>
              </w:rPr>
              <w:t xml:space="preserve">Efficient Technology with Financing </w:t>
            </w:r>
            <w:r w:rsidRPr="00662116">
              <w:rPr>
                <w:rFonts w:ascii="Arial Narrow" w:hAnsi="Arial Narrow" w:cs="Arial"/>
                <w:szCs w:val="20"/>
              </w:rPr>
              <w:t> </w:t>
            </w:r>
          </w:p>
        </w:tc>
      </w:tr>
      <w:tr w:rsidR="00514DB0" w:rsidRPr="00662116" w14:paraId="36C71D6E" w14:textId="77777777" w:rsidTr="001101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noWrap/>
            <w:vAlign w:val="top"/>
            <w:hideMark/>
          </w:tcPr>
          <w:p w14:paraId="13028C8D" w14:textId="77777777" w:rsidR="00514DB0" w:rsidRPr="00662116" w:rsidRDefault="00514DB0" w:rsidP="00514DB0">
            <w:pPr>
              <w:keepNext/>
              <w:spacing w:line="240" w:lineRule="auto"/>
              <w:rPr>
                <w:rFonts w:ascii="Arial Narrow" w:hAnsi="Arial Narrow" w:cs="Arial"/>
                <w:b/>
                <w:bCs/>
                <w:color w:val="000000"/>
                <w:szCs w:val="20"/>
              </w:rPr>
            </w:pPr>
            <w:r w:rsidRPr="00662116">
              <w:rPr>
                <w:rFonts w:ascii="Arial Narrow" w:hAnsi="Arial Narrow"/>
              </w:rPr>
              <w:t xml:space="preserve">Year </w:t>
            </w:r>
          </w:p>
        </w:tc>
        <w:tc>
          <w:tcPr>
            <w:tcW w:w="799" w:type="dxa"/>
            <w:noWrap/>
            <w:vAlign w:val="top"/>
            <w:hideMark/>
          </w:tcPr>
          <w:p w14:paraId="63D6B4BE"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0</w:t>
            </w:r>
          </w:p>
        </w:tc>
        <w:tc>
          <w:tcPr>
            <w:tcW w:w="633" w:type="dxa"/>
            <w:noWrap/>
            <w:vAlign w:val="top"/>
            <w:hideMark/>
          </w:tcPr>
          <w:p w14:paraId="3EE0CDB7"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1</w:t>
            </w:r>
          </w:p>
        </w:tc>
        <w:tc>
          <w:tcPr>
            <w:tcW w:w="633" w:type="dxa"/>
            <w:noWrap/>
            <w:vAlign w:val="top"/>
            <w:hideMark/>
          </w:tcPr>
          <w:p w14:paraId="5140C683"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2</w:t>
            </w:r>
          </w:p>
        </w:tc>
        <w:tc>
          <w:tcPr>
            <w:tcW w:w="633" w:type="dxa"/>
            <w:noWrap/>
            <w:vAlign w:val="top"/>
            <w:hideMark/>
          </w:tcPr>
          <w:p w14:paraId="3D0C720C"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3</w:t>
            </w:r>
          </w:p>
        </w:tc>
        <w:tc>
          <w:tcPr>
            <w:tcW w:w="633" w:type="dxa"/>
            <w:noWrap/>
            <w:vAlign w:val="top"/>
            <w:hideMark/>
          </w:tcPr>
          <w:p w14:paraId="218003C3"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4</w:t>
            </w:r>
          </w:p>
        </w:tc>
        <w:tc>
          <w:tcPr>
            <w:tcW w:w="633" w:type="dxa"/>
            <w:noWrap/>
            <w:vAlign w:val="top"/>
            <w:hideMark/>
          </w:tcPr>
          <w:p w14:paraId="471D1BAB"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5</w:t>
            </w:r>
          </w:p>
        </w:tc>
        <w:tc>
          <w:tcPr>
            <w:tcW w:w="633" w:type="dxa"/>
            <w:noWrap/>
            <w:vAlign w:val="top"/>
            <w:hideMark/>
          </w:tcPr>
          <w:p w14:paraId="42BB4211"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6</w:t>
            </w:r>
          </w:p>
        </w:tc>
        <w:tc>
          <w:tcPr>
            <w:tcW w:w="633" w:type="dxa"/>
            <w:noWrap/>
            <w:vAlign w:val="top"/>
            <w:hideMark/>
          </w:tcPr>
          <w:p w14:paraId="24E262F0"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7</w:t>
            </w:r>
          </w:p>
        </w:tc>
        <w:tc>
          <w:tcPr>
            <w:tcW w:w="633" w:type="dxa"/>
            <w:noWrap/>
            <w:vAlign w:val="top"/>
            <w:hideMark/>
          </w:tcPr>
          <w:p w14:paraId="1BFA6615"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8</w:t>
            </w:r>
          </w:p>
        </w:tc>
        <w:tc>
          <w:tcPr>
            <w:tcW w:w="633" w:type="dxa"/>
            <w:noWrap/>
            <w:vAlign w:val="top"/>
            <w:hideMark/>
          </w:tcPr>
          <w:p w14:paraId="702B05BF"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9</w:t>
            </w:r>
          </w:p>
        </w:tc>
        <w:tc>
          <w:tcPr>
            <w:tcW w:w="636" w:type="dxa"/>
            <w:vAlign w:val="top"/>
          </w:tcPr>
          <w:p w14:paraId="3D887396"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10</w:t>
            </w:r>
          </w:p>
        </w:tc>
      </w:tr>
      <w:tr w:rsidR="004A09CC" w:rsidRPr="00662116" w14:paraId="595EF54E" w14:textId="77777777" w:rsidTr="007A098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noWrap/>
            <w:vAlign w:val="top"/>
            <w:hideMark/>
          </w:tcPr>
          <w:p w14:paraId="0FC0D9EF"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rPr>
              <w:t>Equipment Cost Financed</w:t>
            </w:r>
          </w:p>
        </w:tc>
        <w:tc>
          <w:tcPr>
            <w:tcW w:w="799" w:type="dxa"/>
            <w:noWrap/>
            <w:vAlign w:val="top"/>
            <w:hideMark/>
          </w:tcPr>
          <w:p w14:paraId="7475588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54D2F1F0"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3B98606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5FB8001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30E7C7D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46EB903A"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5608CF38"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2B02827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1A54EBE0"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46E9AA85"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6" w:type="dxa"/>
            <w:vAlign w:val="top"/>
          </w:tcPr>
          <w:p w14:paraId="0D3F885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r>
      <w:tr w:rsidR="00662116" w:rsidRPr="00662116" w14:paraId="24935ED4" w14:textId="77777777" w:rsidTr="001101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tcBorders>
              <w:bottom w:val="single" w:sz="8" w:space="0" w:color="808080" w:themeColor="background1" w:themeShade="80"/>
            </w:tcBorders>
            <w:noWrap/>
            <w:vAlign w:val="top"/>
            <w:hideMark/>
          </w:tcPr>
          <w:p w14:paraId="2AF5A0E8"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rPr>
              <w:t xml:space="preserve">Energy Cost </w:t>
            </w:r>
          </w:p>
        </w:tc>
        <w:tc>
          <w:tcPr>
            <w:tcW w:w="799" w:type="dxa"/>
            <w:tcBorders>
              <w:bottom w:val="single" w:sz="8" w:space="0" w:color="808080" w:themeColor="background1" w:themeShade="80"/>
            </w:tcBorders>
            <w:noWrap/>
            <w:vAlign w:val="top"/>
            <w:hideMark/>
          </w:tcPr>
          <w:p w14:paraId="2C2AA984"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3" w:type="dxa"/>
            <w:tcBorders>
              <w:bottom w:val="single" w:sz="8" w:space="0" w:color="808080" w:themeColor="background1" w:themeShade="80"/>
            </w:tcBorders>
            <w:noWrap/>
            <w:vAlign w:val="top"/>
            <w:hideMark/>
          </w:tcPr>
          <w:p w14:paraId="7BB6007F"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103DF649"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341E0299"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7E566445"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5351B037"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7FE1FF46"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1C0B23B5"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72659338"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3" w:type="dxa"/>
            <w:tcBorders>
              <w:bottom w:val="single" w:sz="8" w:space="0" w:color="808080" w:themeColor="background1" w:themeShade="80"/>
            </w:tcBorders>
            <w:noWrap/>
            <w:vAlign w:val="top"/>
            <w:hideMark/>
          </w:tcPr>
          <w:p w14:paraId="3DCDBB96"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6" w:type="dxa"/>
            <w:tcBorders>
              <w:bottom w:val="single" w:sz="8" w:space="0" w:color="808080" w:themeColor="background1" w:themeShade="80"/>
            </w:tcBorders>
            <w:vAlign w:val="top"/>
          </w:tcPr>
          <w:p w14:paraId="18A2473B"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4A09CC" w:rsidRPr="00662116" w14:paraId="27D24852" w14:textId="77777777" w:rsidTr="007A098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tcBorders>
              <w:top w:val="single" w:sz="8" w:space="0" w:color="808080" w:themeColor="background1" w:themeShade="80"/>
              <w:bottom w:val="single" w:sz="4" w:space="0" w:color="DCDDDE"/>
            </w:tcBorders>
            <w:noWrap/>
            <w:vAlign w:val="top"/>
            <w:hideMark/>
          </w:tcPr>
          <w:p w14:paraId="44A9ADED"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rPr>
              <w:t xml:space="preserve">Total Cash Out </w:t>
            </w:r>
          </w:p>
        </w:tc>
        <w:tc>
          <w:tcPr>
            <w:tcW w:w="799" w:type="dxa"/>
            <w:tcBorders>
              <w:top w:val="single" w:sz="8" w:space="0" w:color="808080" w:themeColor="background1" w:themeShade="80"/>
              <w:bottom w:val="single" w:sz="4" w:space="0" w:color="DCDDDE"/>
            </w:tcBorders>
            <w:noWrap/>
            <w:vAlign w:val="top"/>
            <w:hideMark/>
          </w:tcPr>
          <w:p w14:paraId="3C823EC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tcBorders>
              <w:top w:val="single" w:sz="8" w:space="0" w:color="808080" w:themeColor="background1" w:themeShade="80"/>
              <w:bottom w:val="single" w:sz="4" w:space="0" w:color="DCDDDE"/>
            </w:tcBorders>
            <w:noWrap/>
            <w:vAlign w:val="top"/>
            <w:hideMark/>
          </w:tcPr>
          <w:p w14:paraId="6BB03947"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62924DD4"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21C0B3B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78BBCE1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57DF5626"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2DF8D662"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3E453AA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00E701D7"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393E564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6" w:type="dxa"/>
            <w:tcBorders>
              <w:top w:val="single" w:sz="8" w:space="0" w:color="808080" w:themeColor="background1" w:themeShade="80"/>
              <w:bottom w:val="single" w:sz="4" w:space="0" w:color="DCDDDE"/>
            </w:tcBorders>
            <w:vAlign w:val="top"/>
          </w:tcPr>
          <w:p w14:paraId="2781562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7A098A" w:rsidRPr="00662116" w14:paraId="64AFAB64" w14:textId="77777777" w:rsidTr="001101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tcBorders>
              <w:top w:val="single" w:sz="4" w:space="0" w:color="DCDDDE"/>
            </w:tcBorders>
            <w:noWrap/>
            <w:hideMark/>
          </w:tcPr>
          <w:p w14:paraId="492D2FD4" w14:textId="77777777" w:rsidR="007A098A" w:rsidRPr="00662116" w:rsidRDefault="007A098A" w:rsidP="007A098A">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Present Value</w:t>
            </w:r>
          </w:p>
        </w:tc>
        <w:tc>
          <w:tcPr>
            <w:tcW w:w="799" w:type="dxa"/>
            <w:tcBorders>
              <w:top w:val="single" w:sz="4" w:space="0" w:color="DCDDDE"/>
            </w:tcBorders>
            <w:noWrap/>
            <w:vAlign w:val="top"/>
            <w:hideMark/>
          </w:tcPr>
          <w:p w14:paraId="6590C123"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tcBorders>
              <w:top w:val="single" w:sz="4" w:space="0" w:color="DCDDDE"/>
            </w:tcBorders>
            <w:noWrap/>
            <w:vAlign w:val="top"/>
            <w:hideMark/>
          </w:tcPr>
          <w:p w14:paraId="7D4E55D8"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$255</w:t>
            </w:r>
          </w:p>
        </w:tc>
        <w:tc>
          <w:tcPr>
            <w:tcW w:w="633" w:type="dxa"/>
            <w:tcBorders>
              <w:top w:val="single" w:sz="4" w:space="0" w:color="DCDDDE"/>
            </w:tcBorders>
            <w:noWrap/>
            <w:vAlign w:val="top"/>
            <w:hideMark/>
          </w:tcPr>
          <w:p w14:paraId="41404285"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$239</w:t>
            </w:r>
          </w:p>
        </w:tc>
        <w:tc>
          <w:tcPr>
            <w:tcW w:w="633" w:type="dxa"/>
            <w:tcBorders>
              <w:top w:val="single" w:sz="4" w:space="0" w:color="DCDDDE"/>
            </w:tcBorders>
            <w:noWrap/>
            <w:vAlign w:val="top"/>
            <w:hideMark/>
          </w:tcPr>
          <w:p w14:paraId="5944B651"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$223</w:t>
            </w:r>
          </w:p>
        </w:tc>
        <w:tc>
          <w:tcPr>
            <w:tcW w:w="633" w:type="dxa"/>
            <w:tcBorders>
              <w:top w:val="single" w:sz="4" w:space="0" w:color="DCDDDE"/>
            </w:tcBorders>
            <w:noWrap/>
            <w:vAlign w:val="top"/>
            <w:hideMark/>
          </w:tcPr>
          <w:p w14:paraId="3C131EA3"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$208</w:t>
            </w:r>
          </w:p>
        </w:tc>
        <w:tc>
          <w:tcPr>
            <w:tcW w:w="633" w:type="dxa"/>
            <w:tcBorders>
              <w:top w:val="single" w:sz="4" w:space="0" w:color="DCDDDE"/>
            </w:tcBorders>
            <w:noWrap/>
            <w:vAlign w:val="top"/>
            <w:hideMark/>
          </w:tcPr>
          <w:p w14:paraId="448B2B8E"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$195</w:t>
            </w:r>
          </w:p>
        </w:tc>
        <w:tc>
          <w:tcPr>
            <w:tcW w:w="633" w:type="dxa"/>
            <w:tcBorders>
              <w:top w:val="single" w:sz="4" w:space="0" w:color="DCDDDE"/>
            </w:tcBorders>
            <w:noWrap/>
            <w:vAlign w:val="top"/>
            <w:hideMark/>
          </w:tcPr>
          <w:p w14:paraId="2A12C659"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$182</w:t>
            </w:r>
          </w:p>
        </w:tc>
        <w:tc>
          <w:tcPr>
            <w:tcW w:w="633" w:type="dxa"/>
            <w:tcBorders>
              <w:top w:val="single" w:sz="4" w:space="0" w:color="DCDDDE"/>
            </w:tcBorders>
            <w:noWrap/>
            <w:vAlign w:val="top"/>
            <w:hideMark/>
          </w:tcPr>
          <w:p w14:paraId="2D4FFD0E"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$170</w:t>
            </w:r>
          </w:p>
        </w:tc>
        <w:tc>
          <w:tcPr>
            <w:tcW w:w="633" w:type="dxa"/>
            <w:tcBorders>
              <w:top w:val="single" w:sz="4" w:space="0" w:color="DCDDDE"/>
            </w:tcBorders>
            <w:noWrap/>
            <w:vAlign w:val="top"/>
            <w:hideMark/>
          </w:tcPr>
          <w:p w14:paraId="70ABC8D1"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$159</w:t>
            </w:r>
          </w:p>
        </w:tc>
        <w:tc>
          <w:tcPr>
            <w:tcW w:w="633" w:type="dxa"/>
            <w:tcBorders>
              <w:top w:val="single" w:sz="4" w:space="0" w:color="DCDDDE"/>
            </w:tcBorders>
            <w:noWrap/>
            <w:vAlign w:val="top"/>
            <w:hideMark/>
          </w:tcPr>
          <w:p w14:paraId="0943E5C0"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$149</w:t>
            </w:r>
          </w:p>
        </w:tc>
        <w:tc>
          <w:tcPr>
            <w:tcW w:w="636" w:type="dxa"/>
            <w:tcBorders>
              <w:top w:val="single" w:sz="4" w:space="0" w:color="DCDDDE"/>
            </w:tcBorders>
            <w:vAlign w:val="top"/>
          </w:tcPr>
          <w:p w14:paraId="0CD1B8EA"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$64</w:t>
            </w:r>
          </w:p>
        </w:tc>
      </w:tr>
      <w:tr w:rsidR="004A09CC" w:rsidRPr="00662116" w14:paraId="4A7993E3" w14:textId="77777777" w:rsidTr="007A098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noWrap/>
            <w:vAlign w:val="top"/>
            <w:hideMark/>
          </w:tcPr>
          <w:p w14:paraId="424F18FC" w14:textId="77777777" w:rsidR="00514DB0" w:rsidRPr="00662116" w:rsidRDefault="00514DB0" w:rsidP="00514DB0">
            <w:pPr>
              <w:keepNext/>
              <w:spacing w:line="240" w:lineRule="auto"/>
              <w:jc w:val="left"/>
              <w:rPr>
                <w:rFonts w:ascii="Arial Narrow" w:hAnsi="Arial Narrow" w:cs="Arial"/>
                <w:b/>
                <w:bCs/>
                <w:color w:val="000000"/>
                <w:szCs w:val="20"/>
              </w:rPr>
            </w:pPr>
            <w:r w:rsidRPr="00662116">
              <w:rPr>
                <w:rFonts w:ascii="Arial Narrow" w:hAnsi="Arial Narrow"/>
                <w:b/>
              </w:rPr>
              <w:t xml:space="preserve">Net Present Value </w:t>
            </w:r>
          </w:p>
        </w:tc>
        <w:tc>
          <w:tcPr>
            <w:tcW w:w="799" w:type="dxa"/>
            <w:noWrap/>
            <w:vAlign w:val="top"/>
            <w:hideMark/>
          </w:tcPr>
          <w:p w14:paraId="6F7E4679"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Cs w:val="20"/>
              </w:rPr>
            </w:pPr>
            <w:r w:rsidRPr="00662116">
              <w:rPr>
                <w:rFonts w:ascii="Arial Narrow" w:hAnsi="Arial Narrow"/>
                <w:b/>
              </w:rPr>
              <w:t>$1,992</w:t>
            </w:r>
          </w:p>
        </w:tc>
        <w:tc>
          <w:tcPr>
            <w:tcW w:w="633" w:type="dxa"/>
            <w:noWrap/>
            <w:vAlign w:val="top"/>
            <w:hideMark/>
          </w:tcPr>
          <w:p w14:paraId="5A62825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10305E71"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2AA3C60E"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67F1D8FB"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441E037A"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4E78478C"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775D92BC"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5BD31E12"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4D358868"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6" w:type="dxa"/>
            <w:vAlign w:val="top"/>
          </w:tcPr>
          <w:p w14:paraId="19BEDEE4"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r>
    </w:tbl>
    <w:p w14:paraId="352B5B1C" w14:textId="77777777" w:rsidR="00244626" w:rsidRDefault="00244626" w:rsidP="00662116">
      <w:pPr>
        <w:keepNext/>
        <w:autoSpaceDE w:val="0"/>
        <w:autoSpaceDN w:val="0"/>
        <w:adjustRightInd w:val="0"/>
        <w:spacing w:line="240" w:lineRule="auto"/>
        <w:rPr>
          <w:rFonts w:cs="Arial"/>
          <w:bCs/>
          <w:szCs w:val="20"/>
        </w:rPr>
      </w:pPr>
    </w:p>
    <w:p w14:paraId="5B530D5F" w14:textId="7E313C3F" w:rsidR="00244626" w:rsidRDefault="00B348CC" w:rsidP="00AA58B2">
      <w:pPr>
        <w:rPr>
          <w:rFonts w:cs="Arial"/>
          <w:bCs/>
          <w:szCs w:val="20"/>
        </w:rPr>
      </w:pPr>
      <w:r>
        <w:rPr>
          <w:rFonts w:cs="Arial"/>
          <w:bCs/>
          <w:szCs w:val="20"/>
        </w:rPr>
        <w:t xml:space="preserve">The modified cash flows feed into the calculation of consumer willingness (described earlier in </w:t>
      </w:r>
      <w:r>
        <w:fldChar w:fldCharType="begin"/>
      </w:r>
      <w:r>
        <w:instrText xml:space="preserve"> REF _Ref481682182 \n \h </w:instrText>
      </w:r>
      <w:r w:rsidR="00AA58B2">
        <w:instrText xml:space="preserve"> \* MERGEFORMAT </w:instrText>
      </w:r>
      <w:r>
        <w:fldChar w:fldCharType="separate"/>
      </w:r>
      <w:r w:rsidR="00C407F4">
        <w:t>2.1.1.4</w:t>
      </w:r>
      <w:r>
        <w:fldChar w:fldCharType="end"/>
      </w:r>
      <w:r>
        <w:t>)</w:t>
      </w:r>
      <w:r w:rsidR="00B73F53">
        <w:t xml:space="preserve"> by representing the effective present value of financing to the customer as a fraction of the upfront cost</w:t>
      </w:r>
      <w:r>
        <w:t>.</w:t>
      </w:r>
      <w:r>
        <w:rPr>
          <w:rFonts w:cs="Arial"/>
          <w:bCs/>
          <w:szCs w:val="20"/>
        </w:rPr>
        <w:t xml:space="preserve"> Increasing willingness results in higher adoption of EE measures and thus more savings. The model does not estimate technical or economic potential of financing, only market potential.  </w:t>
      </w:r>
    </w:p>
    <w:p w14:paraId="1C34EB4D" w14:textId="77777777" w:rsidR="00B63C13" w:rsidRDefault="00B63C13" w:rsidP="00B63C13">
      <w:pPr>
        <w:pStyle w:val="Heading2"/>
      </w:pPr>
      <w:bookmarkStart w:id="273" w:name="_Toc478990501"/>
      <w:bookmarkStart w:id="274" w:name="_Toc479768574"/>
      <w:bookmarkStart w:id="275" w:name="_Toc482357299"/>
      <w:bookmarkStart w:id="276" w:name="_Toc482634275"/>
      <w:bookmarkStart w:id="277" w:name="_Toc482626407"/>
      <w:bookmarkStart w:id="278" w:name="_Toc484092478"/>
      <w:bookmarkStart w:id="279" w:name="_Toc484172681"/>
      <w:bookmarkStart w:id="280" w:name="_Toc484183018"/>
      <w:bookmarkStart w:id="281" w:name="_Toc485126533"/>
      <w:r>
        <w:t>C</w:t>
      </w:r>
      <w:r w:rsidR="00932B52">
        <w:t>alibrati</w:t>
      </w:r>
      <w:r>
        <w:t>n</w:t>
      </w:r>
      <w:r w:rsidR="00932B52">
        <w:t>g Rebated Technologies and Whole Building Approaches</w:t>
      </w:r>
      <w:bookmarkEnd w:id="273"/>
      <w:bookmarkEnd w:id="274"/>
      <w:bookmarkEnd w:id="275"/>
      <w:bookmarkEnd w:id="276"/>
      <w:bookmarkEnd w:id="277"/>
      <w:bookmarkEnd w:id="278"/>
      <w:bookmarkEnd w:id="279"/>
      <w:bookmarkEnd w:id="280"/>
      <w:bookmarkEnd w:id="281"/>
    </w:p>
    <w:p w14:paraId="3533B121" w14:textId="77777777" w:rsidR="00ED04DD" w:rsidRDefault="00ED04DD" w:rsidP="00B63C13">
      <w:r>
        <w:rPr>
          <w:rFonts w:cs="Arial"/>
          <w:snapToGrid w:val="0"/>
        </w:rPr>
        <w:t xml:space="preserve">SB 350 directed the CPUC to adopt goals based on </w:t>
      </w:r>
      <w:r w:rsidRPr="00116031">
        <w:rPr>
          <w:rFonts w:cs="Arial"/>
          <w:snapToGrid w:val="0"/>
        </w:rPr>
        <w:t xml:space="preserve">energy efficiency </w:t>
      </w:r>
      <w:r>
        <w:rPr>
          <w:rFonts w:cs="Arial"/>
          <w:snapToGrid w:val="0"/>
        </w:rPr>
        <w:t xml:space="preserve">potential </w:t>
      </w:r>
      <w:r w:rsidRPr="00116031">
        <w:rPr>
          <w:rFonts w:cs="Arial"/>
          <w:snapToGrid w:val="0"/>
        </w:rPr>
        <w:t xml:space="preserve">studies that are </w:t>
      </w:r>
      <w:r>
        <w:rPr>
          <w:rFonts w:cs="Arial"/>
          <w:snapToGrid w:val="0"/>
        </w:rPr>
        <w:t xml:space="preserve">not </w:t>
      </w:r>
      <w:r w:rsidRPr="00116031">
        <w:rPr>
          <w:rFonts w:cs="Arial"/>
          <w:snapToGrid w:val="0"/>
        </w:rPr>
        <w:t>restricted</w:t>
      </w:r>
      <w:r>
        <w:rPr>
          <w:rFonts w:cs="Arial"/>
          <w:snapToGrid w:val="0"/>
        </w:rPr>
        <w:t xml:space="preserve"> by previous </w:t>
      </w:r>
      <w:r w:rsidRPr="00116031">
        <w:rPr>
          <w:rFonts w:cs="Arial"/>
          <w:snapToGrid w:val="0"/>
        </w:rPr>
        <w:t>levels of utility energy efficiency savings</w:t>
      </w:r>
      <w:r>
        <w:t xml:space="preserve">. However, this does not mean that a potential study model shouldn’t be calibrated. </w:t>
      </w:r>
    </w:p>
    <w:p w14:paraId="1B1F15C2" w14:textId="77777777" w:rsidR="00ED04DD" w:rsidRDefault="00ED04DD" w:rsidP="00B63C13"/>
    <w:p w14:paraId="129273FE" w14:textId="77777777" w:rsidR="00B63C13" w:rsidRPr="00367C1A" w:rsidRDefault="00B63C13" w:rsidP="00B63C13">
      <w:r w:rsidRPr="00367C1A">
        <w:t>Like any model that forecasts the future, the PG model faces challenges with validating results, as there is no future basis against which one can compare simulated versus actual results. Calibration, however, provides both the developer and recipient of model results with a level of comfort that simulated results are reasonable. Calibration is intended to achieve three main purposes:</w:t>
      </w:r>
    </w:p>
    <w:p w14:paraId="177899D0" w14:textId="77777777" w:rsidR="00B63C13" w:rsidRPr="00367C1A" w:rsidRDefault="00B63C13" w:rsidP="004E4E36">
      <w:pPr>
        <w:pStyle w:val="ListParagraph"/>
        <w:numPr>
          <w:ilvl w:val="0"/>
          <w:numId w:val="15"/>
        </w:numPr>
      </w:pPr>
      <w:r w:rsidRPr="00367C1A">
        <w:lastRenderedPageBreak/>
        <w:t>Anchors the model in actual market conditions and ensures that the bottom-up approach to calculating potential can replicate previous market conditions;</w:t>
      </w:r>
    </w:p>
    <w:p w14:paraId="08B17F6E" w14:textId="77777777" w:rsidR="00B63C13" w:rsidRPr="00367C1A" w:rsidRDefault="00B63C13" w:rsidP="004E4E36">
      <w:pPr>
        <w:pStyle w:val="ListParagraph"/>
        <w:numPr>
          <w:ilvl w:val="0"/>
          <w:numId w:val="15"/>
        </w:numPr>
      </w:pPr>
      <w:r w:rsidRPr="00367C1A">
        <w:t>Ensures a realistic starting point from which future projections are made; and</w:t>
      </w:r>
    </w:p>
    <w:p w14:paraId="1C7261A6" w14:textId="77777777" w:rsidR="00B63C13" w:rsidRPr="00367C1A" w:rsidRDefault="00B63C13" w:rsidP="004E4E36">
      <w:pPr>
        <w:pStyle w:val="ListParagraph"/>
        <w:numPr>
          <w:ilvl w:val="0"/>
          <w:numId w:val="15"/>
        </w:numPr>
      </w:pPr>
      <w:r w:rsidRPr="00367C1A">
        <w:t xml:space="preserve">Accounts for varying levels of market barriers </w:t>
      </w:r>
      <w:r w:rsidR="00367C1A" w:rsidRPr="00367C1A">
        <w:t xml:space="preserve">and influences </w:t>
      </w:r>
      <w:r w:rsidRPr="00367C1A">
        <w:t xml:space="preserve">across different types of technologies. The model applies general market and consumer parameters to forecast technology adoption. There are often reasons </w:t>
      </w:r>
      <w:r w:rsidR="00361FC8">
        <w:t>why</w:t>
      </w:r>
      <w:r w:rsidR="00361FC8" w:rsidRPr="00367C1A">
        <w:t xml:space="preserve"> </w:t>
      </w:r>
      <w:r w:rsidRPr="00367C1A">
        <w:t>markets for certain end uses or technologies behave differently than the norm- both higher and lower. Calibration offers a mechanism for using historic observations to account for these differences.</w:t>
      </w:r>
    </w:p>
    <w:p w14:paraId="6B18EA1B" w14:textId="77777777" w:rsidR="00B63C13" w:rsidRPr="006B5490" w:rsidRDefault="00B63C13" w:rsidP="00B63C13">
      <w:pPr>
        <w:rPr>
          <w:highlight w:val="yellow"/>
        </w:rPr>
      </w:pPr>
    </w:p>
    <w:p w14:paraId="35D9EE9E" w14:textId="77777777" w:rsidR="00ED04DD" w:rsidRDefault="00B63C13" w:rsidP="00B63C13">
      <w:r w:rsidRPr="00367C1A">
        <w:t xml:space="preserve">The PG model is calibrated by reviewing </w:t>
      </w:r>
      <w:r w:rsidRPr="00957936">
        <w:t xml:space="preserve">portfolio data from </w:t>
      </w:r>
      <w:r w:rsidR="00367C1A" w:rsidRPr="00957936">
        <w:t xml:space="preserve">2013 </w:t>
      </w:r>
      <w:r w:rsidRPr="00957936">
        <w:t>through 201</w:t>
      </w:r>
      <w:r w:rsidR="00367C1A" w:rsidRPr="00957936">
        <w:t>5</w:t>
      </w:r>
      <w:r w:rsidRPr="00957936">
        <w:t xml:space="preserve"> to assess how the market has reacted to program offerings in the past. For more details on the necessity of calibration, the data basis of calibration, effects of calibration, and interpreting calibration please see Appendix A. </w:t>
      </w:r>
    </w:p>
    <w:p w14:paraId="04A3F0F4" w14:textId="77777777" w:rsidR="00B63C13" w:rsidRDefault="00B63C13" w:rsidP="00B63C13">
      <w:pPr>
        <w:pStyle w:val="Heading2"/>
      </w:pPr>
      <w:bookmarkStart w:id="282" w:name="_Toc478990502"/>
      <w:bookmarkStart w:id="283" w:name="_Toc479768575"/>
      <w:bookmarkStart w:id="284" w:name="_Toc482357300"/>
      <w:bookmarkStart w:id="285" w:name="_Toc482634276"/>
      <w:bookmarkStart w:id="286" w:name="_Toc482626408"/>
      <w:bookmarkStart w:id="287" w:name="_Toc484092479"/>
      <w:bookmarkStart w:id="288" w:name="_Toc484172682"/>
      <w:bookmarkStart w:id="289" w:name="_Toc484183019"/>
      <w:bookmarkStart w:id="290" w:name="_Ref484533078"/>
      <w:bookmarkStart w:id="291" w:name="_Ref484547475"/>
      <w:bookmarkStart w:id="292" w:name="_Toc485126534"/>
      <w:r>
        <w:t>Scenarios</w:t>
      </w:r>
      <w:bookmarkEnd w:id="282"/>
      <w:bookmarkEnd w:id="283"/>
      <w:bookmarkEnd w:id="284"/>
      <w:bookmarkEnd w:id="285"/>
      <w:bookmarkEnd w:id="286"/>
      <w:bookmarkEnd w:id="287"/>
      <w:bookmarkEnd w:id="288"/>
      <w:bookmarkEnd w:id="289"/>
      <w:bookmarkEnd w:id="290"/>
      <w:bookmarkEnd w:id="291"/>
      <w:bookmarkEnd w:id="292"/>
    </w:p>
    <w:p w14:paraId="205F740B" w14:textId="77777777" w:rsidR="00C77DD5" w:rsidRDefault="00C77DD5" w:rsidP="00C77DD5">
      <w:pPr>
        <w:rPr>
          <w:rFonts w:cs="Arial"/>
          <w:snapToGrid w:val="0"/>
        </w:rPr>
      </w:pPr>
      <w:r>
        <w:rPr>
          <w:rFonts w:cs="Arial"/>
          <w:snapToGrid w:val="0"/>
        </w:rPr>
        <w:t xml:space="preserve">In the recent past (2013 and 2015), the </w:t>
      </w:r>
      <w:r w:rsidR="00F90D70">
        <w:rPr>
          <w:rFonts w:cs="Arial"/>
          <w:snapToGrid w:val="0"/>
        </w:rPr>
        <w:t>PG s</w:t>
      </w:r>
      <w:r>
        <w:rPr>
          <w:rFonts w:cs="Arial"/>
          <w:snapToGrid w:val="0"/>
        </w:rPr>
        <w:t xml:space="preserve">tudies produced a single forecast of energy efficiency potential for the purposes of informing IOU goals. The forecast was calibrated to </w:t>
      </w:r>
      <w:r w:rsidRPr="00B11C2A">
        <w:rPr>
          <w:rFonts w:cs="Arial"/>
          <w:snapToGrid w:val="0"/>
        </w:rPr>
        <w:t>historic program activity</w:t>
      </w:r>
      <w:r>
        <w:rPr>
          <w:rFonts w:cs="Arial"/>
          <w:snapToGrid w:val="0"/>
        </w:rPr>
        <w:t>. In these past studies, alternate s</w:t>
      </w:r>
      <w:r w:rsidRPr="00B11C2A">
        <w:rPr>
          <w:rFonts w:cs="Arial"/>
          <w:snapToGrid w:val="0"/>
        </w:rPr>
        <w:t xml:space="preserve">cenarios were only considered in the </w:t>
      </w:r>
      <w:r>
        <w:rPr>
          <w:rFonts w:cs="Arial"/>
          <w:snapToGrid w:val="0"/>
        </w:rPr>
        <w:t>Additional Achievable Energy Efficiency (</w:t>
      </w:r>
      <w:r w:rsidRPr="00B11C2A">
        <w:rPr>
          <w:rFonts w:cs="Arial"/>
          <w:snapToGrid w:val="0"/>
        </w:rPr>
        <w:t>AAEE</w:t>
      </w:r>
      <w:r>
        <w:rPr>
          <w:rFonts w:cs="Arial"/>
          <w:snapToGrid w:val="0"/>
        </w:rPr>
        <w:t>)</w:t>
      </w:r>
      <w:r w:rsidRPr="00B11C2A">
        <w:rPr>
          <w:rFonts w:cs="Arial"/>
          <w:snapToGrid w:val="0"/>
        </w:rPr>
        <w:t xml:space="preserve"> forecast </w:t>
      </w:r>
      <w:r>
        <w:rPr>
          <w:rFonts w:cs="Arial"/>
          <w:snapToGrid w:val="0"/>
        </w:rPr>
        <w:t xml:space="preserve">used by the California Energy Commission. The AAEE scenarios were developed </w:t>
      </w:r>
      <w:r w:rsidRPr="00B11C2A">
        <w:rPr>
          <w:rFonts w:cs="Arial"/>
          <w:snapToGrid w:val="0"/>
        </w:rPr>
        <w:t>after</w:t>
      </w:r>
      <w:r>
        <w:rPr>
          <w:rFonts w:cs="Arial"/>
          <w:snapToGrid w:val="0"/>
        </w:rPr>
        <w:t xml:space="preserve"> the CPUC had established goals and were primarily driven by the needs of the CEC. The 2018 PG study considers multiple scenarios to inform the goal setting process. </w:t>
      </w:r>
    </w:p>
    <w:p w14:paraId="08F394B4" w14:textId="77777777" w:rsidR="00C77DD5" w:rsidRDefault="00C77DD5" w:rsidP="00C77DD5">
      <w:pPr>
        <w:rPr>
          <w:rFonts w:cs="Arial"/>
          <w:snapToGrid w:val="0"/>
        </w:rPr>
      </w:pPr>
    </w:p>
    <w:p w14:paraId="039C748B" w14:textId="22325A09" w:rsidR="00C77DD5" w:rsidRPr="006D0CAB" w:rsidRDefault="00B112E7" w:rsidP="00C77DD5">
      <w:pPr>
        <w:rPr>
          <w:rFonts w:cs="Arial"/>
          <w:snapToGrid w:val="0"/>
          <w:szCs w:val="20"/>
        </w:rPr>
      </w:pPr>
      <w:r>
        <w:rPr>
          <w:rFonts w:cs="Arial"/>
          <w:snapToGrid w:val="0"/>
        </w:rPr>
        <w:t xml:space="preserve">SB 350 directed the CPUC to adopt goals based on </w:t>
      </w:r>
      <w:r w:rsidR="00116031" w:rsidRPr="00116031">
        <w:rPr>
          <w:rFonts w:cs="Arial"/>
          <w:snapToGrid w:val="0"/>
        </w:rPr>
        <w:t xml:space="preserve">energy efficiency </w:t>
      </w:r>
      <w:r>
        <w:rPr>
          <w:rFonts w:cs="Arial"/>
          <w:snapToGrid w:val="0"/>
        </w:rPr>
        <w:t xml:space="preserve">potential </w:t>
      </w:r>
      <w:r w:rsidR="00116031" w:rsidRPr="00116031">
        <w:rPr>
          <w:rFonts w:cs="Arial"/>
          <w:snapToGrid w:val="0"/>
        </w:rPr>
        <w:t xml:space="preserve">studies that are </w:t>
      </w:r>
      <w:r>
        <w:rPr>
          <w:rFonts w:cs="Arial"/>
          <w:snapToGrid w:val="0"/>
        </w:rPr>
        <w:t xml:space="preserve">not </w:t>
      </w:r>
      <w:r w:rsidR="00116031" w:rsidRPr="00116031">
        <w:rPr>
          <w:rFonts w:cs="Arial"/>
          <w:snapToGrid w:val="0"/>
        </w:rPr>
        <w:t>restricted</w:t>
      </w:r>
      <w:r>
        <w:rPr>
          <w:rFonts w:cs="Arial"/>
          <w:snapToGrid w:val="0"/>
        </w:rPr>
        <w:t xml:space="preserve"> by previous </w:t>
      </w:r>
      <w:r w:rsidR="00116031" w:rsidRPr="00116031">
        <w:rPr>
          <w:rFonts w:cs="Arial"/>
          <w:snapToGrid w:val="0"/>
        </w:rPr>
        <w:t>levels of utility energy efficiency savings</w:t>
      </w:r>
      <w:r>
        <w:rPr>
          <w:rFonts w:cs="Arial"/>
          <w:snapToGrid w:val="0"/>
        </w:rPr>
        <w:t xml:space="preserve">. Commission staff proposed to meet this direction by exploring scenarios reflecting alternative future outcomes based on variables that can be controlled by policy decisions or program influence. </w:t>
      </w:r>
      <w:r w:rsidR="00C77DD5">
        <w:rPr>
          <w:rFonts w:cs="Arial"/>
          <w:snapToGrid w:val="0"/>
        </w:rPr>
        <w:t xml:space="preserve">This study considers scenarios </w:t>
      </w:r>
      <w:r w:rsidR="00C77DD5" w:rsidRPr="006D0CAB">
        <w:rPr>
          <w:rFonts w:cs="Arial"/>
          <w:snapToGrid w:val="0"/>
          <w:szCs w:val="20"/>
        </w:rPr>
        <w:t xml:space="preserve">primarily built around policies and program decisions that are under control of the CPUC and IOUs collectively, these are referred to as “internally influenced” variables. On the other hand, “externally influenced” variables </w:t>
      </w:r>
      <w:r w:rsidR="00C77DD5">
        <w:rPr>
          <w:rFonts w:cs="Arial"/>
          <w:snapToGrid w:val="0"/>
          <w:szCs w:val="20"/>
        </w:rPr>
        <w:t xml:space="preserve">were not </w:t>
      </w:r>
      <w:r w:rsidR="00C77DD5" w:rsidRPr="006D0CAB">
        <w:rPr>
          <w:rFonts w:cs="Arial"/>
          <w:snapToGrid w:val="0"/>
          <w:szCs w:val="20"/>
        </w:rPr>
        <w:t xml:space="preserve">considered in scenarios that inform the goals. External variables are those that CPUC and IOUs collectively have no control over.  A list of </w:t>
      </w:r>
      <w:r w:rsidR="00C77DD5">
        <w:rPr>
          <w:rFonts w:cs="Arial"/>
          <w:snapToGrid w:val="0"/>
          <w:szCs w:val="20"/>
        </w:rPr>
        <w:t xml:space="preserve">example </w:t>
      </w:r>
      <w:r w:rsidR="00C77DD5" w:rsidRPr="006D0CAB">
        <w:rPr>
          <w:rFonts w:cs="Arial"/>
          <w:snapToGrid w:val="0"/>
          <w:szCs w:val="20"/>
        </w:rPr>
        <w:t xml:space="preserve">internally and externally influenced variables can be found in </w:t>
      </w:r>
      <w:r w:rsidR="00116031">
        <w:rPr>
          <w:rFonts w:cs="Arial"/>
          <w:snapToGrid w:val="0"/>
          <w:szCs w:val="20"/>
        </w:rPr>
        <w:fldChar w:fldCharType="begin"/>
      </w:r>
      <w:r w:rsidR="00116031">
        <w:rPr>
          <w:rFonts w:cs="Arial"/>
          <w:snapToGrid w:val="0"/>
          <w:szCs w:val="20"/>
        </w:rPr>
        <w:instrText xml:space="preserve"> REF _Ref481505140 \h </w:instrText>
      </w:r>
      <w:r w:rsidR="00116031">
        <w:rPr>
          <w:rFonts w:cs="Arial"/>
          <w:snapToGrid w:val="0"/>
          <w:szCs w:val="20"/>
        </w:rPr>
      </w:r>
      <w:r w:rsidR="00116031">
        <w:rPr>
          <w:rFonts w:cs="Arial"/>
          <w:snapToGrid w:val="0"/>
          <w:szCs w:val="20"/>
        </w:rPr>
        <w:fldChar w:fldCharType="separate"/>
      </w:r>
      <w:r w:rsidR="00C23564">
        <w:t xml:space="preserve">Table </w:t>
      </w:r>
      <w:r w:rsidR="00C23564">
        <w:rPr>
          <w:noProof/>
        </w:rPr>
        <w:t>2</w:t>
      </w:r>
      <w:r w:rsidR="00C23564">
        <w:noBreakHyphen/>
      </w:r>
      <w:r w:rsidR="00C23564">
        <w:rPr>
          <w:noProof/>
        </w:rPr>
        <w:t>5</w:t>
      </w:r>
      <w:r w:rsidR="00116031">
        <w:rPr>
          <w:rFonts w:cs="Arial"/>
          <w:snapToGrid w:val="0"/>
          <w:szCs w:val="20"/>
        </w:rPr>
        <w:fldChar w:fldCharType="end"/>
      </w:r>
      <w:r w:rsidR="00116031">
        <w:rPr>
          <w:rFonts w:cs="Arial"/>
          <w:snapToGrid w:val="0"/>
          <w:szCs w:val="20"/>
        </w:rPr>
        <w:t xml:space="preserve"> </w:t>
      </w:r>
      <w:r w:rsidR="00C77DD5" w:rsidRPr="006D0CAB">
        <w:rPr>
          <w:rFonts w:cs="Arial"/>
          <w:snapToGrid w:val="0"/>
          <w:szCs w:val="20"/>
        </w:rPr>
        <w:t xml:space="preserve">below. </w:t>
      </w:r>
      <w:r w:rsidR="00C77DD5">
        <w:rPr>
          <w:rFonts w:cs="Arial"/>
          <w:snapToGrid w:val="0"/>
          <w:szCs w:val="20"/>
        </w:rPr>
        <w:t xml:space="preserve"> </w:t>
      </w:r>
    </w:p>
    <w:p w14:paraId="242F9FFC" w14:textId="77777777" w:rsidR="00C77DD5" w:rsidRPr="006D0CAB" w:rsidRDefault="00C77DD5" w:rsidP="00C77DD5">
      <w:pPr>
        <w:rPr>
          <w:rFonts w:cs="Arial"/>
          <w:snapToGrid w:val="0"/>
          <w:szCs w:val="20"/>
        </w:rPr>
      </w:pPr>
    </w:p>
    <w:p w14:paraId="521955D2" w14:textId="3F06F4A4" w:rsidR="00C77DD5" w:rsidRDefault="00C77DD5" w:rsidP="00C77DD5">
      <w:pPr>
        <w:pStyle w:val="Caption"/>
        <w:rPr>
          <w:rFonts w:cs="Arial"/>
          <w:snapToGrid w:val="0"/>
        </w:rPr>
      </w:pPr>
      <w:bookmarkStart w:id="293" w:name="_Ref481505140"/>
      <w:bookmarkStart w:id="294" w:name="_Toc482634205"/>
      <w:bookmarkStart w:id="295" w:name="_Toc484436944"/>
      <w:bookmarkStart w:id="296" w:name="_Toc485125655"/>
      <w:r>
        <w:t xml:space="preserve">Table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23564">
        <w:rPr>
          <w:noProof/>
        </w:rPr>
        <w:t>5</w:t>
      </w:r>
      <w:r w:rsidR="00272F76">
        <w:rPr>
          <w:noProof/>
        </w:rPr>
        <w:fldChar w:fldCharType="end"/>
      </w:r>
      <w:bookmarkEnd w:id="293"/>
      <w:r w:rsidR="00BB59F5">
        <w:rPr>
          <w:noProof/>
        </w:rPr>
        <w:t>.</w:t>
      </w:r>
      <w:r>
        <w:t xml:space="preserve"> Variables Affecting Energy Efficiency Potential</w:t>
      </w:r>
      <w:bookmarkEnd w:id="294"/>
      <w:bookmarkEnd w:id="295"/>
      <w:bookmarkEnd w:id="296"/>
    </w:p>
    <w:tbl>
      <w:tblPr>
        <w:tblStyle w:val="EnergyTable1"/>
        <w:tblW w:w="0" w:type="auto"/>
        <w:tblLook w:val="04A0" w:firstRow="1" w:lastRow="0" w:firstColumn="1" w:lastColumn="0" w:noHBand="0" w:noVBand="1"/>
      </w:tblPr>
      <w:tblGrid>
        <w:gridCol w:w="4495"/>
        <w:gridCol w:w="4495"/>
      </w:tblGrid>
      <w:tr w:rsidR="00C77DD5" w:rsidRPr="00F90D70" w14:paraId="088A48F3" w14:textId="77777777" w:rsidTr="0011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0FE39DF" w14:textId="77777777" w:rsidR="00C77DD5" w:rsidRPr="00F90D70" w:rsidRDefault="00C77DD5" w:rsidP="00116031">
            <w:pPr>
              <w:keepNext/>
              <w:rPr>
                <w:rFonts w:ascii="Arial Narrow" w:hAnsi="Arial Narrow" w:cs="Arial"/>
                <w:b w:val="0"/>
                <w:snapToGrid w:val="0"/>
                <w:color w:val="FFFFFF" w:themeColor="background1"/>
              </w:rPr>
            </w:pPr>
            <w:r w:rsidRPr="00F90D70">
              <w:rPr>
                <w:rFonts w:ascii="Arial Narrow" w:hAnsi="Arial Narrow" w:cs="Arial"/>
                <w:snapToGrid w:val="0"/>
                <w:color w:val="FFFFFF" w:themeColor="background1"/>
              </w:rPr>
              <w:t>Internally Influenced</w:t>
            </w:r>
          </w:p>
        </w:tc>
        <w:tc>
          <w:tcPr>
            <w:tcW w:w="4495" w:type="dxa"/>
          </w:tcPr>
          <w:p w14:paraId="23FEFF06" w14:textId="77777777" w:rsidR="00C77DD5" w:rsidRPr="00F90D70" w:rsidRDefault="00C77DD5" w:rsidP="00116031">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 w:val="0"/>
                <w:snapToGrid w:val="0"/>
                <w:color w:val="FFFFFF" w:themeColor="background1"/>
              </w:rPr>
            </w:pPr>
            <w:r w:rsidRPr="00F90D70">
              <w:rPr>
                <w:rFonts w:ascii="Arial Narrow" w:hAnsi="Arial Narrow" w:cs="Arial"/>
                <w:snapToGrid w:val="0"/>
                <w:color w:val="FFFFFF" w:themeColor="background1"/>
              </w:rPr>
              <w:t>Externally Influenced</w:t>
            </w:r>
          </w:p>
        </w:tc>
      </w:tr>
      <w:tr w:rsidR="00C77DD5" w:rsidRPr="00F90D70" w14:paraId="6F41F414"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C1D357F" w14:textId="77777777" w:rsidR="00C77DD5" w:rsidRPr="00F90D70" w:rsidRDefault="00C77DD5" w:rsidP="004E4E36">
            <w:pPr>
              <w:pStyle w:val="ListParagraph"/>
              <w:numPr>
                <w:ilvl w:val="0"/>
                <w:numId w:val="39"/>
              </w:numPr>
              <w:spacing w:before="0" w:line="240" w:lineRule="exact"/>
              <w:ind w:left="337" w:hanging="180"/>
              <w:contextualSpacing/>
              <w:jc w:val="left"/>
              <w:rPr>
                <w:rFonts w:ascii="Arial Narrow" w:hAnsi="Arial Narrow" w:cs="Arial"/>
                <w:snapToGrid w:val="0"/>
              </w:rPr>
            </w:pPr>
            <w:r w:rsidRPr="00F90D70">
              <w:rPr>
                <w:rFonts w:ascii="Arial Narrow" w:hAnsi="Arial Narrow" w:cs="Arial"/>
                <w:snapToGrid w:val="0"/>
              </w:rPr>
              <w:t>Cost-effectiveness (C-E) test</w:t>
            </w:r>
          </w:p>
          <w:p w14:paraId="479A0AD9" w14:textId="77777777" w:rsidR="00C77DD5" w:rsidRPr="00F90D70" w:rsidRDefault="00C77DD5" w:rsidP="004E4E36">
            <w:pPr>
              <w:pStyle w:val="ListParagraph"/>
              <w:numPr>
                <w:ilvl w:val="0"/>
                <w:numId w:val="39"/>
              </w:numPr>
              <w:spacing w:before="0" w:line="240" w:lineRule="exact"/>
              <w:ind w:left="337" w:hanging="180"/>
              <w:contextualSpacing/>
              <w:jc w:val="left"/>
              <w:rPr>
                <w:rFonts w:ascii="Arial Narrow" w:hAnsi="Arial Narrow" w:cs="Arial"/>
                <w:snapToGrid w:val="0"/>
              </w:rPr>
            </w:pPr>
            <w:r w:rsidRPr="00F90D70">
              <w:rPr>
                <w:rFonts w:ascii="Arial Narrow" w:hAnsi="Arial Narrow" w:cs="Arial"/>
                <w:snapToGrid w:val="0"/>
              </w:rPr>
              <w:t>C-E measure screening threshold</w:t>
            </w:r>
          </w:p>
          <w:p w14:paraId="7B9F0C22" w14:textId="77777777" w:rsidR="00C77DD5" w:rsidRPr="00F90D70" w:rsidRDefault="00C77DD5" w:rsidP="004E4E36">
            <w:pPr>
              <w:pStyle w:val="ListParagraph"/>
              <w:numPr>
                <w:ilvl w:val="0"/>
                <w:numId w:val="39"/>
              </w:numPr>
              <w:spacing w:before="0" w:line="240" w:lineRule="exact"/>
              <w:ind w:left="337" w:hanging="180"/>
              <w:contextualSpacing/>
              <w:jc w:val="left"/>
              <w:rPr>
                <w:rFonts w:ascii="Arial Narrow" w:hAnsi="Arial Narrow" w:cs="Arial"/>
                <w:snapToGrid w:val="0"/>
              </w:rPr>
            </w:pPr>
            <w:r w:rsidRPr="00F90D70">
              <w:rPr>
                <w:rFonts w:ascii="Arial Narrow" w:hAnsi="Arial Narrow" w:cs="Arial"/>
                <w:snapToGrid w:val="0"/>
              </w:rPr>
              <w:t>Incentive levels</w:t>
            </w:r>
          </w:p>
          <w:p w14:paraId="1FA1645F" w14:textId="77777777" w:rsidR="00C77DD5" w:rsidRPr="00F90D70" w:rsidRDefault="00C77DD5" w:rsidP="004E4E36">
            <w:pPr>
              <w:pStyle w:val="ListParagraph"/>
              <w:numPr>
                <w:ilvl w:val="0"/>
                <w:numId w:val="39"/>
              </w:numPr>
              <w:spacing w:before="0" w:line="240" w:lineRule="exact"/>
              <w:ind w:left="337" w:hanging="180"/>
              <w:contextualSpacing/>
              <w:jc w:val="left"/>
              <w:rPr>
                <w:rFonts w:ascii="Arial Narrow" w:hAnsi="Arial Narrow" w:cs="Arial"/>
                <w:snapToGrid w:val="0"/>
              </w:rPr>
            </w:pPr>
            <w:r w:rsidRPr="00F90D70">
              <w:rPr>
                <w:rFonts w:ascii="Arial Narrow" w:hAnsi="Arial Narrow" w:cs="Arial"/>
                <w:snapToGrid w:val="0"/>
              </w:rPr>
              <w:t>Marketing &amp; Outreach</w:t>
            </w:r>
          </w:p>
          <w:p w14:paraId="0D945945" w14:textId="77777777" w:rsidR="00C77DD5" w:rsidRPr="00F90D70" w:rsidRDefault="00C77DD5" w:rsidP="004E4E36">
            <w:pPr>
              <w:pStyle w:val="ListParagraph"/>
              <w:numPr>
                <w:ilvl w:val="0"/>
                <w:numId w:val="39"/>
              </w:numPr>
              <w:spacing w:before="0" w:line="240" w:lineRule="exact"/>
              <w:ind w:left="337" w:hanging="180"/>
              <w:contextualSpacing/>
              <w:jc w:val="left"/>
              <w:rPr>
                <w:rFonts w:ascii="Arial Narrow" w:hAnsi="Arial Narrow" w:cs="Arial"/>
                <w:snapToGrid w:val="0"/>
              </w:rPr>
            </w:pPr>
            <w:r w:rsidRPr="00F90D70">
              <w:rPr>
                <w:rFonts w:ascii="Arial Narrow" w:hAnsi="Arial Narrow" w:cs="Arial"/>
                <w:snapToGrid w:val="0"/>
              </w:rPr>
              <w:t xml:space="preserve">Behavior, Retro commissioning &amp; Operational (BROs) customer enrollment over time </w:t>
            </w:r>
          </w:p>
          <w:p w14:paraId="0F316DDB" w14:textId="77777777" w:rsidR="00C77DD5" w:rsidRPr="00F90D70" w:rsidRDefault="00C77DD5" w:rsidP="004E4E36">
            <w:pPr>
              <w:pStyle w:val="ListParagraph"/>
              <w:numPr>
                <w:ilvl w:val="0"/>
                <w:numId w:val="39"/>
              </w:numPr>
              <w:spacing w:before="0" w:line="240" w:lineRule="exact"/>
              <w:ind w:left="337" w:hanging="180"/>
              <w:contextualSpacing/>
              <w:jc w:val="left"/>
              <w:rPr>
                <w:rFonts w:ascii="Arial Narrow" w:hAnsi="Arial Narrow" w:cs="Arial"/>
                <w:snapToGrid w:val="0"/>
              </w:rPr>
            </w:pPr>
            <w:r w:rsidRPr="00F90D70">
              <w:rPr>
                <w:rFonts w:ascii="Arial Narrow" w:hAnsi="Arial Narrow" w:cs="Arial"/>
                <w:snapToGrid w:val="0"/>
              </w:rPr>
              <w:t>IOU financing programs</w:t>
            </w:r>
          </w:p>
        </w:tc>
        <w:tc>
          <w:tcPr>
            <w:tcW w:w="4495" w:type="dxa"/>
          </w:tcPr>
          <w:p w14:paraId="76503077" w14:textId="77777777" w:rsidR="00C77DD5" w:rsidRPr="00F90D70" w:rsidRDefault="00C77DD5" w:rsidP="004E4E36">
            <w:pPr>
              <w:pStyle w:val="ListParagraph"/>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F90D70">
              <w:rPr>
                <w:rFonts w:ascii="Arial Narrow" w:hAnsi="Arial Narrow" w:cs="Arial"/>
                <w:snapToGrid w:val="0"/>
              </w:rPr>
              <w:t>Building stock forecast</w:t>
            </w:r>
          </w:p>
          <w:p w14:paraId="7D603120" w14:textId="77777777" w:rsidR="00C77DD5" w:rsidRPr="00F90D70" w:rsidRDefault="00C77DD5" w:rsidP="004E4E36">
            <w:pPr>
              <w:pStyle w:val="ListParagraph"/>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F90D70">
              <w:rPr>
                <w:rFonts w:ascii="Arial Narrow" w:hAnsi="Arial Narrow" w:cs="Arial"/>
                <w:snapToGrid w:val="0"/>
              </w:rPr>
              <w:t>Retail energy price forecast</w:t>
            </w:r>
          </w:p>
          <w:p w14:paraId="6E49880A" w14:textId="77777777" w:rsidR="00C77DD5" w:rsidRPr="00F90D70" w:rsidRDefault="00C77DD5" w:rsidP="004E4E36">
            <w:pPr>
              <w:pStyle w:val="ListParagraph"/>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F90D70">
              <w:rPr>
                <w:rFonts w:ascii="Arial Narrow" w:hAnsi="Arial Narrow" w:cs="Arial"/>
                <w:snapToGrid w:val="0"/>
              </w:rPr>
              <w:t>Measure-level input uncertainties (unit energy savings, unit costs, densities)</w:t>
            </w:r>
          </w:p>
          <w:p w14:paraId="15F4EBBC" w14:textId="77777777" w:rsidR="00C77DD5" w:rsidRPr="00F90D70" w:rsidRDefault="00C77DD5" w:rsidP="004E4E36">
            <w:pPr>
              <w:pStyle w:val="ListParagraph"/>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F90D70">
              <w:rPr>
                <w:rFonts w:ascii="Arial Narrow" w:hAnsi="Arial Narrow" w:cs="Arial"/>
                <w:snapToGrid w:val="0"/>
              </w:rPr>
              <w:t>Non-IOU financing programs</w:t>
            </w:r>
          </w:p>
          <w:p w14:paraId="700447C3" w14:textId="77777777" w:rsidR="00C77DD5" w:rsidRPr="00F90D70" w:rsidRDefault="00C77DD5" w:rsidP="00C77DD5">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p>
        </w:tc>
      </w:tr>
    </w:tbl>
    <w:p w14:paraId="503DA75D" w14:textId="77777777" w:rsidR="00C77DD5" w:rsidRDefault="00C77DD5" w:rsidP="00C77DD5">
      <w:pPr>
        <w:rPr>
          <w:rFonts w:cs="Arial"/>
          <w:snapToGrid w:val="0"/>
        </w:rPr>
      </w:pPr>
    </w:p>
    <w:p w14:paraId="684A7D9D" w14:textId="77777777" w:rsidR="00C77DD5" w:rsidRDefault="00C77DD5" w:rsidP="00C77DD5">
      <w:pPr>
        <w:rPr>
          <w:rFonts w:cs="Arial"/>
          <w:snapToGrid w:val="0"/>
        </w:rPr>
      </w:pPr>
      <w:r>
        <w:rPr>
          <w:rFonts w:cs="Arial"/>
          <w:snapToGrid w:val="0"/>
        </w:rPr>
        <w:lastRenderedPageBreak/>
        <w:t>Additional details on each of the internally influenced variables can be found in the study team’s presentation to the Demand Analysis Working Group (DAWG) on December 12, 2016.</w:t>
      </w:r>
      <w:r>
        <w:rPr>
          <w:rStyle w:val="FootnoteReference"/>
          <w:rFonts w:cs="Arial"/>
          <w:snapToGrid w:val="0"/>
        </w:rPr>
        <w:footnoteReference w:id="38"/>
      </w:r>
    </w:p>
    <w:p w14:paraId="0CC1E048" w14:textId="77777777" w:rsidR="00C77DD5" w:rsidRDefault="00C77DD5" w:rsidP="00C77DD5">
      <w:pPr>
        <w:pStyle w:val="Heading3"/>
        <w:rPr>
          <w:snapToGrid w:val="0"/>
        </w:rPr>
      </w:pPr>
      <w:bookmarkStart w:id="297" w:name="_Toc482357301"/>
      <w:bookmarkStart w:id="298" w:name="_Toc482634277"/>
      <w:bookmarkStart w:id="299" w:name="_Toc482626409"/>
      <w:bookmarkStart w:id="300" w:name="_Toc484092480"/>
      <w:bookmarkStart w:id="301" w:name="_Toc484172683"/>
      <w:bookmarkStart w:id="302" w:name="_Toc484183020"/>
      <w:bookmarkStart w:id="303" w:name="_Toc485126535"/>
      <w:r>
        <w:rPr>
          <w:snapToGrid w:val="0"/>
        </w:rPr>
        <w:t>Stakeholder Input</w:t>
      </w:r>
      <w:bookmarkEnd w:id="297"/>
      <w:bookmarkEnd w:id="298"/>
      <w:bookmarkEnd w:id="299"/>
      <w:bookmarkEnd w:id="300"/>
      <w:bookmarkEnd w:id="301"/>
      <w:bookmarkEnd w:id="302"/>
      <w:bookmarkEnd w:id="303"/>
    </w:p>
    <w:p w14:paraId="04C5E162" w14:textId="29B3BD06" w:rsidR="00C77DD5" w:rsidRDefault="00C77DD5" w:rsidP="00C77DD5">
      <w:pPr>
        <w:rPr>
          <w:rFonts w:cs="Arial"/>
          <w:snapToGrid w:val="0"/>
        </w:rPr>
      </w:pPr>
      <w:r>
        <w:rPr>
          <w:rFonts w:cs="Arial"/>
          <w:snapToGrid w:val="0"/>
        </w:rPr>
        <w:t xml:space="preserve">Stakeholders and members of the DAWG were given the opportunity to provide informal feedback to the team on the development of scenarios including which variables to consider and the range of variables. </w:t>
      </w:r>
      <w:r>
        <w:rPr>
          <w:rFonts w:cs="Arial"/>
          <w:snapToGrid w:val="0"/>
        </w:rPr>
        <w:fldChar w:fldCharType="begin"/>
      </w:r>
      <w:r>
        <w:rPr>
          <w:rFonts w:cs="Arial"/>
          <w:snapToGrid w:val="0"/>
        </w:rPr>
        <w:instrText xml:space="preserve"> REF _Ref481505154 \h </w:instrText>
      </w:r>
      <w:r>
        <w:rPr>
          <w:rFonts w:cs="Arial"/>
          <w:snapToGrid w:val="0"/>
        </w:rPr>
      </w:r>
      <w:r>
        <w:rPr>
          <w:rFonts w:cs="Arial"/>
          <w:snapToGrid w:val="0"/>
        </w:rPr>
        <w:fldChar w:fldCharType="separate"/>
      </w:r>
      <w:r w:rsidR="00C23564">
        <w:t xml:space="preserve">Table </w:t>
      </w:r>
      <w:r w:rsidR="00C23564">
        <w:rPr>
          <w:noProof/>
        </w:rPr>
        <w:t>2</w:t>
      </w:r>
      <w:r w:rsidR="00C23564">
        <w:noBreakHyphen/>
      </w:r>
      <w:r w:rsidR="00C23564">
        <w:rPr>
          <w:noProof/>
        </w:rPr>
        <w:t>6</w:t>
      </w:r>
      <w:r>
        <w:rPr>
          <w:rFonts w:cs="Arial"/>
          <w:snapToGrid w:val="0"/>
        </w:rPr>
        <w:fldChar w:fldCharType="end"/>
      </w:r>
      <w:r>
        <w:rPr>
          <w:rFonts w:cs="Arial"/>
          <w:snapToGrid w:val="0"/>
        </w:rPr>
        <w:t xml:space="preserve"> contains a summary of relevant stakeholder feedback</w:t>
      </w:r>
      <w:r w:rsidR="00D84DAE">
        <w:rPr>
          <w:rFonts w:cs="Arial"/>
          <w:snapToGrid w:val="0"/>
        </w:rPr>
        <w:t xml:space="preserve"> received from the December DAWG meeting</w:t>
      </w:r>
      <w:r>
        <w:rPr>
          <w:rFonts w:cs="Arial"/>
          <w:snapToGrid w:val="0"/>
        </w:rPr>
        <w:t>.</w:t>
      </w:r>
    </w:p>
    <w:p w14:paraId="36641B0F" w14:textId="77777777" w:rsidR="00C77DD5" w:rsidRDefault="00C77DD5" w:rsidP="00C77DD5">
      <w:pPr>
        <w:rPr>
          <w:rFonts w:cs="Arial"/>
          <w:snapToGrid w:val="0"/>
        </w:rPr>
      </w:pPr>
    </w:p>
    <w:p w14:paraId="396ED99A" w14:textId="4B85CA9A" w:rsidR="00C77DD5" w:rsidRDefault="00C77DD5" w:rsidP="00C77DD5">
      <w:pPr>
        <w:pStyle w:val="Caption"/>
        <w:rPr>
          <w:rFonts w:cs="Arial"/>
          <w:snapToGrid w:val="0"/>
        </w:rPr>
      </w:pPr>
      <w:bookmarkStart w:id="304" w:name="_Ref481505154"/>
      <w:bookmarkStart w:id="305" w:name="_Toc482634206"/>
      <w:bookmarkStart w:id="306" w:name="_Toc484436945"/>
      <w:bookmarkStart w:id="307" w:name="_Toc485125656"/>
      <w:r>
        <w:t xml:space="preserve">Table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23564">
        <w:rPr>
          <w:noProof/>
        </w:rPr>
        <w:t>6</w:t>
      </w:r>
      <w:r w:rsidR="00272F76">
        <w:rPr>
          <w:noProof/>
        </w:rPr>
        <w:fldChar w:fldCharType="end"/>
      </w:r>
      <w:bookmarkEnd w:id="304"/>
      <w:r w:rsidR="00BB59F5">
        <w:t>.</w:t>
      </w:r>
      <w:r>
        <w:t xml:space="preserve"> Stakeholder Feedback</w:t>
      </w:r>
      <w:bookmarkEnd w:id="305"/>
      <w:bookmarkEnd w:id="306"/>
      <w:bookmarkEnd w:id="307"/>
    </w:p>
    <w:tbl>
      <w:tblPr>
        <w:tblStyle w:val="EnergyTable1"/>
        <w:tblW w:w="9450" w:type="dxa"/>
        <w:tblLook w:val="04A0" w:firstRow="1" w:lastRow="0" w:firstColumn="1" w:lastColumn="0" w:noHBand="0" w:noVBand="1"/>
      </w:tblPr>
      <w:tblGrid>
        <w:gridCol w:w="6660"/>
        <w:gridCol w:w="2790"/>
      </w:tblGrid>
      <w:tr w:rsidR="00C77DD5" w:rsidRPr="00F90D70" w14:paraId="01622D62" w14:textId="77777777" w:rsidTr="00095E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C9EC9E6" w14:textId="77777777" w:rsidR="00C77DD5" w:rsidRPr="00F90D70" w:rsidRDefault="00C77DD5" w:rsidP="001E31E0">
            <w:pPr>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Stakeholder Comments</w:t>
            </w:r>
          </w:p>
        </w:tc>
        <w:tc>
          <w:tcPr>
            <w:tcW w:w="0" w:type="dxa"/>
          </w:tcPr>
          <w:p w14:paraId="22B47E68" w14:textId="77777777" w:rsidR="00C77DD5" w:rsidRPr="00F90D70" w:rsidRDefault="00C77DD5" w:rsidP="001E31E0">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Additional Context from Navigant</w:t>
            </w:r>
          </w:p>
        </w:tc>
      </w:tr>
      <w:tr w:rsidR="00C77DD5" w:rsidRPr="00F90D70" w14:paraId="27E689BE"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2E73B4A9" w14:textId="77777777" w:rsidR="00C77DD5" w:rsidRPr="00F90D70" w:rsidRDefault="00C77DD5" w:rsidP="001E31E0">
            <w:pPr>
              <w:rPr>
                <w:rFonts w:ascii="Arial Narrow" w:hAnsi="Arial Narrow" w:cs="Arial"/>
                <w:b/>
                <w:snapToGrid w:val="0"/>
                <w:szCs w:val="18"/>
              </w:rPr>
            </w:pPr>
            <w:r w:rsidRPr="00F90D70">
              <w:rPr>
                <w:rFonts w:ascii="Arial Narrow" w:hAnsi="Arial Narrow" w:cs="Arial"/>
                <w:b/>
                <w:snapToGrid w:val="0"/>
                <w:szCs w:val="18"/>
              </w:rPr>
              <w:t>Cost Effectiveness Test</w:t>
            </w:r>
          </w:p>
        </w:tc>
      </w:tr>
      <w:tr w:rsidR="00C77DD5" w:rsidRPr="00F90D70" w14:paraId="35FFD47B"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523F14E7"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PG&amp;E: </w:t>
            </w:r>
            <w:r w:rsidRPr="00F90D70">
              <w:rPr>
                <w:rFonts w:ascii="Arial Narrow" w:hAnsi="Arial Narrow" w:cs="Arial"/>
                <w:snapToGrid w:val="0"/>
                <w:szCs w:val="18"/>
              </w:rPr>
              <w:t xml:space="preserve">Screening measures based on different cost-effectiveness tests is acceptable “so long as the goals assigned to the IOUs are aligned with the policy that the IOUs will have to follow when operating their portfolios.” </w:t>
            </w:r>
          </w:p>
          <w:p w14:paraId="5911C010"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NRDC:</w:t>
            </w:r>
            <w:r w:rsidRPr="00F90D70">
              <w:rPr>
                <w:rFonts w:ascii="Arial Narrow" w:hAnsi="Arial Narrow" w:cs="Arial"/>
                <w:snapToGrid w:val="0"/>
                <w:szCs w:val="18"/>
              </w:rPr>
              <w:t xml:space="preserve"> Supports assessing the potential using the PAC as well as the SCT</w:t>
            </w:r>
          </w:p>
          <w:p w14:paraId="19021BC1"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SDG&amp;E:</w:t>
            </w:r>
            <w:r w:rsidRPr="00F90D70">
              <w:rPr>
                <w:rFonts w:ascii="Arial Narrow" w:hAnsi="Arial Narrow" w:cs="Arial"/>
                <w:snapToGrid w:val="0"/>
                <w:szCs w:val="18"/>
              </w:rPr>
              <w:t xml:space="preserve"> Supports creating scenarios around prospective changes in the C-E tests given that the CPUC is actively exploring such tests.</w:t>
            </w:r>
          </w:p>
          <w:p w14:paraId="00EF6AD9"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TURN:</w:t>
            </w:r>
            <w:r w:rsidRPr="00F90D70">
              <w:rPr>
                <w:rFonts w:ascii="Arial Narrow" w:hAnsi="Arial Narrow" w:cs="Arial"/>
                <w:snapToGrid w:val="0"/>
                <w:szCs w:val="18"/>
              </w:rPr>
              <w:t xml:space="preserve"> Suggests portfolio cost-effectiveness should be subject to a 10-year lifecycle average measure mix. </w:t>
            </w:r>
          </w:p>
          <w:p w14:paraId="7BE2AEFE"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SCE:</w:t>
            </w:r>
            <w:r w:rsidRPr="00F90D70">
              <w:rPr>
                <w:rFonts w:ascii="Arial Narrow" w:hAnsi="Arial Narrow" w:cs="Arial"/>
                <w:snapToGrid w:val="0"/>
                <w:szCs w:val="18"/>
              </w:rPr>
              <w:t xml:space="preserve"> Encourages investigating alternative C-E tests, and assessing the impacts of changes on EE programs ability to capture savings. </w:t>
            </w:r>
          </w:p>
        </w:tc>
        <w:tc>
          <w:tcPr>
            <w:tcW w:w="2790" w:type="dxa"/>
          </w:tcPr>
          <w:p w14:paraId="42602DE7" w14:textId="77777777" w:rsidR="00C77DD5" w:rsidRPr="00F90D70" w:rsidRDefault="00C77DD5"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TURN’s comment is a broader policy issue that Navigant does not plan to address in these scenarios.</w:t>
            </w:r>
          </w:p>
          <w:p w14:paraId="7ECDBE05" w14:textId="77777777" w:rsidR="00C77DD5" w:rsidRPr="00F90D70" w:rsidRDefault="00A330AB"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Factors impacting the SCT test (discount rate, cost of carbon) may be informed by the other CPUC proceedings as appropriate. Methods to determine some factors, like health and air quality impacts are yet to be defined.</w:t>
            </w:r>
          </w:p>
        </w:tc>
      </w:tr>
      <w:tr w:rsidR="00C77DD5" w:rsidRPr="00F90D70" w14:paraId="0AA98CB4"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32874688" w14:textId="77777777" w:rsidR="00C77DD5" w:rsidRPr="00F90D70" w:rsidRDefault="00C77DD5" w:rsidP="006B655B">
            <w:pPr>
              <w:keepNext/>
              <w:rPr>
                <w:rFonts w:ascii="Arial Narrow" w:hAnsi="Arial Narrow" w:cs="Arial"/>
                <w:b/>
                <w:snapToGrid w:val="0"/>
                <w:szCs w:val="18"/>
              </w:rPr>
            </w:pPr>
            <w:r w:rsidRPr="00F90D70">
              <w:rPr>
                <w:rFonts w:ascii="Arial Narrow" w:hAnsi="Arial Narrow" w:cs="Arial"/>
                <w:b/>
                <w:snapToGrid w:val="0"/>
                <w:szCs w:val="18"/>
              </w:rPr>
              <w:t>C-E Screening Threshold</w:t>
            </w:r>
          </w:p>
        </w:tc>
      </w:tr>
      <w:tr w:rsidR="00C77DD5" w:rsidRPr="00F90D70" w14:paraId="1C5854FA"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258778D5"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PGE:</w:t>
            </w:r>
            <w:r w:rsidRPr="00F90D70">
              <w:rPr>
                <w:rFonts w:ascii="Arial Narrow" w:hAnsi="Arial Narrow" w:cs="Arial"/>
                <w:snapToGrid w:val="0"/>
                <w:szCs w:val="18"/>
              </w:rPr>
              <w:t xml:space="preserve"> Current thresholds of TRC in the model (0.85 for conventional technologies, 0.5 for emerging technologies) are appropriate. </w:t>
            </w:r>
          </w:p>
          <w:p w14:paraId="593359FF"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SoCalGas:</w:t>
            </w:r>
            <w:r w:rsidRPr="00F90D70">
              <w:rPr>
                <w:rFonts w:ascii="Arial Narrow" w:hAnsi="Arial Narrow" w:cs="Arial"/>
                <w:snapToGrid w:val="0"/>
                <w:szCs w:val="18"/>
              </w:rPr>
              <w:t xml:space="preserve"> Prefers using a “1.0 TRC scenario as a benchmark”</w:t>
            </w:r>
          </w:p>
          <w:p w14:paraId="22106494"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SCE:</w:t>
            </w:r>
            <w:r w:rsidRPr="00F90D70">
              <w:rPr>
                <w:rFonts w:ascii="Arial Narrow" w:hAnsi="Arial Narrow" w:cs="Arial"/>
                <w:snapToGrid w:val="0"/>
                <w:szCs w:val="18"/>
              </w:rPr>
              <w:t xml:space="preserve"> Prefers using a TRC threshold of 0.85 with no exception for new technologies or approaches (i.e. including emerging technologies). SCE does encourage exploring “what if” scenarios around thresholds to guide possible policy changes.</w:t>
            </w:r>
          </w:p>
        </w:tc>
        <w:tc>
          <w:tcPr>
            <w:tcW w:w="2790" w:type="dxa"/>
          </w:tcPr>
          <w:p w14:paraId="69EF4C8B" w14:textId="77777777" w:rsidR="00C77DD5" w:rsidRPr="00F90D70" w:rsidRDefault="00C77DD5"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The assumption of 0.85 has been used for several iterations of the study and is also reflective of the history of measures with TRC &lt; 1 being included in programs</w:t>
            </w:r>
          </w:p>
        </w:tc>
      </w:tr>
      <w:tr w:rsidR="00C77DD5" w:rsidRPr="00F90D70" w14:paraId="154124E0"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03C0C48E" w14:textId="77777777" w:rsidR="00C77DD5" w:rsidRPr="00F90D70" w:rsidRDefault="00C77DD5" w:rsidP="00C77DD5">
            <w:pPr>
              <w:rPr>
                <w:rFonts w:ascii="Arial Narrow" w:hAnsi="Arial Narrow" w:cs="Arial"/>
                <w:b/>
                <w:snapToGrid w:val="0"/>
                <w:szCs w:val="18"/>
              </w:rPr>
            </w:pPr>
            <w:r w:rsidRPr="00F90D70">
              <w:rPr>
                <w:rFonts w:ascii="Arial Narrow" w:hAnsi="Arial Narrow" w:cs="Arial"/>
                <w:b/>
                <w:snapToGrid w:val="0"/>
                <w:szCs w:val="18"/>
              </w:rPr>
              <w:t>Incentive Levels</w:t>
            </w:r>
          </w:p>
        </w:tc>
      </w:tr>
      <w:tr w:rsidR="00C77DD5" w:rsidRPr="00F90D70" w14:paraId="76DD0B69"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7F305C12"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PG&amp;E:</w:t>
            </w:r>
            <w:r w:rsidRPr="00F90D70">
              <w:rPr>
                <w:rFonts w:ascii="Arial Narrow" w:hAnsi="Arial Narrow" w:cs="Arial"/>
                <w:snapToGrid w:val="0"/>
                <w:szCs w:val="18"/>
              </w:rPr>
              <w:t xml:space="preserve"> Suggests it’s reasonable to use tiered incentives with a cap at 50% as was previously used in the AB802 Technical Analysis.</w:t>
            </w:r>
            <w:r w:rsidRPr="00F90D70">
              <w:rPr>
                <w:rStyle w:val="FootnoteReference"/>
                <w:rFonts w:ascii="Arial Narrow" w:hAnsi="Arial Narrow" w:cs="Arial"/>
                <w:snapToGrid w:val="0"/>
                <w:szCs w:val="18"/>
              </w:rPr>
              <w:footnoteReference w:id="39"/>
            </w:r>
            <w:r w:rsidRPr="00F90D70">
              <w:rPr>
                <w:rFonts w:ascii="Arial Narrow" w:hAnsi="Arial Narrow" w:cs="Arial"/>
                <w:snapToGrid w:val="0"/>
                <w:szCs w:val="18"/>
              </w:rPr>
              <w:t xml:space="preserve"> Suggests it would be reasonable for a high scenario to use up to a 75% cap and a low scenario to use as low as a 25% cap.</w:t>
            </w:r>
          </w:p>
        </w:tc>
        <w:tc>
          <w:tcPr>
            <w:tcW w:w="2790" w:type="dxa"/>
          </w:tcPr>
          <w:p w14:paraId="7D490F4D"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Scenarios will explore higher levels of rebates but not lower. </w:t>
            </w:r>
          </w:p>
        </w:tc>
      </w:tr>
      <w:tr w:rsidR="00C77DD5" w:rsidRPr="00F90D70" w14:paraId="6E1A0560"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190BA086" w14:textId="77777777" w:rsidR="00C77DD5" w:rsidRPr="00F90D70" w:rsidRDefault="00C77DD5" w:rsidP="00C77DD5">
            <w:pPr>
              <w:rPr>
                <w:rFonts w:ascii="Arial Narrow" w:hAnsi="Arial Narrow" w:cs="Arial"/>
                <w:b/>
                <w:snapToGrid w:val="0"/>
                <w:szCs w:val="18"/>
              </w:rPr>
            </w:pPr>
            <w:r w:rsidRPr="00F90D70">
              <w:rPr>
                <w:rFonts w:ascii="Arial Narrow" w:hAnsi="Arial Narrow" w:cs="Arial"/>
                <w:b/>
                <w:snapToGrid w:val="0"/>
                <w:szCs w:val="18"/>
              </w:rPr>
              <w:t>Marketing &amp; Outreach</w:t>
            </w:r>
          </w:p>
        </w:tc>
      </w:tr>
      <w:tr w:rsidR="00C77DD5" w:rsidRPr="00F90D70" w14:paraId="7F159996"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774D25C3"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lastRenderedPageBreak/>
              <w:t>Jeanne Clinton:</w:t>
            </w:r>
            <w:r w:rsidRPr="00F90D70">
              <w:rPr>
                <w:rFonts w:ascii="Arial Narrow" w:hAnsi="Arial Narrow" w:cs="Arial"/>
                <w:snapToGrid w:val="0"/>
                <w:szCs w:val="18"/>
              </w:rPr>
              <w:t xml:space="preserve"> Suggests having scenarios on different levels of penetration, to reflect different levels of “market effectiveness and/or payment facilities” to better inform program design and market strategy.</w:t>
            </w:r>
          </w:p>
          <w:p w14:paraId="65AEADA3"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NRDC: </w:t>
            </w:r>
            <w:r w:rsidRPr="00F90D70">
              <w:rPr>
                <w:rFonts w:ascii="Arial Narrow" w:hAnsi="Arial Narrow" w:cs="Arial"/>
                <w:snapToGrid w:val="0"/>
                <w:szCs w:val="18"/>
              </w:rPr>
              <w:t>Suggests an additional scenario that assesses the energy savings potential based on various delivery channels (e.g., upstream, midstream, downstream)</w:t>
            </w:r>
          </w:p>
          <w:p w14:paraId="79483388"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SCE: </w:t>
            </w:r>
            <w:r w:rsidRPr="00F90D70">
              <w:rPr>
                <w:rFonts w:ascii="Arial Narrow" w:hAnsi="Arial Narrow" w:cs="Arial"/>
                <w:snapToGrid w:val="0"/>
                <w:szCs w:val="18"/>
              </w:rPr>
              <w:t>Advocating for explicitly identifying barriers to EE program adoption when developing Scenarios.</w:t>
            </w:r>
          </w:p>
        </w:tc>
        <w:tc>
          <w:tcPr>
            <w:tcW w:w="2790" w:type="dxa"/>
          </w:tcPr>
          <w:p w14:paraId="61EDE922"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The model does not forecast the explicit impact of specific program design or delivery mechanisms </w:t>
            </w:r>
            <w:r w:rsidR="00C56434">
              <w:rPr>
                <w:rFonts w:ascii="Arial Narrow" w:hAnsi="Arial Narrow" w:cs="Arial"/>
                <w:snapToGrid w:val="0"/>
                <w:szCs w:val="18"/>
              </w:rPr>
              <w:t xml:space="preserve">or barriers to specific technologies </w:t>
            </w:r>
            <w:r w:rsidRPr="00F90D70">
              <w:rPr>
                <w:rFonts w:ascii="Arial Narrow" w:hAnsi="Arial Narrow" w:cs="Arial"/>
                <w:snapToGrid w:val="0"/>
                <w:szCs w:val="18"/>
              </w:rPr>
              <w:t>but rather the overall effect of removal of barriers that drive more participants to programs.</w:t>
            </w:r>
          </w:p>
        </w:tc>
      </w:tr>
      <w:tr w:rsidR="00C77DD5" w:rsidRPr="00F90D70" w14:paraId="19C3AC00"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7AB20055" w14:textId="77777777" w:rsidR="00C77DD5" w:rsidRPr="00F90D70" w:rsidRDefault="00C77DD5" w:rsidP="006B655B">
            <w:pPr>
              <w:keepNext/>
              <w:rPr>
                <w:rFonts w:ascii="Arial Narrow" w:hAnsi="Arial Narrow" w:cs="Arial"/>
                <w:b/>
                <w:snapToGrid w:val="0"/>
                <w:szCs w:val="18"/>
              </w:rPr>
            </w:pPr>
            <w:r w:rsidRPr="00F90D70">
              <w:rPr>
                <w:rFonts w:ascii="Arial Narrow" w:hAnsi="Arial Narrow" w:cs="Arial"/>
                <w:b/>
                <w:snapToGrid w:val="0"/>
                <w:szCs w:val="18"/>
              </w:rPr>
              <w:t>Behavior, Retro-commissioning &amp; Operational (BROs) Enrollment</w:t>
            </w:r>
          </w:p>
        </w:tc>
      </w:tr>
      <w:tr w:rsidR="00C77DD5" w:rsidRPr="00F90D70" w14:paraId="19D6AB6C"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02AA3DDE"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PG&amp;E: </w:t>
            </w:r>
            <w:r w:rsidRPr="00F90D70">
              <w:rPr>
                <w:rFonts w:ascii="Arial Narrow" w:hAnsi="Arial Narrow" w:cs="Arial"/>
                <w:snapToGrid w:val="0"/>
                <w:szCs w:val="18"/>
              </w:rPr>
              <w:t>Suggests assuming current levels of participation for the reference forecast is acceptable, as well as reasonable upper and lower ranges around current levels.</w:t>
            </w:r>
          </w:p>
          <w:p w14:paraId="58141429"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SCE: </w:t>
            </w:r>
            <w:r w:rsidRPr="00F90D70">
              <w:rPr>
                <w:rFonts w:ascii="Arial Narrow" w:hAnsi="Arial Narrow" w:cs="Arial"/>
                <w:snapToGrid w:val="0"/>
                <w:szCs w:val="18"/>
              </w:rPr>
              <w:t>Suggests including scenarios around increased savings from behavior and operational efficiency programs.</w:t>
            </w:r>
          </w:p>
          <w:p w14:paraId="155650AD"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SDG&amp;E:</w:t>
            </w:r>
            <w:r w:rsidRPr="00F90D70">
              <w:rPr>
                <w:rFonts w:ascii="Arial Narrow" w:hAnsi="Arial Narrow" w:cs="Arial"/>
                <w:snapToGrid w:val="0"/>
                <w:szCs w:val="18"/>
              </w:rPr>
              <w:t xml:space="preserve"> “It would be useful to see scenarios built around holistic approaches/program designs that develop potential long-term energy road maps for customers, in addition to looking at just individual technologies or end uses.  An example would be Strategic Energy Management programs.”</w:t>
            </w:r>
          </w:p>
        </w:tc>
        <w:tc>
          <w:tcPr>
            <w:tcW w:w="2790" w:type="dxa"/>
          </w:tcPr>
          <w:p w14:paraId="2B61B6EB" w14:textId="77777777" w:rsidR="00C77DD5"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Scenarios will explore reasonable upper bounds but no lower than current levels. </w:t>
            </w:r>
          </w:p>
          <w:p w14:paraId="5EB32671" w14:textId="4E652239" w:rsidR="008113A1" w:rsidRPr="00F90D70" w:rsidRDefault="008113A1"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Navigant held a follow-up workshop on BROs that included discussion of scenarios. Additional discussion can be found in section </w:t>
            </w:r>
            <w:r w:rsidR="00412EAF">
              <w:rPr>
                <w:rFonts w:ascii="Arial Narrow" w:hAnsi="Arial Narrow" w:cs="Arial"/>
                <w:snapToGrid w:val="0"/>
                <w:szCs w:val="18"/>
                <w:highlight w:val="yellow"/>
              </w:rPr>
              <w:fldChar w:fldCharType="begin"/>
            </w:r>
            <w:r w:rsidR="00412EAF">
              <w:rPr>
                <w:rFonts w:ascii="Arial Narrow" w:hAnsi="Arial Narrow" w:cs="Arial"/>
                <w:snapToGrid w:val="0"/>
                <w:szCs w:val="18"/>
              </w:rPr>
              <w:instrText xml:space="preserve"> REF _Ref484071991 \n \h </w:instrText>
            </w:r>
            <w:r w:rsidR="00412EAF">
              <w:rPr>
                <w:rFonts w:ascii="Arial Narrow" w:hAnsi="Arial Narrow" w:cs="Arial"/>
                <w:snapToGrid w:val="0"/>
                <w:szCs w:val="18"/>
                <w:highlight w:val="yellow"/>
              </w:rPr>
            </w:r>
            <w:r w:rsidR="00412EAF">
              <w:rPr>
                <w:rFonts w:ascii="Arial Narrow" w:hAnsi="Arial Narrow" w:cs="Arial"/>
                <w:snapToGrid w:val="0"/>
                <w:szCs w:val="18"/>
                <w:highlight w:val="yellow"/>
              </w:rPr>
              <w:fldChar w:fldCharType="separate"/>
            </w:r>
            <w:r w:rsidR="00C407F4">
              <w:rPr>
                <w:rFonts w:ascii="Arial Narrow" w:hAnsi="Arial Narrow" w:cs="Arial"/>
                <w:snapToGrid w:val="0"/>
                <w:szCs w:val="18"/>
              </w:rPr>
              <w:t>0</w:t>
            </w:r>
            <w:r w:rsidR="00412EAF">
              <w:rPr>
                <w:rFonts w:ascii="Arial Narrow" w:hAnsi="Arial Narrow" w:cs="Arial"/>
                <w:snapToGrid w:val="0"/>
                <w:szCs w:val="18"/>
                <w:highlight w:val="yellow"/>
              </w:rPr>
              <w:fldChar w:fldCharType="end"/>
            </w:r>
          </w:p>
        </w:tc>
      </w:tr>
      <w:tr w:rsidR="00C77DD5" w:rsidRPr="00F90D70" w14:paraId="1C30AFEF"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5B7B1710" w14:textId="77777777" w:rsidR="00C77DD5" w:rsidRPr="00F90D70" w:rsidRDefault="00C77DD5" w:rsidP="006B655B">
            <w:pPr>
              <w:keepNext/>
              <w:rPr>
                <w:rFonts w:ascii="Arial Narrow" w:hAnsi="Arial Narrow" w:cs="Arial"/>
                <w:b/>
                <w:snapToGrid w:val="0"/>
                <w:szCs w:val="18"/>
              </w:rPr>
            </w:pPr>
            <w:r w:rsidRPr="00F90D70">
              <w:rPr>
                <w:rFonts w:ascii="Arial Narrow" w:hAnsi="Arial Narrow" w:cs="Arial"/>
                <w:b/>
                <w:snapToGrid w:val="0"/>
                <w:szCs w:val="18"/>
              </w:rPr>
              <w:t>IOU Financing Programs</w:t>
            </w:r>
            <w:r w:rsidRPr="00F90D70">
              <w:rPr>
                <w:rStyle w:val="FootnoteReference"/>
                <w:rFonts w:ascii="Arial Narrow" w:hAnsi="Arial Narrow" w:cs="Arial"/>
                <w:snapToGrid w:val="0"/>
              </w:rPr>
              <w:footnoteReference w:id="40"/>
            </w:r>
          </w:p>
        </w:tc>
      </w:tr>
      <w:tr w:rsidR="00C77DD5" w:rsidRPr="00F90D70" w14:paraId="018A3C58"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12DA259D"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PG&amp;E: </w:t>
            </w:r>
            <w:r w:rsidRPr="00F90D70">
              <w:rPr>
                <w:rFonts w:ascii="Arial Narrow" w:hAnsi="Arial Narrow" w:cs="Arial"/>
                <w:snapToGrid w:val="0"/>
                <w:szCs w:val="18"/>
              </w:rPr>
              <w:t>IOU activities (to date) are not driving the energy efficiency financing industry though there is a role for IOUs to play in the future. PG&amp;E further commented that most energy efficiency projects “will be financed – however PG&amp;E doesn’t think it is appropriate to assume this financing will use [IOU] EE financing tools. Traditional financing tools are more likely to be the financing source (e.g., bonds … mortgages…). PG&amp;E would expect to see greater participation in EE financing tools as goals increase. However, the financing schemes that are put in place are unlikely to change much under different goal scenarios. So PG&amp;E believes that incentive level is the primary driver of EE financing investments.”</w:t>
            </w:r>
          </w:p>
          <w:p w14:paraId="55E1BDF1"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SoCalGas: </w:t>
            </w:r>
            <w:r w:rsidRPr="00F90D70">
              <w:rPr>
                <w:rFonts w:ascii="Arial Narrow" w:hAnsi="Arial Narrow" w:cs="Arial"/>
                <w:snapToGrid w:val="0"/>
                <w:szCs w:val="18"/>
              </w:rPr>
              <w:t>Suggests any assumptions about financing programs “should be realistic because of the slow start and likely niche operations” of IOU financing programs.</w:t>
            </w:r>
          </w:p>
          <w:p w14:paraId="5040B272" w14:textId="77777777" w:rsidR="00C77DD5"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SDG&amp;E: </w:t>
            </w:r>
            <w:r w:rsidRPr="00F90D70">
              <w:rPr>
                <w:rFonts w:ascii="Arial Narrow" w:hAnsi="Arial Narrow" w:cs="Arial"/>
                <w:snapToGrid w:val="0"/>
                <w:szCs w:val="18"/>
              </w:rPr>
              <w:t xml:space="preserve">Supports different scenarios considering different financing levels/schemes though also comments that IOU financing pilots are not deployed and cannot provide complete information. </w:t>
            </w:r>
          </w:p>
          <w:p w14:paraId="5D0AAED5" w14:textId="77777777" w:rsidR="00A330AB" w:rsidRPr="00F90D70" w:rsidRDefault="00A330AB" w:rsidP="00A330AB">
            <w:pPr>
              <w:pStyle w:val="ListParagraph"/>
              <w:spacing w:before="0" w:line="240" w:lineRule="exact"/>
              <w:ind w:left="360"/>
              <w:contextualSpacing/>
              <w:jc w:val="left"/>
              <w:rPr>
                <w:rFonts w:ascii="Arial Narrow" w:hAnsi="Arial Narrow" w:cs="Arial"/>
                <w:snapToGrid w:val="0"/>
                <w:szCs w:val="18"/>
              </w:rPr>
            </w:pPr>
          </w:p>
        </w:tc>
        <w:tc>
          <w:tcPr>
            <w:tcW w:w="2790" w:type="dxa"/>
          </w:tcPr>
          <w:p w14:paraId="7DE1FF09"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Since the last PG study there have been no new completed impact evaluations of financing programs to better inform our analysis.</w:t>
            </w:r>
          </w:p>
          <w:p w14:paraId="6201FE6B"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Note: the 2015 PG study excluded financing from the results being used to inform goals</w:t>
            </w:r>
          </w:p>
        </w:tc>
      </w:tr>
      <w:tr w:rsidR="00C77DD5" w:rsidRPr="00F90D70" w14:paraId="55374120"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2F39BDE8" w14:textId="77777777" w:rsidR="00C77DD5" w:rsidRPr="00F90D70" w:rsidRDefault="00C77DD5" w:rsidP="00C77DD5">
            <w:pPr>
              <w:jc w:val="left"/>
              <w:rPr>
                <w:rFonts w:ascii="Arial Narrow" w:hAnsi="Arial Narrow" w:cs="Arial"/>
                <w:b/>
                <w:snapToGrid w:val="0"/>
                <w:szCs w:val="18"/>
              </w:rPr>
            </w:pPr>
            <w:r w:rsidRPr="00F90D70">
              <w:rPr>
                <w:rFonts w:ascii="Arial Narrow" w:hAnsi="Arial Narrow" w:cs="Arial"/>
                <w:b/>
                <w:snapToGrid w:val="0"/>
                <w:szCs w:val="18"/>
              </w:rPr>
              <w:t>Additional Comments</w:t>
            </w:r>
          </w:p>
        </w:tc>
      </w:tr>
      <w:tr w:rsidR="00C77DD5" w:rsidRPr="00F90D70" w14:paraId="3C4E6CAB"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43CA57C8"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PG&amp;E:</w:t>
            </w:r>
            <w:r w:rsidRPr="00F90D70">
              <w:rPr>
                <w:rFonts w:ascii="Arial Narrow" w:hAnsi="Arial Narrow" w:cs="Arial"/>
                <w:snapToGrid w:val="0"/>
                <w:szCs w:val="18"/>
              </w:rPr>
              <w:t xml:space="preserve"> Suggests overall scenarios should focus on three variables: cost-effectiveness, awareness, and incentive level.</w:t>
            </w:r>
          </w:p>
          <w:p w14:paraId="44966C12"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SDG&amp;E:</w:t>
            </w:r>
            <w:r w:rsidRPr="00F90D70">
              <w:rPr>
                <w:rFonts w:ascii="Arial Narrow" w:hAnsi="Arial Narrow" w:cs="Arial"/>
                <w:snapToGrid w:val="0"/>
                <w:szCs w:val="18"/>
              </w:rPr>
              <w:t xml:space="preserve"> Suggests various scenarios and sensitivity analysis around avoided costs.  </w:t>
            </w:r>
          </w:p>
        </w:tc>
        <w:tc>
          <w:tcPr>
            <w:tcW w:w="2790" w:type="dxa"/>
          </w:tcPr>
          <w:p w14:paraId="59BCD544" w14:textId="77777777" w:rsidR="00C77DD5" w:rsidRPr="00F90D70" w:rsidRDefault="00C77DD5"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Avoided costs are an externally influenced variable and is out of scope of scenario analysis. </w:t>
            </w:r>
          </w:p>
        </w:tc>
      </w:tr>
    </w:tbl>
    <w:p w14:paraId="27ABA33B" w14:textId="77777777" w:rsidR="00C77DD5" w:rsidRPr="007B0459" w:rsidRDefault="00C77DD5" w:rsidP="007B0459">
      <w:pPr>
        <w:pStyle w:val="Heading3"/>
      </w:pPr>
      <w:bookmarkStart w:id="308" w:name="_Toc484172684"/>
      <w:bookmarkStart w:id="309" w:name="_Toc484345601"/>
      <w:bookmarkStart w:id="310" w:name="_Toc484092481"/>
      <w:bookmarkStart w:id="311" w:name="_Toc482357302"/>
      <w:bookmarkStart w:id="312" w:name="_Toc482634278"/>
      <w:bookmarkStart w:id="313" w:name="_Toc482626410"/>
      <w:bookmarkStart w:id="314" w:name="_Toc484172685"/>
      <w:bookmarkStart w:id="315" w:name="_Toc484183021"/>
      <w:bookmarkStart w:id="316" w:name="_Ref484595847"/>
      <w:bookmarkStart w:id="317" w:name="_Toc485126536"/>
      <w:bookmarkEnd w:id="308"/>
      <w:bookmarkEnd w:id="309"/>
      <w:r w:rsidRPr="007B0459">
        <w:rPr>
          <w:rStyle w:val="Heading3Char"/>
          <w:b/>
          <w:bCs/>
          <w:i/>
        </w:rPr>
        <w:lastRenderedPageBreak/>
        <w:t>Draft</w:t>
      </w:r>
      <w:r w:rsidRPr="007B0459">
        <w:t xml:space="preserve"> Scenarios</w:t>
      </w:r>
      <w:bookmarkEnd w:id="310"/>
      <w:bookmarkEnd w:id="311"/>
      <w:bookmarkEnd w:id="312"/>
      <w:bookmarkEnd w:id="313"/>
      <w:bookmarkEnd w:id="314"/>
      <w:bookmarkEnd w:id="315"/>
      <w:bookmarkEnd w:id="316"/>
      <w:bookmarkEnd w:id="317"/>
    </w:p>
    <w:p w14:paraId="7EA1D05E" w14:textId="4EA6EDA4" w:rsidR="00D84DAE" w:rsidRDefault="00C77DD5" w:rsidP="00C77DD5">
      <w:pPr>
        <w:rPr>
          <w:rFonts w:cs="Arial"/>
          <w:snapToGrid w:val="0"/>
          <w:szCs w:val="20"/>
        </w:rPr>
      </w:pPr>
      <w:r>
        <w:rPr>
          <w:rFonts w:cs="Arial"/>
          <w:snapToGrid w:val="0"/>
        </w:rPr>
        <w:t xml:space="preserve">The team worked with </w:t>
      </w:r>
      <w:r w:rsidR="000A3F3A">
        <w:rPr>
          <w:rFonts w:cs="Arial"/>
          <w:snapToGrid w:val="0"/>
        </w:rPr>
        <w:t xml:space="preserve">Commission staff </w:t>
      </w:r>
      <w:r>
        <w:rPr>
          <w:rFonts w:cs="Arial"/>
          <w:snapToGrid w:val="0"/>
        </w:rPr>
        <w:t xml:space="preserve">to develop draft scenarios for consideration in the goal setting process. </w:t>
      </w:r>
      <w:r w:rsidRPr="008F2ADE">
        <w:rPr>
          <w:rFonts w:cs="Arial"/>
          <w:snapToGrid w:val="0"/>
        </w:rPr>
        <w:t xml:space="preserve">Each of the internally influenced variables in </w:t>
      </w:r>
      <w:r w:rsidR="0054020E">
        <w:rPr>
          <w:rFonts w:cs="Arial"/>
          <w:snapToGrid w:val="0"/>
        </w:rPr>
        <w:fldChar w:fldCharType="begin"/>
      </w:r>
      <w:r w:rsidR="0054020E">
        <w:rPr>
          <w:rFonts w:cs="Arial"/>
          <w:snapToGrid w:val="0"/>
        </w:rPr>
        <w:instrText xml:space="preserve"> REF _Ref481505140 \h </w:instrText>
      </w:r>
      <w:r w:rsidR="0054020E">
        <w:rPr>
          <w:rFonts w:cs="Arial"/>
          <w:snapToGrid w:val="0"/>
        </w:rPr>
      </w:r>
      <w:r w:rsidR="0054020E">
        <w:rPr>
          <w:rFonts w:cs="Arial"/>
          <w:snapToGrid w:val="0"/>
        </w:rPr>
        <w:fldChar w:fldCharType="separate"/>
      </w:r>
      <w:r w:rsidR="0017633B">
        <w:t xml:space="preserve">Table </w:t>
      </w:r>
      <w:r w:rsidR="0017633B">
        <w:rPr>
          <w:noProof/>
        </w:rPr>
        <w:t>2</w:t>
      </w:r>
      <w:r w:rsidR="0017633B">
        <w:noBreakHyphen/>
      </w:r>
      <w:r w:rsidR="0017633B">
        <w:rPr>
          <w:noProof/>
        </w:rPr>
        <w:t>5</w:t>
      </w:r>
      <w:r w:rsidR="0054020E">
        <w:rPr>
          <w:rFonts w:cs="Arial"/>
          <w:snapToGrid w:val="0"/>
        </w:rPr>
        <w:fldChar w:fldCharType="end"/>
      </w:r>
      <w:r w:rsidR="0054020E">
        <w:rPr>
          <w:rFonts w:cs="Arial"/>
          <w:snapToGrid w:val="0"/>
        </w:rPr>
        <w:t xml:space="preserve"> </w:t>
      </w:r>
      <w:r w:rsidRPr="008F2ADE">
        <w:rPr>
          <w:rFonts w:cs="Arial"/>
          <w:snapToGrid w:val="0"/>
        </w:rPr>
        <w:t xml:space="preserve">is expected to have an impact on the forecast of energy efficiency potential. The combined impact of these </w:t>
      </w:r>
      <w:r w:rsidRPr="008F2ADE">
        <w:rPr>
          <w:rFonts w:cs="Arial"/>
          <w:snapToGrid w:val="0"/>
          <w:szCs w:val="20"/>
        </w:rPr>
        <w:t xml:space="preserve">variables represents a scenario. </w:t>
      </w:r>
    </w:p>
    <w:p w14:paraId="20C3A05C" w14:textId="77777777" w:rsidR="00D84DAE" w:rsidRDefault="00D84DAE" w:rsidP="00C77DD5">
      <w:pPr>
        <w:rPr>
          <w:rFonts w:cs="Arial"/>
          <w:snapToGrid w:val="0"/>
          <w:szCs w:val="20"/>
        </w:rPr>
      </w:pPr>
    </w:p>
    <w:p w14:paraId="0BEBA6CB" w14:textId="196C9267" w:rsidR="00D84DAE" w:rsidRDefault="006E231E" w:rsidP="00C77DD5">
      <w:pPr>
        <w:rPr>
          <w:rFonts w:cs="Arial"/>
          <w:snapToGrid w:val="0"/>
          <w:szCs w:val="20"/>
        </w:rPr>
      </w:pPr>
      <w:r>
        <w:rPr>
          <w:rFonts w:cs="Arial"/>
          <w:snapToGrid w:val="0"/>
          <w:szCs w:val="20"/>
        </w:rPr>
        <w:t>Commission staff</w:t>
      </w:r>
      <w:r w:rsidR="00D84DAE">
        <w:rPr>
          <w:rFonts w:cs="Arial"/>
          <w:snapToGrid w:val="0"/>
          <w:szCs w:val="20"/>
        </w:rPr>
        <w:t xml:space="preserve"> took the following into consideration when </w:t>
      </w:r>
      <w:r w:rsidR="000A5A7E">
        <w:rPr>
          <w:rFonts w:cs="Arial"/>
          <w:snapToGrid w:val="0"/>
          <w:szCs w:val="20"/>
        </w:rPr>
        <w:t>directing</w:t>
      </w:r>
      <w:r w:rsidR="00D84DAE">
        <w:rPr>
          <w:rFonts w:cs="Arial"/>
          <w:snapToGrid w:val="0"/>
          <w:szCs w:val="20"/>
        </w:rPr>
        <w:t xml:space="preserve"> Navigant on the </w:t>
      </w:r>
      <w:r w:rsidR="003822EF">
        <w:rPr>
          <w:rFonts w:cs="Arial"/>
          <w:snapToGrid w:val="0"/>
          <w:szCs w:val="20"/>
        </w:rPr>
        <w:t>draft</w:t>
      </w:r>
      <w:r w:rsidR="00D84DAE">
        <w:rPr>
          <w:rFonts w:cs="Arial"/>
          <w:snapToGrid w:val="0"/>
          <w:szCs w:val="20"/>
        </w:rPr>
        <w:t xml:space="preserve"> scenarios</w:t>
      </w:r>
    </w:p>
    <w:p w14:paraId="6A6A6427" w14:textId="77777777" w:rsidR="00D84DAE" w:rsidRDefault="00D84DAE" w:rsidP="004E4E36">
      <w:pPr>
        <w:pStyle w:val="ListParagraph"/>
        <w:numPr>
          <w:ilvl w:val="0"/>
          <w:numId w:val="21"/>
        </w:numPr>
        <w:rPr>
          <w:rFonts w:cs="Arial"/>
          <w:snapToGrid w:val="0"/>
        </w:rPr>
      </w:pPr>
      <w:r w:rsidRPr="00F036AA">
        <w:rPr>
          <w:rFonts w:cs="Arial"/>
          <w:snapToGrid w:val="0"/>
        </w:rPr>
        <w:t>Commission staff followed closely the developments in the IDER proceeding</w:t>
      </w:r>
      <w:r>
        <w:rPr>
          <w:rFonts w:cs="Arial"/>
          <w:snapToGrid w:val="0"/>
        </w:rPr>
        <w:t xml:space="preserve">. This informed the </w:t>
      </w:r>
      <w:r w:rsidRPr="00F036AA">
        <w:rPr>
          <w:rFonts w:cs="Arial"/>
          <w:snapToGrid w:val="0"/>
        </w:rPr>
        <w:t xml:space="preserve">alternative cost-effective tests to </w:t>
      </w:r>
      <w:r w:rsidR="00C12F1A">
        <w:rPr>
          <w:rFonts w:cs="Arial"/>
          <w:snapToGrid w:val="0"/>
        </w:rPr>
        <w:t>consider</w:t>
      </w:r>
      <w:r w:rsidR="003822EF">
        <w:rPr>
          <w:rFonts w:cs="Arial"/>
          <w:snapToGrid w:val="0"/>
        </w:rPr>
        <w:t>.</w:t>
      </w:r>
    </w:p>
    <w:p w14:paraId="0E912508" w14:textId="77777777" w:rsidR="00D84DAE" w:rsidRPr="00F036AA" w:rsidRDefault="00D84DAE" w:rsidP="004E4E36">
      <w:pPr>
        <w:pStyle w:val="ListParagraph"/>
        <w:numPr>
          <w:ilvl w:val="0"/>
          <w:numId w:val="21"/>
        </w:numPr>
        <w:rPr>
          <w:rFonts w:cs="Arial"/>
          <w:snapToGrid w:val="0"/>
        </w:rPr>
      </w:pPr>
      <w:r>
        <w:rPr>
          <w:rFonts w:cs="Arial"/>
          <w:snapToGrid w:val="0"/>
        </w:rPr>
        <w:t xml:space="preserve">On February 2017, Commission staff released a Societal Cost Test </w:t>
      </w:r>
      <w:r w:rsidR="003822EF">
        <w:rPr>
          <w:rFonts w:cs="Arial"/>
          <w:snapToGrid w:val="0"/>
        </w:rPr>
        <w:t xml:space="preserve">(SCT) </w:t>
      </w:r>
      <w:r>
        <w:rPr>
          <w:rFonts w:cs="Arial"/>
          <w:snapToGrid w:val="0"/>
        </w:rPr>
        <w:t>white paper with recommendations for parameters to support a SCT as well as modifications to currently used TRC and PAC.</w:t>
      </w:r>
    </w:p>
    <w:p w14:paraId="714656DB" w14:textId="77777777" w:rsidR="003822EF" w:rsidRDefault="00D84DAE" w:rsidP="004E4E36">
      <w:pPr>
        <w:pStyle w:val="ListParagraph"/>
        <w:numPr>
          <w:ilvl w:val="0"/>
          <w:numId w:val="21"/>
        </w:numPr>
        <w:rPr>
          <w:rFonts w:cs="Arial"/>
          <w:snapToGrid w:val="0"/>
        </w:rPr>
      </w:pPr>
      <w:r>
        <w:rPr>
          <w:rFonts w:cs="Arial"/>
          <w:snapToGrid w:val="0"/>
        </w:rPr>
        <w:t>On April 2017, Commission staff proposed a GHG adder curve as an inte</w:t>
      </w:r>
      <w:r w:rsidR="003822EF">
        <w:rPr>
          <w:rFonts w:cs="Arial"/>
          <w:snapToGrid w:val="0"/>
        </w:rPr>
        <w:t xml:space="preserve">rim value that could inform </w:t>
      </w:r>
      <w:r>
        <w:rPr>
          <w:rFonts w:cs="Arial"/>
          <w:snapToGrid w:val="0"/>
        </w:rPr>
        <w:t xml:space="preserve">goal </w:t>
      </w:r>
      <w:r w:rsidR="003822EF">
        <w:rPr>
          <w:rFonts w:cs="Arial"/>
          <w:snapToGrid w:val="0"/>
        </w:rPr>
        <w:t>setting</w:t>
      </w:r>
      <w:r>
        <w:rPr>
          <w:rFonts w:cs="Arial"/>
          <w:snapToGrid w:val="0"/>
        </w:rPr>
        <w:t>. The interim GHG adder proposal followed the methods proposed in the SCT staff white paper. The GHG adder curve was developed based</w:t>
      </w:r>
      <w:r w:rsidR="003822EF">
        <w:rPr>
          <w:rFonts w:cs="Arial"/>
          <w:snapToGrid w:val="0"/>
        </w:rPr>
        <w:t xml:space="preserve"> </w:t>
      </w:r>
      <w:r>
        <w:rPr>
          <w:rFonts w:cs="Arial"/>
          <w:snapToGrid w:val="0"/>
        </w:rPr>
        <w:t xml:space="preserve">on draft runs of the RESOLVE model in the Integrated Resources Proceeding (IRP). </w:t>
      </w:r>
    </w:p>
    <w:p w14:paraId="327EFD2E" w14:textId="77777777" w:rsidR="00D84DAE" w:rsidRDefault="003822EF" w:rsidP="004E4E36">
      <w:pPr>
        <w:pStyle w:val="ListParagraph"/>
        <w:numPr>
          <w:ilvl w:val="0"/>
          <w:numId w:val="21"/>
        </w:numPr>
        <w:rPr>
          <w:rFonts w:cs="Arial"/>
          <w:snapToGrid w:val="0"/>
        </w:rPr>
      </w:pPr>
      <w:r>
        <w:rPr>
          <w:rFonts w:cs="Arial"/>
          <w:snapToGrid w:val="0"/>
        </w:rPr>
        <w:t>In the c</w:t>
      </w:r>
      <w:r w:rsidR="00D84DAE">
        <w:rPr>
          <w:rFonts w:cs="Arial"/>
          <w:snapToGrid w:val="0"/>
        </w:rPr>
        <w:t xml:space="preserve">omments to the </w:t>
      </w:r>
      <w:r>
        <w:rPr>
          <w:rFonts w:cs="Arial"/>
          <w:snapToGrid w:val="0"/>
        </w:rPr>
        <w:t>staff proposed interim GHG adder, the j</w:t>
      </w:r>
      <w:r w:rsidR="00D84DAE">
        <w:rPr>
          <w:rFonts w:cs="Arial"/>
          <w:snapToGrid w:val="0"/>
        </w:rPr>
        <w:t xml:space="preserve">oint IOUs proposed an alternative GHG adder curve based on the </w:t>
      </w:r>
      <w:r w:rsidR="00D84DAE" w:rsidRPr="003822EF">
        <w:rPr>
          <w:rFonts w:cs="Arial"/>
          <w:bCs/>
          <w:snapToGrid w:val="0"/>
        </w:rPr>
        <w:t>Allowance Price Containment Reserve</w:t>
      </w:r>
      <w:r w:rsidR="00D84DAE" w:rsidRPr="00257039">
        <w:rPr>
          <w:rFonts w:cs="Arial"/>
          <w:snapToGrid w:val="0"/>
        </w:rPr>
        <w:t> </w:t>
      </w:r>
      <w:r w:rsidR="00D84DAE">
        <w:rPr>
          <w:rFonts w:cs="Arial"/>
          <w:snapToGrid w:val="0"/>
        </w:rPr>
        <w:t>(</w:t>
      </w:r>
      <w:r w:rsidR="00D84DAE" w:rsidRPr="00257039">
        <w:rPr>
          <w:rFonts w:cs="Arial"/>
          <w:snapToGrid w:val="0"/>
        </w:rPr>
        <w:t>APCR</w:t>
      </w:r>
      <w:r w:rsidR="00D84DAE">
        <w:rPr>
          <w:rFonts w:cs="Arial"/>
          <w:snapToGrid w:val="0"/>
        </w:rPr>
        <w:t>)</w:t>
      </w:r>
      <w:r w:rsidR="00D84DAE">
        <w:rPr>
          <w:rStyle w:val="FootnoteReference"/>
          <w:rFonts w:cs="Arial"/>
          <w:snapToGrid w:val="0"/>
        </w:rPr>
        <w:footnoteReference w:id="41"/>
      </w:r>
      <w:r w:rsidR="00D84DAE">
        <w:rPr>
          <w:rFonts w:cs="Arial"/>
          <w:snapToGrid w:val="0"/>
        </w:rPr>
        <w:t>. This curve is an extrapolation of preliminary values released by the ARB during the development of the California Air Resources Board</w:t>
      </w:r>
      <w:r w:rsidR="00D84DAE" w:rsidRPr="00257039">
        <w:rPr>
          <w:rFonts w:cs="Arial"/>
          <w:snapToGrid w:val="0"/>
        </w:rPr>
        <w:t xml:space="preserve"> </w:t>
      </w:r>
      <w:r w:rsidR="00D84DAE">
        <w:rPr>
          <w:rFonts w:cs="Arial"/>
          <w:snapToGrid w:val="0"/>
        </w:rPr>
        <w:t>AB 32 Scoping Plan Update.</w:t>
      </w:r>
      <w:r w:rsidR="00D84DAE" w:rsidRPr="00257039">
        <w:rPr>
          <w:rFonts w:cs="Arial"/>
          <w:snapToGrid w:val="0"/>
        </w:rPr>
        <w:t xml:space="preserve"> </w:t>
      </w:r>
      <w:r w:rsidR="00D84DAE">
        <w:rPr>
          <w:rFonts w:cs="Arial"/>
          <w:snapToGrid w:val="0"/>
        </w:rPr>
        <w:t xml:space="preserve">Although the proposed allowance prices are not final and are subject to change, Commission staff believes they are a reasonable alternative to the staff proposal and will give stakeholders the chance to see how market potential changes when using alternative GHG adder values. </w:t>
      </w:r>
    </w:p>
    <w:p w14:paraId="4CC39DA9" w14:textId="77777777" w:rsidR="003822EF" w:rsidRDefault="003822EF" w:rsidP="003822EF">
      <w:pPr>
        <w:rPr>
          <w:rFonts w:cs="Arial"/>
          <w:snapToGrid w:val="0"/>
        </w:rPr>
      </w:pPr>
    </w:p>
    <w:p w14:paraId="07842EF8" w14:textId="2FE2D409" w:rsidR="003822EF" w:rsidRDefault="005260A8" w:rsidP="003822EF">
      <w:pPr>
        <w:rPr>
          <w:rFonts w:cs="Arial"/>
          <w:snapToGrid w:val="0"/>
        </w:rPr>
      </w:pPr>
      <w:r>
        <w:rPr>
          <w:rFonts w:cs="Arial"/>
          <w:snapToGrid w:val="0"/>
        </w:rPr>
        <w:t>Commission staff</w:t>
      </w:r>
      <w:r w:rsidR="003822EF">
        <w:rPr>
          <w:rFonts w:cs="Arial"/>
          <w:snapToGrid w:val="0"/>
        </w:rPr>
        <w:t>’s intent was t</w:t>
      </w:r>
      <w:r w:rsidR="003822EF" w:rsidRPr="003822EF">
        <w:rPr>
          <w:rFonts w:cs="Arial"/>
          <w:snapToGrid w:val="0"/>
        </w:rPr>
        <w:t>o</w:t>
      </w:r>
      <w:r w:rsidR="00D84DAE" w:rsidRPr="003822EF">
        <w:rPr>
          <w:rFonts w:cs="Arial"/>
          <w:snapToGrid w:val="0"/>
        </w:rPr>
        <w:t xml:space="preserve"> keep the number of scenarios manageable but still provide a range of alternatives to bound market potential</w:t>
      </w:r>
      <w:r w:rsidR="003822EF">
        <w:rPr>
          <w:rFonts w:cs="Arial"/>
          <w:snapToGrid w:val="0"/>
        </w:rPr>
        <w:t xml:space="preserve">. </w:t>
      </w:r>
      <w:r w:rsidR="002C3792">
        <w:rPr>
          <w:rFonts w:cs="Arial"/>
          <w:snapToGrid w:val="0"/>
        </w:rPr>
        <w:t>Therefore,</w:t>
      </w:r>
      <w:r w:rsidR="003822EF">
        <w:rPr>
          <w:rFonts w:cs="Arial"/>
          <w:snapToGrid w:val="0"/>
        </w:rPr>
        <w:t xml:space="preserve"> five scenarios in total were proposed and are listed </w:t>
      </w:r>
      <w:r w:rsidR="003822EF" w:rsidRPr="008F2ADE">
        <w:rPr>
          <w:rFonts w:cs="Arial"/>
          <w:snapToGrid w:val="0"/>
          <w:szCs w:val="20"/>
        </w:rPr>
        <w:t>in</w:t>
      </w:r>
      <w:r w:rsidR="00AD6E5E">
        <w:rPr>
          <w:rFonts w:cs="Arial"/>
          <w:snapToGrid w:val="0"/>
          <w:szCs w:val="20"/>
        </w:rPr>
        <w:t xml:space="preserve"> </w:t>
      </w:r>
      <w:r w:rsidR="00AD6E5E">
        <w:rPr>
          <w:rFonts w:cs="Arial"/>
          <w:snapToGrid w:val="0"/>
          <w:szCs w:val="20"/>
        </w:rPr>
        <w:fldChar w:fldCharType="begin"/>
      </w:r>
      <w:r w:rsidR="00AD6E5E">
        <w:rPr>
          <w:rFonts w:cs="Arial"/>
          <w:snapToGrid w:val="0"/>
          <w:szCs w:val="20"/>
        </w:rPr>
        <w:instrText xml:space="preserve"> REF _Ref484166503 \h </w:instrText>
      </w:r>
      <w:r w:rsidR="00AD6E5E">
        <w:rPr>
          <w:rFonts w:cs="Arial"/>
          <w:snapToGrid w:val="0"/>
          <w:szCs w:val="20"/>
        </w:rPr>
      </w:r>
      <w:r w:rsidR="00AD6E5E">
        <w:rPr>
          <w:rFonts w:cs="Arial"/>
          <w:snapToGrid w:val="0"/>
          <w:szCs w:val="20"/>
        </w:rPr>
        <w:fldChar w:fldCharType="separate"/>
      </w:r>
      <w:r w:rsidR="00C23564" w:rsidRPr="008F2ADE">
        <w:t xml:space="preserve">Table </w:t>
      </w:r>
      <w:r w:rsidR="00C23564">
        <w:rPr>
          <w:noProof/>
        </w:rPr>
        <w:t>2</w:t>
      </w:r>
      <w:r w:rsidR="00C23564">
        <w:noBreakHyphen/>
      </w:r>
      <w:r w:rsidR="00C23564">
        <w:rPr>
          <w:noProof/>
        </w:rPr>
        <w:t>7</w:t>
      </w:r>
      <w:r w:rsidR="00AD6E5E">
        <w:rPr>
          <w:rFonts w:cs="Arial"/>
          <w:snapToGrid w:val="0"/>
          <w:szCs w:val="20"/>
        </w:rPr>
        <w:fldChar w:fldCharType="end"/>
      </w:r>
      <w:r w:rsidR="003822EF" w:rsidRPr="008F2ADE">
        <w:rPr>
          <w:rFonts w:cs="Arial"/>
          <w:snapToGrid w:val="0"/>
        </w:rPr>
        <w:t>.</w:t>
      </w:r>
    </w:p>
    <w:p w14:paraId="750A9A03" w14:textId="77777777" w:rsidR="002C3792" w:rsidRDefault="002C3792" w:rsidP="003822EF">
      <w:pPr>
        <w:rPr>
          <w:rFonts w:cs="Arial"/>
          <w:snapToGrid w:val="0"/>
        </w:rPr>
      </w:pPr>
    </w:p>
    <w:p w14:paraId="32C34E97" w14:textId="496E6E49" w:rsidR="002C3792" w:rsidRDefault="002C3792" w:rsidP="00A330AB">
      <w:pPr>
        <w:pStyle w:val="Caption"/>
      </w:pPr>
      <w:bookmarkStart w:id="318" w:name="_Ref484166503"/>
      <w:bookmarkStart w:id="319" w:name="_Toc484436946"/>
      <w:bookmarkStart w:id="320" w:name="_Toc485125657"/>
      <w:r w:rsidRPr="008F2ADE">
        <w:t xml:space="preserve">Table </w:t>
      </w:r>
      <w:r w:rsidR="00272F76">
        <w:fldChar w:fldCharType="begin"/>
      </w:r>
      <w:r w:rsidR="00272F76">
        <w:instrText xml:space="preserve"> STYLEREF 1 \s </w:instrText>
      </w:r>
      <w:r w:rsidR="00272F76">
        <w:fldChar w:fldCharType="separate"/>
      </w:r>
      <w:r w:rsidR="00C407F4">
        <w:rPr>
          <w:noProof/>
        </w:rPr>
        <w:t>2</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23564">
        <w:rPr>
          <w:noProof/>
        </w:rPr>
        <w:t>7</w:t>
      </w:r>
      <w:r w:rsidR="00272F76">
        <w:rPr>
          <w:noProof/>
        </w:rPr>
        <w:fldChar w:fldCharType="end"/>
      </w:r>
      <w:bookmarkEnd w:id="318"/>
      <w:r w:rsidR="00BB59F5">
        <w:t>.</w:t>
      </w:r>
      <w:r w:rsidRPr="008F2ADE">
        <w:t xml:space="preserve"> Draft Scenarios for Energy Efficiency Potential – Summary</w:t>
      </w:r>
      <w:bookmarkEnd w:id="319"/>
      <w:bookmarkEnd w:id="320"/>
    </w:p>
    <w:tbl>
      <w:tblPr>
        <w:tblStyle w:val="EnergyTable1"/>
        <w:tblW w:w="0" w:type="auto"/>
        <w:tblLook w:val="04A0" w:firstRow="1" w:lastRow="0" w:firstColumn="1" w:lastColumn="0" w:noHBand="0" w:noVBand="1"/>
      </w:tblPr>
      <w:tblGrid>
        <w:gridCol w:w="3240"/>
        <w:gridCol w:w="3058"/>
        <w:gridCol w:w="1977"/>
      </w:tblGrid>
      <w:tr w:rsidR="002C3792" w:rsidRPr="00D84DAE" w14:paraId="2E1C4533" w14:textId="77777777" w:rsidTr="00BA2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09AAC71B" w14:textId="77777777" w:rsidR="002C3792" w:rsidRPr="00D84DAE" w:rsidRDefault="002C3792" w:rsidP="00A330AB">
            <w:pPr>
              <w:keepNext/>
              <w:rPr>
                <w:rFonts w:ascii="Arial Narrow" w:hAnsi="Arial Narrow"/>
              </w:rPr>
            </w:pPr>
            <w:r w:rsidRPr="00D84DAE">
              <w:rPr>
                <w:rFonts w:ascii="Arial Narrow" w:hAnsi="Arial Narrow"/>
              </w:rPr>
              <w:t>Scenario</w:t>
            </w:r>
          </w:p>
        </w:tc>
        <w:tc>
          <w:tcPr>
            <w:tcW w:w="3058" w:type="dxa"/>
          </w:tcPr>
          <w:p w14:paraId="77A51EE3" w14:textId="77777777" w:rsidR="002C3792" w:rsidRPr="00D84DAE" w:rsidRDefault="002C3792"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84DAE">
              <w:rPr>
                <w:rFonts w:ascii="Arial Narrow" w:hAnsi="Arial Narrow"/>
              </w:rPr>
              <w:t>Cost Effectiveness Screen</w:t>
            </w:r>
          </w:p>
        </w:tc>
        <w:tc>
          <w:tcPr>
            <w:tcW w:w="1977" w:type="dxa"/>
          </w:tcPr>
          <w:p w14:paraId="149EE0A1" w14:textId="77777777" w:rsidR="002C3792" w:rsidRPr="00D84DAE" w:rsidRDefault="002C3792"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84DAE">
              <w:rPr>
                <w:rFonts w:ascii="Arial Narrow" w:hAnsi="Arial Narrow"/>
              </w:rPr>
              <w:t xml:space="preserve">Program </w:t>
            </w:r>
            <w:r w:rsidR="001A3F0C">
              <w:rPr>
                <w:rFonts w:ascii="Arial Narrow" w:hAnsi="Arial Narrow"/>
              </w:rPr>
              <w:t>Engagement</w:t>
            </w:r>
            <w:r w:rsidRPr="00D84DAE">
              <w:rPr>
                <w:rFonts w:ascii="Arial Narrow" w:hAnsi="Arial Narrow"/>
              </w:rPr>
              <w:t xml:space="preserve"> </w:t>
            </w:r>
          </w:p>
        </w:tc>
      </w:tr>
      <w:tr w:rsidR="002C3792" w:rsidRPr="00D84DAE" w14:paraId="35249B38" w14:textId="77777777" w:rsidTr="00BA2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0D977EA9" w14:textId="77777777" w:rsidR="002C3792" w:rsidRPr="00D84DAE" w:rsidRDefault="002C3792" w:rsidP="00A330AB">
            <w:pPr>
              <w:keepNext/>
              <w:rPr>
                <w:rFonts w:ascii="Arial Narrow" w:hAnsi="Arial Narrow"/>
              </w:rPr>
            </w:pPr>
            <w:r w:rsidRPr="00D84DAE">
              <w:rPr>
                <w:rFonts w:ascii="Arial Narrow" w:hAnsi="Arial Narrow"/>
              </w:rPr>
              <w:t>TRC</w:t>
            </w:r>
            <w:r>
              <w:rPr>
                <w:rFonts w:ascii="Arial Narrow" w:hAnsi="Arial Narrow"/>
              </w:rPr>
              <w:t xml:space="preserve"> | Reference</w:t>
            </w:r>
          </w:p>
        </w:tc>
        <w:tc>
          <w:tcPr>
            <w:tcW w:w="3058" w:type="dxa"/>
          </w:tcPr>
          <w:p w14:paraId="07E2D7AA" w14:textId="77777777" w:rsidR="002C3792" w:rsidRPr="00D84DAE" w:rsidRDefault="002C3792"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TRC</w:t>
            </w:r>
            <w:r>
              <w:rPr>
                <w:rFonts w:ascii="Arial Narrow" w:hAnsi="Arial Narrow"/>
              </w:rPr>
              <w:t xml:space="preserve"> test using 2016 Avoided Costs</w:t>
            </w:r>
          </w:p>
        </w:tc>
        <w:tc>
          <w:tcPr>
            <w:tcW w:w="1977" w:type="dxa"/>
          </w:tcPr>
          <w:p w14:paraId="24784610" w14:textId="77777777" w:rsidR="002C3792" w:rsidRPr="00D84DAE" w:rsidRDefault="002C3792"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Reference</w:t>
            </w:r>
          </w:p>
        </w:tc>
      </w:tr>
      <w:tr w:rsidR="002C3792" w:rsidRPr="00D84DAE" w14:paraId="16F5506B" w14:textId="77777777" w:rsidTr="00BA2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58639127" w14:textId="77777777" w:rsidR="002C3792" w:rsidRPr="00D84DAE" w:rsidRDefault="002C3792" w:rsidP="00A330AB">
            <w:pPr>
              <w:keepNext/>
              <w:rPr>
                <w:rFonts w:ascii="Arial Narrow" w:hAnsi="Arial Narrow"/>
              </w:rPr>
            </w:pPr>
            <w:r w:rsidRPr="00D84DAE">
              <w:rPr>
                <w:rFonts w:ascii="Arial Narrow" w:hAnsi="Arial Narrow"/>
              </w:rPr>
              <w:t>mTRC (GHG Adder #1)</w:t>
            </w:r>
            <w:r>
              <w:rPr>
                <w:rFonts w:ascii="Arial Narrow" w:hAnsi="Arial Narrow"/>
              </w:rPr>
              <w:t xml:space="preserve"> | Reference</w:t>
            </w:r>
          </w:p>
        </w:tc>
        <w:tc>
          <w:tcPr>
            <w:tcW w:w="3058" w:type="dxa"/>
          </w:tcPr>
          <w:p w14:paraId="7EC46EE3" w14:textId="77777777" w:rsidR="002C3792" w:rsidRPr="00D84DAE" w:rsidRDefault="002C3792"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TRC</w:t>
            </w:r>
            <w:r>
              <w:rPr>
                <w:rFonts w:ascii="Arial Narrow" w:hAnsi="Arial Narrow"/>
              </w:rPr>
              <w:t xml:space="preserve"> test using 2016 Avoided Costs + IOU proposed GHG Adder</w:t>
            </w:r>
          </w:p>
        </w:tc>
        <w:tc>
          <w:tcPr>
            <w:tcW w:w="1977" w:type="dxa"/>
          </w:tcPr>
          <w:p w14:paraId="50DF05FB" w14:textId="77777777" w:rsidR="002C3792" w:rsidRPr="00D84DAE" w:rsidRDefault="002C3792"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Reference</w:t>
            </w:r>
          </w:p>
        </w:tc>
      </w:tr>
      <w:tr w:rsidR="002C3792" w:rsidRPr="00D84DAE" w14:paraId="08ACBEED" w14:textId="77777777" w:rsidTr="00BA2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5C1AD15E" w14:textId="77777777" w:rsidR="002C3792" w:rsidRPr="00D84DAE" w:rsidRDefault="002C3792" w:rsidP="00A330AB">
            <w:pPr>
              <w:keepNext/>
              <w:rPr>
                <w:rFonts w:ascii="Arial Narrow" w:hAnsi="Arial Narrow"/>
              </w:rPr>
            </w:pPr>
            <w:r w:rsidRPr="00D84DAE">
              <w:rPr>
                <w:rFonts w:ascii="Arial Narrow" w:hAnsi="Arial Narrow"/>
              </w:rPr>
              <w:t>mTRC (GHG Adder #2)</w:t>
            </w:r>
            <w:r>
              <w:rPr>
                <w:rFonts w:ascii="Arial Narrow" w:hAnsi="Arial Narrow"/>
              </w:rPr>
              <w:t xml:space="preserve"> | Reference</w:t>
            </w:r>
          </w:p>
        </w:tc>
        <w:tc>
          <w:tcPr>
            <w:tcW w:w="3058" w:type="dxa"/>
          </w:tcPr>
          <w:p w14:paraId="0BDEDB58" w14:textId="28E9DF8F" w:rsidR="002C3792" w:rsidRPr="00D84DAE" w:rsidRDefault="002C3792"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TRC</w:t>
            </w:r>
            <w:r>
              <w:rPr>
                <w:rFonts w:ascii="Arial Narrow" w:hAnsi="Arial Narrow"/>
              </w:rPr>
              <w:t xml:space="preserve"> test using 2016 Avoided Costs + </w:t>
            </w:r>
            <w:r w:rsidR="000A3F3A">
              <w:rPr>
                <w:rFonts w:ascii="Arial Narrow" w:hAnsi="Arial Narrow"/>
              </w:rPr>
              <w:t xml:space="preserve">Commission staff </w:t>
            </w:r>
            <w:r>
              <w:rPr>
                <w:rFonts w:ascii="Arial Narrow" w:hAnsi="Arial Narrow"/>
              </w:rPr>
              <w:t>proposed GHG Adder</w:t>
            </w:r>
          </w:p>
        </w:tc>
        <w:tc>
          <w:tcPr>
            <w:tcW w:w="1977" w:type="dxa"/>
          </w:tcPr>
          <w:p w14:paraId="7F916A6C" w14:textId="77777777" w:rsidR="002C3792" w:rsidRPr="00D84DAE" w:rsidRDefault="002C3792"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Reference</w:t>
            </w:r>
          </w:p>
        </w:tc>
      </w:tr>
      <w:tr w:rsidR="002C3792" w:rsidRPr="00D84DAE" w14:paraId="4318F9C2" w14:textId="77777777" w:rsidTr="00BA2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66255027" w14:textId="77777777" w:rsidR="002C3792" w:rsidRPr="00D84DAE" w:rsidRDefault="002C3792" w:rsidP="00A330AB">
            <w:pPr>
              <w:keepNext/>
              <w:rPr>
                <w:rFonts w:ascii="Arial Narrow" w:hAnsi="Arial Narrow"/>
              </w:rPr>
            </w:pPr>
            <w:r w:rsidRPr="00D84DAE">
              <w:rPr>
                <w:rFonts w:ascii="Arial Narrow" w:hAnsi="Arial Narrow"/>
              </w:rPr>
              <w:t>PAC</w:t>
            </w:r>
            <w:r>
              <w:rPr>
                <w:rFonts w:ascii="Arial Narrow" w:hAnsi="Arial Narrow"/>
              </w:rPr>
              <w:t xml:space="preserve"> | Reference</w:t>
            </w:r>
          </w:p>
        </w:tc>
        <w:tc>
          <w:tcPr>
            <w:tcW w:w="3058" w:type="dxa"/>
          </w:tcPr>
          <w:p w14:paraId="4080E200" w14:textId="77777777" w:rsidR="002C3792" w:rsidRPr="00D84DAE" w:rsidRDefault="002C3792"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PAC</w:t>
            </w:r>
            <w:r>
              <w:rPr>
                <w:rFonts w:ascii="Arial Narrow" w:hAnsi="Arial Narrow"/>
              </w:rPr>
              <w:t xml:space="preserve"> test using 2016 Avoided Costs</w:t>
            </w:r>
          </w:p>
        </w:tc>
        <w:tc>
          <w:tcPr>
            <w:tcW w:w="1977" w:type="dxa"/>
          </w:tcPr>
          <w:p w14:paraId="2B6B012E" w14:textId="77777777" w:rsidR="002C3792" w:rsidRPr="00D84DAE" w:rsidRDefault="002C3792"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84DAE">
              <w:rPr>
                <w:rFonts w:ascii="Arial Narrow" w:hAnsi="Arial Narrow"/>
              </w:rPr>
              <w:t>Reference</w:t>
            </w:r>
          </w:p>
        </w:tc>
      </w:tr>
      <w:tr w:rsidR="002C3792" w:rsidRPr="00D84DAE" w14:paraId="44AE1C65" w14:textId="77777777" w:rsidTr="00BA2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30325C39" w14:textId="77777777" w:rsidR="002C3792" w:rsidRPr="00D84DAE" w:rsidRDefault="002C3792" w:rsidP="00BA20F0">
            <w:pPr>
              <w:rPr>
                <w:rFonts w:ascii="Arial Narrow" w:hAnsi="Arial Narrow"/>
              </w:rPr>
            </w:pPr>
            <w:r w:rsidRPr="00D84DAE">
              <w:rPr>
                <w:rFonts w:ascii="Arial Narrow" w:hAnsi="Arial Narrow"/>
              </w:rPr>
              <w:t>PAC</w:t>
            </w:r>
            <w:r>
              <w:rPr>
                <w:rFonts w:ascii="Arial Narrow" w:hAnsi="Arial Narrow"/>
              </w:rPr>
              <w:t xml:space="preserve"> | Aggressive</w:t>
            </w:r>
          </w:p>
        </w:tc>
        <w:tc>
          <w:tcPr>
            <w:tcW w:w="3058" w:type="dxa"/>
          </w:tcPr>
          <w:p w14:paraId="1708BAE5" w14:textId="77777777" w:rsidR="002C3792" w:rsidRPr="00D84DAE" w:rsidRDefault="002C3792" w:rsidP="00BA20F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PAC</w:t>
            </w:r>
            <w:r>
              <w:rPr>
                <w:rFonts w:ascii="Arial Narrow" w:hAnsi="Arial Narrow"/>
              </w:rPr>
              <w:t xml:space="preserve"> test using 2016 Avoided Costs</w:t>
            </w:r>
          </w:p>
        </w:tc>
        <w:tc>
          <w:tcPr>
            <w:tcW w:w="1977" w:type="dxa"/>
          </w:tcPr>
          <w:p w14:paraId="44F6A1E8" w14:textId="77777777" w:rsidR="002C3792" w:rsidRPr="00D84DAE" w:rsidRDefault="002C3792" w:rsidP="00BA20F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4DAE">
              <w:rPr>
                <w:rFonts w:ascii="Arial Narrow" w:hAnsi="Arial Narrow"/>
              </w:rPr>
              <w:t>Aggressive</w:t>
            </w:r>
          </w:p>
        </w:tc>
      </w:tr>
    </w:tbl>
    <w:p w14:paraId="668423BC" w14:textId="77777777" w:rsidR="002C3792" w:rsidRDefault="002C3792" w:rsidP="002C3792">
      <w:pPr>
        <w:rPr>
          <w:rFonts w:cs="Arial"/>
          <w:snapToGrid w:val="0"/>
        </w:rPr>
      </w:pPr>
    </w:p>
    <w:p w14:paraId="765BC35A" w14:textId="77777777" w:rsidR="003822EF" w:rsidRDefault="003822EF" w:rsidP="003822EF">
      <w:pPr>
        <w:rPr>
          <w:rFonts w:cs="Arial"/>
          <w:snapToGrid w:val="0"/>
        </w:rPr>
      </w:pPr>
    </w:p>
    <w:p w14:paraId="39624EA7" w14:textId="1B8FBDBA" w:rsidR="00C77DD5" w:rsidRPr="008F2ADE" w:rsidRDefault="00D84DAE" w:rsidP="00C77DD5">
      <w:pPr>
        <w:rPr>
          <w:rFonts w:cs="Arial"/>
          <w:snapToGrid w:val="0"/>
        </w:rPr>
      </w:pPr>
      <w:r w:rsidRPr="001A3F0C">
        <w:rPr>
          <w:rFonts w:cs="Arial"/>
          <w:snapToGrid w:val="0"/>
        </w:rPr>
        <w:t xml:space="preserve">The TRC </w:t>
      </w:r>
      <w:r w:rsidR="002C3792" w:rsidRPr="001A3F0C">
        <w:rPr>
          <w:rFonts w:cs="Arial"/>
          <w:snapToGrid w:val="0"/>
        </w:rPr>
        <w:t xml:space="preserve">| Reference </w:t>
      </w:r>
      <w:r w:rsidR="001A3F0C" w:rsidRPr="001A3F0C">
        <w:rPr>
          <w:rFonts w:cs="Arial"/>
          <w:snapToGrid w:val="0"/>
        </w:rPr>
        <w:t>scenario</w:t>
      </w:r>
      <w:r w:rsidR="002C3792" w:rsidRPr="001A3F0C">
        <w:rPr>
          <w:rFonts w:cs="Arial"/>
          <w:snapToGrid w:val="0"/>
        </w:rPr>
        <w:t xml:space="preserve"> represent as “business as usual” and </w:t>
      </w:r>
      <w:r w:rsidRPr="001A3F0C">
        <w:rPr>
          <w:rFonts w:cs="Arial"/>
          <w:snapToGrid w:val="0"/>
        </w:rPr>
        <w:t>co</w:t>
      </w:r>
      <w:r w:rsidR="001A3F0C" w:rsidRPr="001A3F0C">
        <w:rPr>
          <w:rFonts w:cs="Arial"/>
          <w:snapToGrid w:val="0"/>
        </w:rPr>
        <w:t xml:space="preserve">ntinuation of current policies. Three of the alternate scenarios continue to assume similar program design but apply different cost effectiveness tests and avoided costs. The final scenario (PAC | Aggressive) is meant to show an upper </w:t>
      </w:r>
      <w:r w:rsidRPr="001A3F0C">
        <w:rPr>
          <w:rFonts w:cs="Arial"/>
          <w:snapToGrid w:val="0"/>
        </w:rPr>
        <w:t>bound</w:t>
      </w:r>
      <w:r w:rsidR="001A3F0C" w:rsidRPr="001A3F0C">
        <w:rPr>
          <w:rFonts w:cs="Arial"/>
          <w:snapToGrid w:val="0"/>
        </w:rPr>
        <w:t xml:space="preserve"> of the </w:t>
      </w:r>
      <w:r w:rsidRPr="001A3F0C">
        <w:rPr>
          <w:rFonts w:cs="Arial"/>
          <w:snapToGrid w:val="0"/>
        </w:rPr>
        <w:t>combination of program engagement and cost-effectiveness screen</w:t>
      </w:r>
      <w:r w:rsidR="001A3F0C" w:rsidRPr="001A3F0C">
        <w:rPr>
          <w:rFonts w:cs="Arial"/>
          <w:snapToGrid w:val="0"/>
        </w:rPr>
        <w:t>s</w:t>
      </w:r>
      <w:r w:rsidRPr="001A3F0C">
        <w:rPr>
          <w:rFonts w:cs="Arial"/>
          <w:snapToGrid w:val="0"/>
        </w:rPr>
        <w:t xml:space="preserve">. </w:t>
      </w:r>
      <w:r w:rsidR="00C77DD5" w:rsidRPr="008F2ADE">
        <w:rPr>
          <w:rFonts w:cs="Arial"/>
          <w:snapToGrid w:val="0"/>
          <w:szCs w:val="20"/>
        </w:rPr>
        <w:fldChar w:fldCharType="begin"/>
      </w:r>
      <w:r w:rsidR="00C77DD5" w:rsidRPr="008F2ADE">
        <w:rPr>
          <w:rFonts w:cs="Arial"/>
          <w:snapToGrid w:val="0"/>
          <w:szCs w:val="20"/>
        </w:rPr>
        <w:instrText xml:space="preserve"> REF _Ref471843413 \h  \* MERGEFORMAT </w:instrText>
      </w:r>
      <w:r w:rsidR="00C77DD5" w:rsidRPr="008F2ADE">
        <w:rPr>
          <w:rFonts w:cs="Arial"/>
          <w:snapToGrid w:val="0"/>
          <w:szCs w:val="20"/>
        </w:rPr>
      </w:r>
      <w:r w:rsidR="00C77DD5" w:rsidRPr="008F2ADE">
        <w:rPr>
          <w:rFonts w:cs="Arial"/>
          <w:snapToGrid w:val="0"/>
          <w:szCs w:val="20"/>
        </w:rPr>
        <w:fldChar w:fldCharType="separate"/>
      </w:r>
      <w:r w:rsidR="00C23564" w:rsidRPr="00C23564">
        <w:rPr>
          <w:szCs w:val="20"/>
        </w:rPr>
        <w:t xml:space="preserve">Table </w:t>
      </w:r>
      <w:r w:rsidR="00C23564" w:rsidRPr="00C23564">
        <w:rPr>
          <w:noProof/>
          <w:szCs w:val="20"/>
        </w:rPr>
        <w:t>2</w:t>
      </w:r>
      <w:r w:rsidR="00C23564" w:rsidRPr="00C23564">
        <w:rPr>
          <w:noProof/>
          <w:szCs w:val="20"/>
        </w:rPr>
        <w:noBreakHyphen/>
        <w:t>8</w:t>
      </w:r>
      <w:r w:rsidR="00C77DD5" w:rsidRPr="008F2ADE">
        <w:rPr>
          <w:rFonts w:cs="Arial"/>
          <w:snapToGrid w:val="0"/>
          <w:szCs w:val="20"/>
        </w:rPr>
        <w:fldChar w:fldCharType="end"/>
      </w:r>
      <w:r w:rsidR="00C77DD5" w:rsidRPr="008F2ADE">
        <w:rPr>
          <w:rFonts w:cs="Arial"/>
          <w:snapToGrid w:val="0"/>
        </w:rPr>
        <w:t xml:space="preserve"> below lists </w:t>
      </w:r>
      <w:r w:rsidR="003822EF">
        <w:rPr>
          <w:rFonts w:cs="Arial"/>
          <w:snapToGrid w:val="0"/>
        </w:rPr>
        <w:t xml:space="preserve">more </w:t>
      </w:r>
      <w:r w:rsidR="00C77DD5" w:rsidRPr="008F2ADE">
        <w:rPr>
          <w:rFonts w:cs="Arial"/>
          <w:snapToGrid w:val="0"/>
        </w:rPr>
        <w:t xml:space="preserve">detail for </w:t>
      </w:r>
      <w:r w:rsidR="003822EF">
        <w:rPr>
          <w:rFonts w:cs="Arial"/>
          <w:snapToGrid w:val="0"/>
        </w:rPr>
        <w:t xml:space="preserve">regarding Program </w:t>
      </w:r>
      <w:r w:rsidR="001A3F0C">
        <w:rPr>
          <w:rFonts w:cs="Arial"/>
          <w:snapToGrid w:val="0"/>
        </w:rPr>
        <w:t>Engagement</w:t>
      </w:r>
      <w:r w:rsidR="00C77DD5" w:rsidRPr="008F2ADE">
        <w:rPr>
          <w:rFonts w:cs="Arial"/>
          <w:snapToGrid w:val="0"/>
        </w:rPr>
        <w:t xml:space="preserve">. </w:t>
      </w:r>
    </w:p>
    <w:p w14:paraId="0B70395C" w14:textId="77777777" w:rsidR="00C77DD5" w:rsidRPr="008F2ADE" w:rsidRDefault="00C77DD5" w:rsidP="00C77DD5">
      <w:pPr>
        <w:rPr>
          <w:rFonts w:cs="Arial"/>
          <w:snapToGrid w:val="0"/>
        </w:rPr>
      </w:pPr>
    </w:p>
    <w:p w14:paraId="6B5525FB" w14:textId="712A27CD" w:rsidR="00C77DD5" w:rsidRDefault="00C77DD5" w:rsidP="00F90D70">
      <w:pPr>
        <w:pStyle w:val="Caption"/>
      </w:pPr>
      <w:bookmarkStart w:id="321" w:name="_Ref471843413"/>
      <w:bookmarkStart w:id="322" w:name="_Toc482634208"/>
      <w:bookmarkStart w:id="323" w:name="_Toc484436947"/>
      <w:bookmarkStart w:id="324" w:name="_Toc485125658"/>
      <w:r>
        <w:t xml:space="preserve">Table </w:t>
      </w:r>
      <w:r w:rsidR="00272F76">
        <w:fldChar w:fldCharType="begin"/>
      </w:r>
      <w:r w:rsidR="00272F76">
        <w:instrText xml:space="preserve"> STYLER</w:instrText>
      </w:r>
      <w:r w:rsidR="00272F76">
        <w:instrText xml:space="preserve">EF 1 \s </w:instrText>
      </w:r>
      <w:r w:rsidR="00272F76">
        <w:fldChar w:fldCharType="separate"/>
      </w:r>
      <w:r w:rsidR="00C407F4">
        <w:rPr>
          <w:noProof/>
        </w:rPr>
        <w:t>2</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23564">
        <w:rPr>
          <w:noProof/>
        </w:rPr>
        <w:t>8</w:t>
      </w:r>
      <w:r w:rsidR="00272F76">
        <w:rPr>
          <w:noProof/>
        </w:rPr>
        <w:fldChar w:fldCharType="end"/>
      </w:r>
      <w:bookmarkEnd w:id="321"/>
      <w:r>
        <w:t xml:space="preserve">. </w:t>
      </w:r>
      <w:bookmarkEnd w:id="322"/>
      <w:r w:rsidR="00D84DAE">
        <w:t xml:space="preserve">Reference vs. </w:t>
      </w:r>
      <w:r w:rsidR="00B151A1">
        <w:t>Aggressive</w:t>
      </w:r>
      <w:r w:rsidR="00D84DAE">
        <w:t xml:space="preserve"> Programs</w:t>
      </w:r>
      <w:bookmarkEnd w:id="323"/>
      <w:bookmarkEnd w:id="324"/>
    </w:p>
    <w:tbl>
      <w:tblPr>
        <w:tblStyle w:val="EnergyTable1"/>
        <w:tblW w:w="7623" w:type="dxa"/>
        <w:tblLayout w:type="fixed"/>
        <w:tblLook w:val="04A0" w:firstRow="1" w:lastRow="0" w:firstColumn="1" w:lastColumn="0" w:noHBand="0" w:noVBand="1"/>
      </w:tblPr>
      <w:tblGrid>
        <w:gridCol w:w="2541"/>
        <w:gridCol w:w="2541"/>
        <w:gridCol w:w="2541"/>
      </w:tblGrid>
      <w:tr w:rsidR="0054020E" w:rsidRPr="00045431" w14:paraId="18163BB2" w14:textId="77777777" w:rsidTr="00D84DAE">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1" w:type="dxa"/>
          </w:tcPr>
          <w:p w14:paraId="3C9F0ACA" w14:textId="77777777" w:rsidR="0054020E" w:rsidRPr="00045431" w:rsidRDefault="0054020E" w:rsidP="00F90D70">
            <w:pPr>
              <w:keepNext/>
              <w:rPr>
                <w:rFonts w:ascii="Arial Narrow" w:hAnsi="Arial Narrow" w:cs="Arial"/>
                <w:snapToGrid w:val="0"/>
                <w:color w:val="FFFFFF" w:themeColor="background1"/>
                <w:szCs w:val="20"/>
              </w:rPr>
            </w:pPr>
            <w:r w:rsidRPr="00045431">
              <w:rPr>
                <w:rFonts w:ascii="Arial Narrow" w:hAnsi="Arial Narrow" w:cs="Arial"/>
                <w:snapToGrid w:val="0"/>
                <w:color w:val="FFFFFF" w:themeColor="background1"/>
                <w:szCs w:val="20"/>
              </w:rPr>
              <w:t>Variable</w:t>
            </w:r>
          </w:p>
        </w:tc>
        <w:tc>
          <w:tcPr>
            <w:tcW w:w="2541" w:type="dxa"/>
          </w:tcPr>
          <w:p w14:paraId="3C6DC3EB" w14:textId="77777777" w:rsidR="0054020E" w:rsidRPr="00045431" w:rsidRDefault="0054020E" w:rsidP="00F90D70">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napToGrid w:val="0"/>
                <w:color w:val="FFFFFF" w:themeColor="background1"/>
                <w:szCs w:val="20"/>
              </w:rPr>
            </w:pPr>
            <w:r w:rsidRPr="00045431">
              <w:rPr>
                <w:rFonts w:ascii="Arial Narrow" w:hAnsi="Arial Narrow" w:cs="Arial"/>
                <w:snapToGrid w:val="0"/>
                <w:color w:val="FFFFFF" w:themeColor="background1"/>
                <w:szCs w:val="20"/>
              </w:rPr>
              <w:t>Reference</w:t>
            </w:r>
          </w:p>
        </w:tc>
        <w:tc>
          <w:tcPr>
            <w:tcW w:w="2541" w:type="dxa"/>
          </w:tcPr>
          <w:p w14:paraId="5A01F4B9" w14:textId="77777777" w:rsidR="0054020E" w:rsidRPr="00045431" w:rsidRDefault="0054020E" w:rsidP="00F90D70">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napToGrid w:val="0"/>
                <w:color w:val="FFFFFF" w:themeColor="background1"/>
                <w:szCs w:val="20"/>
              </w:rPr>
            </w:pPr>
            <w:r w:rsidRPr="00045431">
              <w:rPr>
                <w:rFonts w:ascii="Arial Narrow" w:hAnsi="Arial Narrow" w:cs="Arial"/>
                <w:snapToGrid w:val="0"/>
                <w:color w:val="FFFFFF" w:themeColor="background1"/>
                <w:szCs w:val="20"/>
              </w:rPr>
              <w:t>Aggressive</w:t>
            </w:r>
          </w:p>
        </w:tc>
      </w:tr>
      <w:tr w:rsidR="00C77DD5" w:rsidRPr="00045431" w14:paraId="50240A4E" w14:textId="77777777" w:rsidTr="00D84DAE">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541" w:type="dxa"/>
          </w:tcPr>
          <w:p w14:paraId="27FCD104" w14:textId="77777777" w:rsidR="00C77DD5" w:rsidRPr="00045431" w:rsidRDefault="00C77DD5" w:rsidP="00F90D70">
            <w:pPr>
              <w:keepNext/>
              <w:rPr>
                <w:rFonts w:ascii="Arial Narrow" w:hAnsi="Arial Narrow" w:cs="Arial"/>
                <w:b/>
                <w:snapToGrid w:val="0"/>
                <w:szCs w:val="20"/>
              </w:rPr>
            </w:pPr>
            <w:r w:rsidRPr="00045431">
              <w:rPr>
                <w:rFonts w:ascii="Arial Narrow" w:hAnsi="Arial Narrow" w:cs="Arial"/>
                <w:b/>
                <w:snapToGrid w:val="0"/>
                <w:szCs w:val="20"/>
              </w:rPr>
              <w:t>Incentive levels</w:t>
            </w:r>
          </w:p>
        </w:tc>
        <w:tc>
          <w:tcPr>
            <w:tcW w:w="2541" w:type="dxa"/>
          </w:tcPr>
          <w:p w14:paraId="28EB4685"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$/kWh</w:t>
            </w:r>
          </w:p>
          <w:p w14:paraId="64FD1B67"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$/Therm</w:t>
            </w:r>
          </w:p>
          <w:p w14:paraId="5D113C5F"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Capped at 50% of incremental Cost</w:t>
            </w:r>
          </w:p>
        </w:tc>
        <w:tc>
          <w:tcPr>
            <w:tcW w:w="2541" w:type="dxa"/>
          </w:tcPr>
          <w:p w14:paraId="7945EF4F"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$/kWh</w:t>
            </w:r>
          </w:p>
          <w:p w14:paraId="0AFAB1FF"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$/Therm</w:t>
            </w:r>
          </w:p>
          <w:p w14:paraId="4E8B46B2"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Capped at 75% of incremental Cost</w:t>
            </w:r>
          </w:p>
        </w:tc>
      </w:tr>
      <w:tr w:rsidR="00C77DD5" w:rsidRPr="00045431" w14:paraId="7683A364" w14:textId="77777777" w:rsidTr="00D84DAE">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541" w:type="dxa"/>
          </w:tcPr>
          <w:p w14:paraId="11AC44E8" w14:textId="77777777" w:rsidR="00C77DD5" w:rsidRPr="00045431" w:rsidRDefault="00C77DD5" w:rsidP="00F90D70">
            <w:pPr>
              <w:keepNext/>
              <w:rPr>
                <w:rFonts w:ascii="Arial Narrow" w:hAnsi="Arial Narrow" w:cs="Arial"/>
                <w:b/>
                <w:snapToGrid w:val="0"/>
                <w:szCs w:val="20"/>
              </w:rPr>
            </w:pPr>
            <w:r w:rsidRPr="00045431">
              <w:rPr>
                <w:rFonts w:ascii="Arial Narrow" w:hAnsi="Arial Narrow" w:cs="Arial"/>
                <w:b/>
                <w:snapToGrid w:val="0"/>
                <w:szCs w:val="20"/>
              </w:rPr>
              <w:t>Marketing &amp; Outreach</w:t>
            </w:r>
          </w:p>
        </w:tc>
        <w:tc>
          <w:tcPr>
            <w:tcW w:w="2541" w:type="dxa"/>
          </w:tcPr>
          <w:p w14:paraId="18DC2158" w14:textId="77777777" w:rsidR="00C77DD5" w:rsidRPr="00045431" w:rsidRDefault="00C77DD5" w:rsidP="00F90D70">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(default calibrated value)</w:t>
            </w:r>
          </w:p>
        </w:tc>
        <w:tc>
          <w:tcPr>
            <w:tcW w:w="2541" w:type="dxa"/>
          </w:tcPr>
          <w:p w14:paraId="4FF7F520" w14:textId="77777777" w:rsidR="00C77DD5" w:rsidRPr="00045431" w:rsidRDefault="00C77DD5" w:rsidP="00F90D70">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 xml:space="preserve">Increased marketing strength </w:t>
            </w:r>
          </w:p>
        </w:tc>
      </w:tr>
      <w:tr w:rsidR="00C77DD5" w:rsidRPr="00045431" w14:paraId="6AAD029C" w14:textId="77777777" w:rsidTr="00D84DA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1" w:type="dxa"/>
          </w:tcPr>
          <w:p w14:paraId="33201A35" w14:textId="77777777" w:rsidR="00C77DD5" w:rsidRPr="00045431" w:rsidRDefault="00D84DAE" w:rsidP="00F90D70">
            <w:pPr>
              <w:keepNext/>
              <w:rPr>
                <w:rFonts w:ascii="Arial Narrow" w:hAnsi="Arial Narrow" w:cs="Arial"/>
                <w:b/>
                <w:snapToGrid w:val="0"/>
                <w:szCs w:val="20"/>
              </w:rPr>
            </w:pPr>
            <w:r w:rsidRPr="00045431">
              <w:rPr>
                <w:rFonts w:ascii="Arial Narrow" w:hAnsi="Arial Narrow" w:cs="Arial"/>
                <w:b/>
                <w:snapToGrid w:val="0"/>
                <w:szCs w:val="20"/>
              </w:rPr>
              <w:t xml:space="preserve">BROs </w:t>
            </w:r>
          </w:p>
        </w:tc>
        <w:tc>
          <w:tcPr>
            <w:tcW w:w="2541" w:type="dxa"/>
          </w:tcPr>
          <w:p w14:paraId="719A25DD" w14:textId="77777777" w:rsidR="00C77DD5" w:rsidRPr="00045431" w:rsidRDefault="00D84DAE"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 xml:space="preserve">Continued offering of existing BROs interventions and planned new interventions based on policy directions </w:t>
            </w:r>
          </w:p>
        </w:tc>
        <w:tc>
          <w:tcPr>
            <w:tcW w:w="2541" w:type="dxa"/>
          </w:tcPr>
          <w:p w14:paraId="41AB7B7B" w14:textId="77777777" w:rsidR="00C77DD5" w:rsidRPr="00045431" w:rsidRDefault="00D84DAE"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 xml:space="preserve">Additional BROs interventions that had limited verified data though show promise for possible savings </w:t>
            </w:r>
          </w:p>
        </w:tc>
      </w:tr>
      <w:tr w:rsidR="00C77DD5" w:rsidRPr="00045431" w14:paraId="67DDCFB5" w14:textId="77777777" w:rsidTr="00D84DAE">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41" w:type="dxa"/>
          </w:tcPr>
          <w:p w14:paraId="0A4A0E37" w14:textId="77777777" w:rsidR="00C77DD5" w:rsidRPr="00045431" w:rsidRDefault="00C77DD5" w:rsidP="001E31E0">
            <w:pPr>
              <w:rPr>
                <w:rFonts w:ascii="Arial Narrow" w:hAnsi="Arial Narrow"/>
                <w:b/>
                <w:szCs w:val="20"/>
              </w:rPr>
            </w:pPr>
            <w:r w:rsidRPr="00045431">
              <w:rPr>
                <w:rFonts w:ascii="Arial Narrow" w:hAnsi="Arial Narrow" w:cs="Arial"/>
                <w:b/>
                <w:snapToGrid w:val="0"/>
                <w:szCs w:val="20"/>
              </w:rPr>
              <w:t>IOU financing programs</w:t>
            </w:r>
          </w:p>
        </w:tc>
        <w:tc>
          <w:tcPr>
            <w:tcW w:w="2541" w:type="dxa"/>
          </w:tcPr>
          <w:p w14:paraId="56100AE7" w14:textId="77777777" w:rsidR="00C77DD5" w:rsidRPr="00045431" w:rsidRDefault="00C77DD5" w:rsidP="001E31E0">
            <w:pPr>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No savings claimed from financing programs</w:t>
            </w:r>
            <w:r w:rsidRPr="00045431">
              <w:rPr>
                <w:rStyle w:val="FootnoteReference"/>
                <w:rFonts w:ascii="Arial Narrow" w:hAnsi="Arial Narrow" w:cs="Arial"/>
                <w:snapToGrid w:val="0"/>
                <w:szCs w:val="20"/>
              </w:rPr>
              <w:footnoteReference w:id="42"/>
            </w:r>
          </w:p>
        </w:tc>
        <w:tc>
          <w:tcPr>
            <w:tcW w:w="2541" w:type="dxa"/>
          </w:tcPr>
          <w:p w14:paraId="407F1F3A" w14:textId="77777777" w:rsidR="00C77DD5" w:rsidRPr="00045431" w:rsidRDefault="00C77DD5" w:rsidP="001E31E0">
            <w:pPr>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IOU financing programs broadly available to Residential and Commercial customers</w:t>
            </w:r>
          </w:p>
        </w:tc>
      </w:tr>
    </w:tbl>
    <w:p w14:paraId="43763236" w14:textId="77777777" w:rsidR="00C77DD5" w:rsidRDefault="00C77DD5" w:rsidP="00E05744"/>
    <w:p w14:paraId="28712B31" w14:textId="77777777" w:rsidR="00E05744" w:rsidRDefault="00E05744" w:rsidP="00E05744">
      <w:pPr>
        <w:pStyle w:val="Heading1"/>
      </w:pPr>
      <w:bookmarkStart w:id="325" w:name="_Toc478990503"/>
      <w:bookmarkStart w:id="326" w:name="_Toc479768576"/>
      <w:bookmarkStart w:id="327" w:name="_Toc482357303"/>
      <w:bookmarkStart w:id="328" w:name="_Toc482634279"/>
      <w:bookmarkStart w:id="329" w:name="_Toc482626411"/>
      <w:bookmarkStart w:id="330" w:name="_Toc484092482"/>
      <w:bookmarkStart w:id="331" w:name="_Toc484172686"/>
      <w:bookmarkStart w:id="332" w:name="_Toc484183022"/>
      <w:bookmarkStart w:id="333" w:name="_Toc485126537"/>
      <w:r>
        <w:lastRenderedPageBreak/>
        <w:t>Data Sources</w:t>
      </w:r>
      <w:bookmarkEnd w:id="325"/>
      <w:bookmarkEnd w:id="326"/>
      <w:bookmarkEnd w:id="327"/>
      <w:bookmarkEnd w:id="328"/>
      <w:bookmarkEnd w:id="329"/>
      <w:bookmarkEnd w:id="330"/>
      <w:bookmarkEnd w:id="331"/>
      <w:bookmarkEnd w:id="332"/>
      <w:bookmarkEnd w:id="333"/>
    </w:p>
    <w:p w14:paraId="1892CE05" w14:textId="77777777" w:rsidR="00E05744" w:rsidRDefault="00E05744" w:rsidP="00E05744">
      <w:r w:rsidRPr="00FC2902">
        <w:t xml:space="preserve">The data sources relied upon in </w:t>
      </w:r>
      <w:r w:rsidR="00584D27" w:rsidRPr="00FC2902">
        <w:t>the 201</w:t>
      </w:r>
      <w:r w:rsidR="00A26D05">
        <w:t>8</w:t>
      </w:r>
      <w:r w:rsidR="00584D27" w:rsidRPr="00FC2902">
        <w:t xml:space="preserve"> PG study are</w:t>
      </w:r>
      <w:r w:rsidRPr="00FC2902">
        <w:t xml:space="preserve"> vast and varied. Throughout the </w:t>
      </w:r>
      <w:r w:rsidR="00584D27" w:rsidRPr="00FC2902">
        <w:t>study</w:t>
      </w:r>
      <w:r w:rsidR="006D20BB">
        <w:t>,</w:t>
      </w:r>
      <w:r w:rsidR="00584D27" w:rsidRPr="00FC2902">
        <w:t xml:space="preserve"> </w:t>
      </w:r>
      <w:r w:rsidRPr="00FC2902">
        <w:t xml:space="preserve">the Navigant team sought to rely upon </w:t>
      </w:r>
      <w:r w:rsidR="005F62BE" w:rsidRPr="00FC2902">
        <w:t>CPUC-</w:t>
      </w:r>
      <w:r w:rsidRPr="00FC2902">
        <w:t xml:space="preserve">vetted products as much as possible. However, in several cases, the team needed to seek alternate data sources where CPUC </w:t>
      </w:r>
      <w:r w:rsidR="005F62BE" w:rsidRPr="00FC2902">
        <w:t xml:space="preserve">resources </w:t>
      </w:r>
      <w:r w:rsidRPr="00FC2902">
        <w:t xml:space="preserve">did not provide the necessary information.  This chapter describes the data update process and sources for key topic areas. </w:t>
      </w:r>
    </w:p>
    <w:p w14:paraId="52F659C7" w14:textId="77777777" w:rsidR="00E05744" w:rsidRDefault="00E05744" w:rsidP="00E05744">
      <w:pPr>
        <w:pStyle w:val="Heading2"/>
      </w:pPr>
      <w:bookmarkStart w:id="334" w:name="_Toc478990504"/>
      <w:bookmarkStart w:id="335" w:name="_Toc479768577"/>
      <w:bookmarkStart w:id="336" w:name="_Toc482357304"/>
      <w:bookmarkStart w:id="337" w:name="_Toc482634280"/>
      <w:bookmarkStart w:id="338" w:name="_Toc482626412"/>
      <w:bookmarkStart w:id="339" w:name="_Toc484092483"/>
      <w:bookmarkStart w:id="340" w:name="_Toc484172687"/>
      <w:bookmarkStart w:id="341" w:name="_Toc484183023"/>
      <w:bookmarkStart w:id="342" w:name="_Toc485126538"/>
      <w:r>
        <w:t>Global Inputs</w:t>
      </w:r>
      <w:bookmarkEnd w:id="334"/>
      <w:bookmarkEnd w:id="335"/>
      <w:bookmarkEnd w:id="336"/>
      <w:bookmarkEnd w:id="337"/>
      <w:bookmarkEnd w:id="338"/>
      <w:bookmarkEnd w:id="339"/>
      <w:bookmarkEnd w:id="340"/>
      <w:bookmarkEnd w:id="341"/>
      <w:bookmarkEnd w:id="342"/>
    </w:p>
    <w:p w14:paraId="4FDEF777" w14:textId="77777777" w:rsidR="00E05744" w:rsidRDefault="00E05744" w:rsidP="00E05744">
      <w:r>
        <w:t xml:space="preserve">Global inputs are macro-level model inputs that are not specific to any measure, but rather apply to market segments or sectors. Navigant reviewed the data source for each of these inputs to ensure that the most recent data is utilized for the </w:t>
      </w:r>
      <w:r w:rsidR="00BB59F5">
        <w:t>2018</w:t>
      </w:r>
      <w:r>
        <w:t xml:space="preserve"> PG Model update. </w:t>
      </w:r>
      <w:r>
        <w:rPr>
          <w:highlight w:val="yellow"/>
        </w:rPr>
        <w:fldChar w:fldCharType="begin"/>
      </w:r>
      <w:r>
        <w:instrText xml:space="preserve"> REF _Ref474518029 \h </w:instrText>
      </w:r>
      <w:r>
        <w:rPr>
          <w:highlight w:val="yellow"/>
        </w:rPr>
      </w:r>
      <w:r>
        <w:rPr>
          <w:highlight w:val="yellow"/>
        </w:rPr>
        <w:fldChar w:fldCharType="separate"/>
      </w:r>
      <w:r w:rsidR="00C407F4">
        <w:t xml:space="preserve">Table </w:t>
      </w:r>
      <w:r>
        <w:rPr>
          <w:highlight w:val="yellow"/>
        </w:rPr>
        <w:fldChar w:fldCharType="end"/>
      </w:r>
      <w:r>
        <w:t xml:space="preserve">provides an overview of all the global inputs within the </w:t>
      </w:r>
      <w:r w:rsidR="00BB59F5">
        <w:t>2018</w:t>
      </w:r>
      <w:r>
        <w:t xml:space="preserve"> model</w:t>
      </w:r>
      <w:r w:rsidR="00BD438E">
        <w:t xml:space="preserve"> and their </w:t>
      </w:r>
      <w:r>
        <w:t xml:space="preserve">data source. </w:t>
      </w:r>
      <w:r w:rsidR="00DD2E3C">
        <w:t xml:space="preserve">This </w:t>
      </w:r>
      <w:r w:rsidR="00BD438E">
        <w:t>section</w:t>
      </w:r>
      <w:r w:rsidR="00DD2E3C">
        <w:t xml:space="preserve"> discusses each </w:t>
      </w:r>
      <w:r>
        <w:t xml:space="preserve">item in </w:t>
      </w:r>
      <w:r w:rsidR="009F2170">
        <w:fldChar w:fldCharType="begin"/>
      </w:r>
      <w:r w:rsidR="009F2170">
        <w:instrText xml:space="preserve"> REF _Ref478991892 \h </w:instrText>
      </w:r>
      <w:r w:rsidR="009F2170">
        <w:fldChar w:fldCharType="separate"/>
      </w:r>
      <w:r w:rsidR="00C407F4">
        <w:t xml:space="preserve">Table </w:t>
      </w:r>
      <w:r w:rsidR="00C407F4">
        <w:rPr>
          <w:noProof/>
        </w:rPr>
        <w:t>3</w:t>
      </w:r>
      <w:r w:rsidR="00C407F4">
        <w:noBreakHyphen/>
      </w:r>
      <w:r w:rsidR="00C407F4">
        <w:rPr>
          <w:noProof/>
        </w:rPr>
        <w:t>1</w:t>
      </w:r>
      <w:r w:rsidR="009F2170">
        <w:fldChar w:fldCharType="end"/>
      </w:r>
      <w:r>
        <w:t xml:space="preserve"> in further detail in the </w:t>
      </w:r>
      <w:r w:rsidR="00DD2E3C">
        <w:t>sub-</w:t>
      </w:r>
      <w:r>
        <w:t>sections that follow.</w:t>
      </w:r>
    </w:p>
    <w:p w14:paraId="37C877B5" w14:textId="77777777" w:rsidR="00E05744" w:rsidRDefault="00E05744" w:rsidP="00E05744"/>
    <w:p w14:paraId="20A52EAD" w14:textId="77777777" w:rsidR="00E05744" w:rsidRDefault="00E05744" w:rsidP="00E05744">
      <w:pPr>
        <w:pStyle w:val="Caption"/>
      </w:pPr>
      <w:bookmarkStart w:id="343" w:name="_Ref474518029"/>
      <w:bookmarkStart w:id="344" w:name="_Ref478991892"/>
      <w:bookmarkStart w:id="345" w:name="_Toc482634209"/>
      <w:bookmarkStart w:id="346" w:name="_Toc484436948"/>
      <w:bookmarkStart w:id="347" w:name="_Toc485125659"/>
      <w:r>
        <w:t xml:space="preserve">Table </w:t>
      </w:r>
      <w:bookmarkEnd w:id="343"/>
      <w:r w:rsidR="00C17D59">
        <w:fldChar w:fldCharType="begin"/>
      </w:r>
      <w:r w:rsidR="00C17D59">
        <w:instrText xml:space="preserve"> STYLEREF 1 \s </w:instrText>
      </w:r>
      <w:r w:rsidR="00C17D59">
        <w:fldChar w:fldCharType="separate"/>
      </w:r>
      <w:r w:rsidR="00C407F4">
        <w:rPr>
          <w:noProof/>
        </w:rPr>
        <w:t>3</w:t>
      </w:r>
      <w:r w:rsidR="00C17D59">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1</w:t>
      </w:r>
      <w:r w:rsidR="00272F76">
        <w:rPr>
          <w:noProof/>
        </w:rPr>
        <w:fldChar w:fldCharType="end"/>
      </w:r>
      <w:bookmarkEnd w:id="344"/>
      <w:r>
        <w:t>. Overview of Global Inputs Updates and Sources</w:t>
      </w:r>
      <w:bookmarkEnd w:id="345"/>
      <w:bookmarkEnd w:id="346"/>
      <w:bookmarkEnd w:id="347"/>
    </w:p>
    <w:tbl>
      <w:tblPr>
        <w:tblStyle w:val="EnergyTable1"/>
        <w:tblW w:w="8730" w:type="dxa"/>
        <w:tblLook w:val="0620" w:firstRow="1" w:lastRow="0" w:firstColumn="0" w:lastColumn="0" w:noHBand="1" w:noVBand="1"/>
      </w:tblPr>
      <w:tblGrid>
        <w:gridCol w:w="1973"/>
        <w:gridCol w:w="6757"/>
      </w:tblGrid>
      <w:tr w:rsidR="00C624A7" w:rsidRPr="00EA31F9" w14:paraId="52C0B062" w14:textId="77777777" w:rsidTr="00110120">
        <w:trPr>
          <w:cnfStyle w:val="100000000000" w:firstRow="1" w:lastRow="0" w:firstColumn="0" w:lastColumn="0" w:oddVBand="0" w:evenVBand="0" w:oddHBand="0" w:evenHBand="0" w:firstRowFirstColumn="0" w:firstRowLastColumn="0" w:lastRowFirstColumn="0" w:lastRowLastColumn="0"/>
        </w:trPr>
        <w:tc>
          <w:tcPr>
            <w:tcW w:w="0" w:type="dxa"/>
          </w:tcPr>
          <w:p w14:paraId="7BFC671B" w14:textId="77777777" w:rsidR="00C624A7" w:rsidRPr="00EA31F9" w:rsidRDefault="00C624A7" w:rsidP="00412E8E">
            <w:pPr>
              <w:rPr>
                <w:rFonts w:ascii="Arial Narrow" w:hAnsi="Arial Narrow"/>
                <w:bCs/>
                <w:szCs w:val="20"/>
              </w:rPr>
            </w:pPr>
            <w:r w:rsidRPr="00EA31F9">
              <w:rPr>
                <w:rFonts w:ascii="Arial Narrow" w:hAnsi="Arial Narrow"/>
                <w:bCs/>
                <w:szCs w:val="20"/>
              </w:rPr>
              <w:t>Global Input</w:t>
            </w:r>
          </w:p>
          <w:p w14:paraId="1D0C62DC" w14:textId="77777777" w:rsidR="00C624A7" w:rsidRPr="00EA31F9" w:rsidRDefault="00C624A7" w:rsidP="00412E8E">
            <w:pPr>
              <w:rPr>
                <w:rFonts w:ascii="Arial Narrow" w:hAnsi="Arial Narrow"/>
                <w:bCs/>
                <w:i/>
                <w:szCs w:val="20"/>
              </w:rPr>
            </w:pPr>
            <w:r w:rsidRPr="00EA31F9">
              <w:rPr>
                <w:rFonts w:ascii="Arial Narrow" w:hAnsi="Arial Narrow"/>
                <w:bCs/>
                <w:i/>
                <w:szCs w:val="20"/>
              </w:rPr>
              <w:t>(description)</w:t>
            </w:r>
          </w:p>
        </w:tc>
        <w:tc>
          <w:tcPr>
            <w:tcW w:w="5580" w:type="dxa"/>
          </w:tcPr>
          <w:p w14:paraId="7F3942B2" w14:textId="77777777" w:rsidR="00C624A7" w:rsidRPr="00EA31F9" w:rsidRDefault="00C624A7" w:rsidP="00412E8E">
            <w:pPr>
              <w:rPr>
                <w:rFonts w:ascii="Arial Narrow" w:hAnsi="Arial Narrow"/>
                <w:bCs/>
                <w:szCs w:val="20"/>
              </w:rPr>
            </w:pPr>
            <w:r w:rsidRPr="00EA31F9">
              <w:rPr>
                <w:rFonts w:ascii="Arial Narrow" w:hAnsi="Arial Narrow"/>
                <w:bCs/>
                <w:szCs w:val="20"/>
              </w:rPr>
              <w:t>Data Source for Update</w:t>
            </w:r>
          </w:p>
        </w:tc>
      </w:tr>
      <w:tr w:rsidR="00C624A7" w:rsidRPr="001E1827" w14:paraId="01A58D5C" w14:textId="77777777" w:rsidTr="00110120">
        <w:tc>
          <w:tcPr>
            <w:tcW w:w="0" w:type="dxa"/>
          </w:tcPr>
          <w:p w14:paraId="453B740C" w14:textId="77777777" w:rsidR="00E27C1E" w:rsidRPr="00EA31F9" w:rsidRDefault="00E27C1E" w:rsidP="00E27C1E">
            <w:pPr>
              <w:jc w:val="left"/>
              <w:rPr>
                <w:rFonts w:ascii="Arial Narrow" w:hAnsi="Arial Narrow"/>
                <w:b/>
                <w:szCs w:val="20"/>
              </w:rPr>
            </w:pPr>
            <w:r w:rsidRPr="00EA31F9">
              <w:rPr>
                <w:rFonts w:ascii="Arial Narrow" w:hAnsi="Arial Narrow"/>
                <w:b/>
                <w:szCs w:val="20"/>
              </w:rPr>
              <w:t>Retail Rates</w:t>
            </w:r>
          </w:p>
          <w:p w14:paraId="14DFBF09" w14:textId="77777777" w:rsidR="00C624A7" w:rsidRPr="00EA31F9" w:rsidRDefault="00E27C1E" w:rsidP="00E27C1E">
            <w:pPr>
              <w:jc w:val="left"/>
              <w:rPr>
                <w:rFonts w:ascii="Arial Narrow" w:hAnsi="Arial Narrow"/>
                <w:bCs/>
                <w:i/>
                <w:szCs w:val="20"/>
              </w:rPr>
            </w:pPr>
            <w:r w:rsidRPr="00EA31F9">
              <w:rPr>
                <w:rFonts w:ascii="Arial Narrow" w:hAnsi="Arial Narrow"/>
                <w:i/>
                <w:szCs w:val="20"/>
              </w:rPr>
              <w:t>($/kWh, $/therm)</w:t>
            </w:r>
          </w:p>
        </w:tc>
        <w:tc>
          <w:tcPr>
            <w:tcW w:w="5580" w:type="dxa"/>
            <w:vMerge w:val="restart"/>
          </w:tcPr>
          <w:p w14:paraId="66B08B77" w14:textId="77777777" w:rsidR="00C624A7" w:rsidRPr="00FC2902" w:rsidRDefault="00C624A7" w:rsidP="00361DEA">
            <w:pPr>
              <w:spacing w:after="120"/>
              <w:rPr>
                <w:rFonts w:ascii="Arial Narrow" w:hAnsi="Arial Narrow"/>
                <w:szCs w:val="20"/>
              </w:rPr>
            </w:pPr>
            <w:r w:rsidRPr="00FC2902">
              <w:rPr>
                <w:rFonts w:ascii="Arial Narrow" w:hAnsi="Arial Narrow"/>
                <w:szCs w:val="20"/>
              </w:rPr>
              <w:t xml:space="preserve">CEC - </w:t>
            </w:r>
            <w:r w:rsidR="00654884" w:rsidRPr="00FC2902">
              <w:rPr>
                <w:rFonts w:ascii="Arial Narrow" w:hAnsi="Arial Narrow"/>
                <w:i/>
                <w:iCs/>
                <w:szCs w:val="20"/>
              </w:rPr>
              <w:t xml:space="preserve">2016 </w:t>
            </w:r>
            <w:r w:rsidRPr="00FC2902">
              <w:rPr>
                <w:rFonts w:ascii="Arial Narrow" w:hAnsi="Arial Narrow"/>
                <w:i/>
                <w:szCs w:val="20"/>
              </w:rPr>
              <w:t xml:space="preserve">Integrated Energy Policy Report (IEPR) Update and Demand Forecast Forms. </w:t>
            </w:r>
            <w:r w:rsidRPr="00FC2902">
              <w:rPr>
                <w:rFonts w:ascii="Arial Narrow" w:hAnsi="Arial Narrow"/>
                <w:szCs w:val="20"/>
              </w:rPr>
              <w:t xml:space="preserve">Adopted </w:t>
            </w:r>
            <w:r w:rsidR="00654884">
              <w:rPr>
                <w:rFonts w:ascii="Arial Narrow" w:hAnsi="Arial Narrow"/>
                <w:szCs w:val="20"/>
              </w:rPr>
              <w:t>Feb</w:t>
            </w:r>
            <w:r w:rsidR="00654884" w:rsidRPr="00FC2902">
              <w:rPr>
                <w:rFonts w:ascii="Arial Narrow" w:hAnsi="Arial Narrow"/>
                <w:szCs w:val="20"/>
              </w:rPr>
              <w:t>. 2017</w:t>
            </w:r>
            <w:r w:rsidRPr="00FC2902">
              <w:rPr>
                <w:rFonts w:ascii="Arial Narrow" w:hAnsi="Arial Narrow"/>
                <w:szCs w:val="20"/>
              </w:rPr>
              <w:t>.</w:t>
            </w:r>
          </w:p>
          <w:p w14:paraId="1DE35436" w14:textId="77777777" w:rsidR="00DD2E3C" w:rsidRDefault="00C624A7" w:rsidP="00361DEA">
            <w:pPr>
              <w:spacing w:after="200"/>
              <w:rPr>
                <w:rFonts w:ascii="Arial Narrow" w:hAnsi="Arial Narrow"/>
                <w:bCs/>
                <w:i/>
                <w:szCs w:val="20"/>
              </w:rPr>
            </w:pPr>
            <w:r w:rsidRPr="00FC2902">
              <w:rPr>
                <w:rFonts w:ascii="Arial Narrow" w:hAnsi="Arial Narrow"/>
                <w:szCs w:val="20"/>
              </w:rPr>
              <w:t xml:space="preserve">Excel Demand Forecast Forms available at: </w:t>
            </w:r>
            <w:r w:rsidRPr="00654884">
              <w:rPr>
                <w:rFonts w:ascii="Arial Narrow" w:hAnsi="Arial Narrow"/>
                <w:i/>
                <w:szCs w:val="20"/>
              </w:rPr>
              <w:t>http://www.energy.ca.gov/</w:t>
            </w:r>
            <w:r w:rsidR="00654884" w:rsidRPr="00654884">
              <w:rPr>
                <w:rFonts w:ascii="Arial Narrow" w:hAnsi="Arial Narrow"/>
                <w:bCs/>
                <w:i/>
                <w:szCs w:val="20"/>
              </w:rPr>
              <w:t>2016_energypolicy/documents/</w:t>
            </w:r>
          </w:p>
          <w:p w14:paraId="35225863" w14:textId="77777777" w:rsidR="00C624A7" w:rsidRPr="00FC2902" w:rsidRDefault="0052132D" w:rsidP="00361DEA">
            <w:pPr>
              <w:spacing w:after="200"/>
              <w:rPr>
                <w:rFonts w:ascii="Arial Narrow" w:hAnsi="Arial Narrow"/>
                <w:i/>
                <w:szCs w:val="20"/>
              </w:rPr>
            </w:pPr>
            <w:r w:rsidRPr="00BD438E">
              <w:rPr>
                <w:rFonts w:ascii="Arial Narrow" w:hAnsi="Arial Narrow"/>
                <w:bCs/>
                <w:szCs w:val="20"/>
              </w:rPr>
              <w:t>CPUC</w:t>
            </w:r>
            <w:r w:rsidRPr="00BD438E">
              <w:rPr>
                <w:rFonts w:ascii="Arial Narrow" w:hAnsi="Arial Narrow"/>
                <w:bCs/>
                <w:i/>
                <w:szCs w:val="20"/>
              </w:rPr>
              <w:t xml:space="preserve"> – California </w:t>
            </w:r>
            <w:r w:rsidR="00EF772A" w:rsidRPr="00BD438E">
              <w:rPr>
                <w:rFonts w:ascii="Arial Narrow" w:hAnsi="Arial Narrow"/>
                <w:bCs/>
                <w:i/>
                <w:szCs w:val="20"/>
              </w:rPr>
              <w:t xml:space="preserve">Energy Consumption </w:t>
            </w:r>
            <w:r w:rsidRPr="00BD438E">
              <w:rPr>
                <w:rFonts w:ascii="Arial Narrow" w:hAnsi="Arial Narrow"/>
                <w:bCs/>
                <w:i/>
                <w:szCs w:val="20"/>
              </w:rPr>
              <w:t xml:space="preserve">Database </w:t>
            </w:r>
            <w:r w:rsidR="00E75460">
              <w:rPr>
                <w:rFonts w:ascii="Arial Narrow" w:hAnsi="Arial Narrow"/>
                <w:bCs/>
                <w:i/>
                <w:szCs w:val="20"/>
              </w:rPr>
              <w:t>(</w:t>
            </w:r>
            <w:r w:rsidR="00DD2E3C" w:rsidRPr="0052132D">
              <w:rPr>
                <w:rFonts w:ascii="Arial Narrow" w:hAnsi="Arial Narrow"/>
                <w:bCs/>
                <w:i/>
                <w:szCs w:val="20"/>
              </w:rPr>
              <w:t>ECDMS</w:t>
            </w:r>
            <w:r w:rsidR="00E75460">
              <w:rPr>
                <w:rFonts w:ascii="Arial Narrow" w:hAnsi="Arial Narrow"/>
                <w:bCs/>
                <w:i/>
                <w:szCs w:val="20"/>
              </w:rPr>
              <w:t>)</w:t>
            </w:r>
            <w:r>
              <w:rPr>
                <w:rFonts w:ascii="Arial Narrow" w:hAnsi="Arial Narrow"/>
                <w:bCs/>
                <w:i/>
                <w:szCs w:val="20"/>
              </w:rPr>
              <w:t xml:space="preserve">.  </w:t>
            </w:r>
            <w:r w:rsidRPr="00BD438E">
              <w:rPr>
                <w:rFonts w:ascii="Arial Narrow" w:hAnsi="Arial Narrow"/>
                <w:bCs/>
                <w:szCs w:val="20"/>
              </w:rPr>
              <w:t>Accessed: Apr. 2017</w:t>
            </w:r>
          </w:p>
        </w:tc>
      </w:tr>
      <w:tr w:rsidR="00C624A7" w:rsidRPr="00EA31F9" w14:paraId="2DC502D6" w14:textId="77777777" w:rsidTr="00110120">
        <w:tc>
          <w:tcPr>
            <w:tcW w:w="0" w:type="dxa"/>
          </w:tcPr>
          <w:p w14:paraId="472CA929" w14:textId="77777777" w:rsidR="00E27C1E" w:rsidRPr="00EA31F9" w:rsidRDefault="00E27C1E" w:rsidP="00E27C1E">
            <w:pPr>
              <w:jc w:val="left"/>
              <w:rPr>
                <w:rFonts w:ascii="Arial Narrow" w:hAnsi="Arial Narrow"/>
                <w:b/>
                <w:szCs w:val="20"/>
              </w:rPr>
            </w:pPr>
            <w:r w:rsidRPr="00EA31F9">
              <w:rPr>
                <w:rFonts w:ascii="Arial Narrow" w:hAnsi="Arial Narrow"/>
                <w:b/>
                <w:szCs w:val="20"/>
              </w:rPr>
              <w:t>Sales Forecasts</w:t>
            </w:r>
          </w:p>
          <w:p w14:paraId="17626037" w14:textId="77777777" w:rsidR="00C624A7" w:rsidRPr="00EA31F9" w:rsidRDefault="00E27C1E" w:rsidP="00E27C1E">
            <w:pPr>
              <w:jc w:val="left"/>
              <w:rPr>
                <w:rFonts w:ascii="Arial Narrow" w:hAnsi="Arial Narrow"/>
                <w:bCs/>
                <w:i/>
                <w:szCs w:val="20"/>
              </w:rPr>
            </w:pPr>
            <w:r w:rsidRPr="00EA31F9">
              <w:rPr>
                <w:rFonts w:ascii="Arial Narrow" w:hAnsi="Arial Narrow"/>
                <w:i/>
                <w:szCs w:val="20"/>
              </w:rPr>
              <w:t>(GWh, MW, and MM Therms)</w:t>
            </w:r>
          </w:p>
        </w:tc>
        <w:tc>
          <w:tcPr>
            <w:tcW w:w="5580" w:type="dxa"/>
            <w:vMerge/>
          </w:tcPr>
          <w:p w14:paraId="3411E683" w14:textId="77777777" w:rsidR="00C624A7" w:rsidRPr="00C624A7" w:rsidRDefault="00C624A7" w:rsidP="00361DEA">
            <w:pPr>
              <w:rPr>
                <w:rFonts w:ascii="Arial Narrow" w:hAnsi="Arial Narrow"/>
                <w:bCs/>
                <w:szCs w:val="20"/>
                <w:highlight w:val="yellow"/>
              </w:rPr>
            </w:pPr>
          </w:p>
        </w:tc>
      </w:tr>
      <w:tr w:rsidR="00C624A7" w:rsidRPr="00EA31F9" w14:paraId="32751AE7" w14:textId="77777777" w:rsidTr="00110120">
        <w:tc>
          <w:tcPr>
            <w:tcW w:w="0" w:type="dxa"/>
          </w:tcPr>
          <w:p w14:paraId="7A0A9E03" w14:textId="77777777" w:rsidR="00E27C1E" w:rsidRPr="00EA31F9" w:rsidRDefault="00E27C1E" w:rsidP="00E27C1E">
            <w:pPr>
              <w:jc w:val="left"/>
              <w:rPr>
                <w:rFonts w:ascii="Arial Narrow" w:hAnsi="Arial Narrow"/>
                <w:b/>
                <w:szCs w:val="20"/>
              </w:rPr>
            </w:pPr>
            <w:r w:rsidRPr="00EA31F9">
              <w:rPr>
                <w:rFonts w:ascii="Arial Narrow" w:hAnsi="Arial Narrow"/>
                <w:b/>
                <w:szCs w:val="20"/>
              </w:rPr>
              <w:t>Building Stocks</w:t>
            </w:r>
          </w:p>
          <w:p w14:paraId="045CC3DE" w14:textId="77777777" w:rsidR="00C624A7" w:rsidRPr="00EA31F9" w:rsidRDefault="00E27C1E" w:rsidP="00E27C1E">
            <w:pPr>
              <w:jc w:val="left"/>
              <w:rPr>
                <w:rFonts w:ascii="Arial Narrow" w:hAnsi="Arial Narrow"/>
                <w:bCs/>
                <w:i/>
                <w:szCs w:val="20"/>
              </w:rPr>
            </w:pPr>
            <w:r w:rsidRPr="00EA31F9">
              <w:rPr>
                <w:rFonts w:ascii="Arial Narrow" w:hAnsi="Arial Narrow"/>
                <w:i/>
                <w:szCs w:val="20"/>
              </w:rPr>
              <w:t>(households, floor space, consumption)</w:t>
            </w:r>
          </w:p>
        </w:tc>
        <w:tc>
          <w:tcPr>
            <w:tcW w:w="5580" w:type="dxa"/>
            <w:vMerge/>
          </w:tcPr>
          <w:p w14:paraId="75D2C8FA" w14:textId="77777777" w:rsidR="00C624A7" w:rsidRPr="00C624A7" w:rsidRDefault="00C624A7" w:rsidP="00361DEA">
            <w:pPr>
              <w:rPr>
                <w:rFonts w:ascii="Arial Narrow" w:hAnsi="Arial Narrow"/>
                <w:bCs/>
                <w:szCs w:val="20"/>
                <w:highlight w:val="yellow"/>
              </w:rPr>
            </w:pPr>
          </w:p>
        </w:tc>
      </w:tr>
      <w:tr w:rsidR="00C624A7" w:rsidRPr="00EA31F9" w14:paraId="789FC760" w14:textId="77777777" w:rsidTr="00110120">
        <w:tc>
          <w:tcPr>
            <w:tcW w:w="0" w:type="dxa"/>
          </w:tcPr>
          <w:p w14:paraId="5195E1F7" w14:textId="77777777" w:rsidR="00C624A7" w:rsidRPr="00EA31F9" w:rsidRDefault="00C624A7" w:rsidP="00412E8E">
            <w:pPr>
              <w:jc w:val="left"/>
              <w:rPr>
                <w:rFonts w:ascii="Arial Narrow" w:hAnsi="Arial Narrow"/>
                <w:b/>
                <w:bCs/>
                <w:szCs w:val="20"/>
              </w:rPr>
            </w:pPr>
            <w:r w:rsidRPr="00EA31F9">
              <w:rPr>
                <w:rFonts w:ascii="Arial Narrow" w:hAnsi="Arial Narrow"/>
                <w:b/>
                <w:bCs/>
                <w:szCs w:val="20"/>
              </w:rPr>
              <w:t>Avoided Costs</w:t>
            </w:r>
          </w:p>
          <w:p w14:paraId="7E0A9698" w14:textId="77777777" w:rsidR="00C624A7" w:rsidRPr="00EA31F9" w:rsidRDefault="00C624A7" w:rsidP="00412E8E">
            <w:pPr>
              <w:jc w:val="left"/>
              <w:rPr>
                <w:rFonts w:ascii="Arial Narrow" w:hAnsi="Arial Narrow"/>
                <w:bCs/>
                <w:i/>
                <w:szCs w:val="20"/>
              </w:rPr>
            </w:pPr>
            <w:r w:rsidRPr="00EA31F9">
              <w:rPr>
                <w:rFonts w:ascii="Arial Narrow" w:hAnsi="Arial Narrow"/>
                <w:bCs/>
                <w:i/>
                <w:szCs w:val="20"/>
              </w:rPr>
              <w:t>(Avoided energy and capacity costs)</w:t>
            </w:r>
          </w:p>
        </w:tc>
        <w:tc>
          <w:tcPr>
            <w:tcW w:w="5580" w:type="dxa"/>
          </w:tcPr>
          <w:p w14:paraId="77404B90" w14:textId="77777777" w:rsidR="00C624A7" w:rsidRPr="00C624A7" w:rsidRDefault="00654884" w:rsidP="00361DEA">
            <w:pPr>
              <w:rPr>
                <w:rFonts w:ascii="Arial Narrow" w:hAnsi="Arial Narrow"/>
                <w:bCs/>
                <w:szCs w:val="20"/>
                <w:highlight w:val="yellow"/>
              </w:rPr>
            </w:pPr>
            <w:r w:rsidRPr="00FC2902">
              <w:rPr>
                <w:rFonts w:ascii="Arial Narrow" w:hAnsi="Arial Narrow"/>
                <w:bCs/>
                <w:szCs w:val="20"/>
              </w:rPr>
              <w:t xml:space="preserve">CPUC – </w:t>
            </w:r>
            <w:r w:rsidRPr="00FC2902">
              <w:rPr>
                <w:rFonts w:ascii="Arial Narrow" w:hAnsi="Arial Narrow"/>
                <w:bCs/>
                <w:i/>
                <w:szCs w:val="20"/>
              </w:rPr>
              <w:t xml:space="preserve">Cost Effectiveness Tool.  </w:t>
            </w:r>
            <w:r w:rsidRPr="00FC2902">
              <w:rPr>
                <w:rFonts w:ascii="Arial Narrow" w:hAnsi="Arial Narrow"/>
                <w:bCs/>
                <w:szCs w:val="20"/>
              </w:rPr>
              <w:t>Accessed: Mar. 2017</w:t>
            </w:r>
          </w:p>
        </w:tc>
      </w:tr>
      <w:tr w:rsidR="00C624A7" w:rsidRPr="00EA31F9" w14:paraId="3B3489C8" w14:textId="77777777" w:rsidTr="00110120">
        <w:tc>
          <w:tcPr>
            <w:tcW w:w="0" w:type="dxa"/>
          </w:tcPr>
          <w:p w14:paraId="24B095A7" w14:textId="77777777" w:rsidR="00C624A7" w:rsidRPr="00EA31F9" w:rsidRDefault="00C624A7" w:rsidP="00412E8E">
            <w:pPr>
              <w:jc w:val="left"/>
              <w:rPr>
                <w:rFonts w:ascii="Arial Narrow" w:hAnsi="Arial Narrow"/>
                <w:bCs/>
                <w:i/>
                <w:szCs w:val="20"/>
              </w:rPr>
            </w:pPr>
            <w:r w:rsidRPr="00C84217">
              <w:rPr>
                <w:rFonts w:ascii="Arial Narrow" w:hAnsi="Arial Narrow"/>
                <w:b/>
                <w:szCs w:val="20"/>
              </w:rPr>
              <w:t xml:space="preserve">Historic Program Accomplishments </w:t>
            </w:r>
            <w:r w:rsidRPr="00EA31F9">
              <w:rPr>
                <w:rFonts w:ascii="Arial Narrow" w:hAnsi="Arial Narrow"/>
                <w:i/>
                <w:szCs w:val="20"/>
              </w:rPr>
              <w:t>(</w:t>
            </w:r>
            <w:r>
              <w:rPr>
                <w:rFonts w:ascii="Arial Narrow" w:hAnsi="Arial Narrow"/>
                <w:i/>
                <w:szCs w:val="20"/>
              </w:rPr>
              <w:t>Used for calibration</w:t>
            </w:r>
            <w:r w:rsidRPr="00EA31F9">
              <w:rPr>
                <w:rFonts w:ascii="Arial Narrow" w:hAnsi="Arial Narrow"/>
                <w:i/>
                <w:szCs w:val="20"/>
              </w:rPr>
              <w:t>)</w:t>
            </w:r>
          </w:p>
        </w:tc>
        <w:tc>
          <w:tcPr>
            <w:tcW w:w="5580" w:type="dxa"/>
            <w:vMerge w:val="restart"/>
          </w:tcPr>
          <w:p w14:paraId="2569F12D" w14:textId="77777777" w:rsidR="00654884" w:rsidRPr="00C624A7" w:rsidRDefault="00654884" w:rsidP="00361DEA">
            <w:pPr>
              <w:pStyle w:val="Default"/>
              <w:spacing w:before="3"/>
              <w:rPr>
                <w:rFonts w:ascii="Arial Narrow" w:hAnsi="Arial Narrow"/>
                <w:bCs/>
                <w:sz w:val="20"/>
                <w:szCs w:val="20"/>
                <w:highlight w:val="yellow"/>
              </w:rPr>
            </w:pPr>
          </w:p>
          <w:p w14:paraId="6C560617" w14:textId="77777777" w:rsidR="00C624A7" w:rsidRPr="00C624A7" w:rsidRDefault="00654884" w:rsidP="00361DEA">
            <w:pPr>
              <w:pStyle w:val="Default"/>
              <w:spacing w:before="3"/>
              <w:rPr>
                <w:rFonts w:ascii="Arial Narrow" w:hAnsi="Arial Narrow"/>
                <w:bCs/>
                <w:sz w:val="20"/>
                <w:szCs w:val="20"/>
                <w:highlight w:val="yellow"/>
              </w:rPr>
            </w:pPr>
            <w:r w:rsidRPr="00FC2902">
              <w:rPr>
                <w:rFonts w:ascii="Arial Narrow" w:hAnsi="Arial Narrow"/>
                <w:sz w:val="20"/>
                <w:szCs w:val="20"/>
              </w:rPr>
              <w:t>CPUC – Energy Efficiency Full Program Cycle (2013-2015)</w:t>
            </w:r>
            <w:r w:rsidR="00361DEA">
              <w:rPr>
                <w:rFonts w:ascii="Arial Narrow" w:hAnsi="Arial Narrow"/>
                <w:sz w:val="20"/>
                <w:szCs w:val="20"/>
              </w:rPr>
              <w:t xml:space="preserve"> Data.</w:t>
            </w:r>
            <w:r w:rsidRPr="00FC2902">
              <w:rPr>
                <w:rFonts w:ascii="Arial Narrow" w:hAnsi="Arial Narrow"/>
                <w:sz w:val="20"/>
                <w:szCs w:val="20"/>
              </w:rPr>
              <w:t xml:space="preserve"> </w:t>
            </w:r>
            <w:r w:rsidR="00361DEA">
              <w:rPr>
                <w:rFonts w:ascii="Arial Narrow" w:hAnsi="Arial Narrow"/>
                <w:sz w:val="20"/>
                <w:szCs w:val="20"/>
              </w:rPr>
              <w:t>Download at:</w:t>
            </w:r>
            <w:r w:rsidRPr="00FC2902">
              <w:rPr>
                <w:rFonts w:ascii="Arial Narrow" w:hAnsi="Arial Narrow"/>
                <w:sz w:val="20"/>
                <w:szCs w:val="20"/>
              </w:rPr>
              <w:t xml:space="preserve"> </w:t>
            </w:r>
            <w:r w:rsidRPr="00361DEA">
              <w:rPr>
                <w:rFonts w:ascii="Arial Narrow" w:hAnsi="Arial Narrow"/>
                <w:i/>
                <w:sz w:val="20"/>
                <w:szCs w:val="20"/>
              </w:rPr>
              <w:t>http://eestats.cpuc.ca.gov/Views/EEDataShelf.aspx</w:t>
            </w:r>
          </w:p>
        </w:tc>
      </w:tr>
      <w:tr w:rsidR="00C624A7" w:rsidRPr="00EA31F9" w14:paraId="292842A5" w14:textId="77777777" w:rsidTr="00110120">
        <w:tc>
          <w:tcPr>
            <w:tcW w:w="0" w:type="dxa"/>
          </w:tcPr>
          <w:p w14:paraId="69968702" w14:textId="77777777" w:rsidR="00C624A7" w:rsidRPr="00EA31F9" w:rsidRDefault="00E27C1E" w:rsidP="00C624A7">
            <w:pPr>
              <w:jc w:val="left"/>
              <w:rPr>
                <w:rFonts w:ascii="Arial Narrow" w:hAnsi="Arial Narrow"/>
                <w:bCs/>
                <w:szCs w:val="20"/>
              </w:rPr>
            </w:pPr>
            <w:r>
              <w:rPr>
                <w:rFonts w:ascii="Arial Narrow" w:hAnsi="Arial Narrow"/>
                <w:b/>
                <w:szCs w:val="20"/>
              </w:rPr>
              <w:t xml:space="preserve">Non-Incentive Program Costs </w:t>
            </w:r>
          </w:p>
        </w:tc>
        <w:tc>
          <w:tcPr>
            <w:tcW w:w="5580" w:type="dxa"/>
            <w:vMerge/>
          </w:tcPr>
          <w:p w14:paraId="4EC65142" w14:textId="77777777" w:rsidR="00C624A7" w:rsidRPr="00C624A7" w:rsidRDefault="00C624A7" w:rsidP="00412E8E">
            <w:pPr>
              <w:pStyle w:val="Default"/>
              <w:spacing w:before="3"/>
              <w:jc w:val="left"/>
              <w:rPr>
                <w:rFonts w:ascii="Arial Narrow" w:hAnsi="Arial Narrow"/>
                <w:i/>
                <w:iCs/>
                <w:sz w:val="20"/>
                <w:szCs w:val="20"/>
                <w:highlight w:val="yellow"/>
              </w:rPr>
            </w:pPr>
          </w:p>
        </w:tc>
      </w:tr>
    </w:tbl>
    <w:p w14:paraId="08917C7A" w14:textId="77777777" w:rsidR="00CC010C" w:rsidRDefault="00CC010C" w:rsidP="00CC010C">
      <w:pPr>
        <w:pStyle w:val="Heading3"/>
      </w:pPr>
      <w:bookmarkStart w:id="348" w:name="_Toc478990506"/>
      <w:bookmarkStart w:id="349" w:name="_Toc479768578"/>
      <w:bookmarkStart w:id="350" w:name="_Toc482357305"/>
      <w:bookmarkStart w:id="351" w:name="_Toc482634281"/>
      <w:bookmarkStart w:id="352" w:name="_Toc482626413"/>
      <w:bookmarkStart w:id="353" w:name="_Toc484092484"/>
      <w:bookmarkStart w:id="354" w:name="_Toc484172688"/>
      <w:bookmarkStart w:id="355" w:name="_Toc484183024"/>
      <w:bookmarkStart w:id="356" w:name="_Toc485126539"/>
      <w:r>
        <w:t>Retail Rates and Sales Forecasts</w:t>
      </w:r>
      <w:bookmarkEnd w:id="348"/>
      <w:bookmarkEnd w:id="349"/>
      <w:bookmarkEnd w:id="350"/>
      <w:bookmarkEnd w:id="351"/>
      <w:bookmarkEnd w:id="352"/>
      <w:bookmarkEnd w:id="353"/>
      <w:bookmarkEnd w:id="354"/>
      <w:bookmarkEnd w:id="355"/>
      <w:bookmarkEnd w:id="356"/>
    </w:p>
    <w:p w14:paraId="50610134" w14:textId="77777777" w:rsidR="00245FFD" w:rsidRDefault="00E27C1E" w:rsidP="00CC010C">
      <w:r>
        <w:t xml:space="preserve">The </w:t>
      </w:r>
      <w:r w:rsidR="00245FFD">
        <w:t>CEC’s Integrated Energy Policy Report</w:t>
      </w:r>
      <w:r w:rsidR="00757D2B">
        <w:t xml:space="preserve"> (IEPR)</w:t>
      </w:r>
      <w:r w:rsidR="00CC010C" w:rsidRPr="00CC010C">
        <w:t xml:space="preserve">, </w:t>
      </w:r>
      <w:r w:rsidR="00245FFD">
        <w:t>which includes a forecast that is updated annually</w:t>
      </w:r>
      <w:r>
        <w:t>, is the</w:t>
      </w:r>
      <w:r w:rsidRPr="00CC010C">
        <w:t xml:space="preserve"> source for retail rates and sales forecasts </w:t>
      </w:r>
      <w:r>
        <w:t xml:space="preserve">in </w:t>
      </w:r>
      <w:r w:rsidRPr="00CC010C">
        <w:t>the 201</w:t>
      </w:r>
      <w:r w:rsidR="00A26D05">
        <w:t>8</w:t>
      </w:r>
      <w:r w:rsidRPr="00CC010C">
        <w:t xml:space="preserve"> Study</w:t>
      </w:r>
      <w:r w:rsidR="00245FFD">
        <w:t xml:space="preserve">. </w:t>
      </w:r>
      <w:r>
        <w:t>The team use</w:t>
      </w:r>
      <w:r w:rsidR="00857F44">
        <w:t>d</w:t>
      </w:r>
      <w:r>
        <w:t xml:space="preserve"> </w:t>
      </w:r>
      <w:r w:rsidR="0063601A" w:rsidRPr="00861EB3">
        <w:t>the 2016</w:t>
      </w:r>
      <w:r w:rsidR="00CC010C" w:rsidRPr="00861EB3">
        <w:t xml:space="preserve"> IEPR for electric rates and forecasts and </w:t>
      </w:r>
      <w:r w:rsidR="0063601A" w:rsidRPr="00861EB3">
        <w:t>the 2015</w:t>
      </w:r>
      <w:r w:rsidR="00CC010C" w:rsidRPr="00861EB3">
        <w:t xml:space="preserve"> IEPR for gas rates and forecasts</w:t>
      </w:r>
      <w:r>
        <w:t>.</w:t>
      </w:r>
      <w:r w:rsidR="00CC010C" w:rsidRPr="00861EB3">
        <w:t xml:space="preserve"> This was because only electric rates and forecasts were updated in the </w:t>
      </w:r>
      <w:r w:rsidR="00857F44" w:rsidRPr="00861EB3">
        <w:t>201</w:t>
      </w:r>
      <w:r w:rsidR="00857F44">
        <w:t>6</w:t>
      </w:r>
      <w:r w:rsidR="00857F44" w:rsidRPr="00861EB3">
        <w:t xml:space="preserve"> </w:t>
      </w:r>
      <w:r w:rsidR="00CC010C" w:rsidRPr="00861EB3">
        <w:t xml:space="preserve">IEPR. </w:t>
      </w:r>
      <w:r w:rsidR="00861EB3" w:rsidRPr="00861EB3">
        <w:t xml:space="preserve"> </w:t>
      </w:r>
    </w:p>
    <w:p w14:paraId="3477FA2A" w14:textId="77777777" w:rsidR="00245FFD" w:rsidRDefault="00245FFD" w:rsidP="00CC010C"/>
    <w:p w14:paraId="79C4E1AA" w14:textId="77777777" w:rsidR="00CC010C" w:rsidRDefault="00245FFD" w:rsidP="00CC010C">
      <w:r w:rsidRPr="00E11395">
        <w:lastRenderedPageBreak/>
        <w:t xml:space="preserve">Navigant </w:t>
      </w:r>
      <w:r>
        <w:t>revised</w:t>
      </w:r>
      <w:r w:rsidRPr="00E11395" w:rsidDel="0052132D">
        <w:t xml:space="preserve"> </w:t>
      </w:r>
      <w:r w:rsidRPr="00E11395">
        <w:t xml:space="preserve">the </w:t>
      </w:r>
      <w:r>
        <w:t>retail rates and sales forecast</w:t>
      </w:r>
      <w:r w:rsidRPr="00E11395">
        <w:t xml:space="preserve"> </w:t>
      </w:r>
      <w:r>
        <w:t>based on information from</w:t>
      </w:r>
      <w:r w:rsidRPr="00E11395">
        <w:t xml:space="preserve"> the recently released IEPR 2016, </w:t>
      </w:r>
      <w:r w:rsidR="008B64DE">
        <w:t>published</w:t>
      </w:r>
      <w:r w:rsidRPr="00E11395">
        <w:t xml:space="preserve"> by the CEC in February 2017. </w:t>
      </w:r>
      <w:r>
        <w:t xml:space="preserve"> </w:t>
      </w:r>
    </w:p>
    <w:p w14:paraId="111230BF" w14:textId="77777777" w:rsidR="003A1241" w:rsidRDefault="003A1241" w:rsidP="00CC010C"/>
    <w:p w14:paraId="01E4B7C7" w14:textId="77777777" w:rsidR="003A1241" w:rsidRDefault="00245FFD" w:rsidP="003A1241">
      <w:r>
        <w:t>Sales</w:t>
      </w:r>
      <w:r w:rsidR="0063601A">
        <w:t xml:space="preserve"> forecasts in IEPR are shown by CEC</w:t>
      </w:r>
      <w:r>
        <w:t xml:space="preserve">’s </w:t>
      </w:r>
      <w:r w:rsidR="00E27C1E">
        <w:t xml:space="preserve">eight </w:t>
      </w:r>
      <w:r w:rsidR="0063601A">
        <w:t>planning area</w:t>
      </w:r>
      <w:r>
        <w:t>s</w:t>
      </w:r>
      <w:r w:rsidR="0063601A">
        <w:t xml:space="preserve">, </w:t>
      </w:r>
      <w:r>
        <w:t xml:space="preserve">which differs </w:t>
      </w:r>
      <w:r w:rsidR="00E27C1E">
        <w:t xml:space="preserve">slightly </w:t>
      </w:r>
      <w:r>
        <w:t xml:space="preserve">from the </w:t>
      </w:r>
      <w:r w:rsidR="00E27C1E">
        <w:t xml:space="preserve">IOU </w:t>
      </w:r>
      <w:r>
        <w:t xml:space="preserve">service territory area. </w:t>
      </w:r>
      <w:r w:rsidR="00E27C1E">
        <w:t>Some of the CEC</w:t>
      </w:r>
      <w:r w:rsidR="00056EC0">
        <w:t xml:space="preserve"> planning areas include the territories of small POUs in California.  </w:t>
      </w:r>
      <w:r>
        <w:t>T</w:t>
      </w:r>
      <w:r w:rsidR="00056EC0">
        <w:t xml:space="preserve">herefore, </w:t>
      </w:r>
      <w:r w:rsidR="0063601A">
        <w:t xml:space="preserve">an adjustment </w:t>
      </w:r>
      <w:r w:rsidR="00E27C1E">
        <w:t>is needed</w:t>
      </w:r>
      <w:r w:rsidR="0063601A">
        <w:t xml:space="preserve">. </w:t>
      </w:r>
      <w:r w:rsidR="003A1241">
        <w:t xml:space="preserve">Using data on service territory and planning area sales for 2015, Navigant calculated ratios to adjust the planning area consumption (found within IEPR) down to each IOU’s actual service territory consumption for both PG&amp;E and SCE. These ratios, </w:t>
      </w:r>
      <w:r w:rsidR="00002BFF">
        <w:t xml:space="preserve">with the service territory consumption </w:t>
      </w:r>
      <w:r w:rsidR="003A1241">
        <w:t xml:space="preserve">based on the </w:t>
      </w:r>
      <w:r w:rsidR="0008558D">
        <w:t>2015 QFER</w:t>
      </w:r>
      <w:r w:rsidR="003A1241">
        <w:t xml:space="preserve">, are referred to as Service Territory to Planning Area adjustment ratios and are detailed in </w:t>
      </w:r>
      <w:r w:rsidR="00857F44">
        <w:fldChar w:fldCharType="begin"/>
      </w:r>
      <w:r w:rsidR="00857F44">
        <w:instrText xml:space="preserve"> REF _Ref481575788 \h </w:instrText>
      </w:r>
      <w:r w:rsidR="00857F44">
        <w:fldChar w:fldCharType="separate"/>
      </w:r>
      <w:r w:rsidR="00C407F4">
        <w:t xml:space="preserve">Table </w:t>
      </w:r>
      <w:r w:rsidR="00C407F4">
        <w:rPr>
          <w:noProof/>
        </w:rPr>
        <w:t>3</w:t>
      </w:r>
      <w:r w:rsidR="00C407F4">
        <w:noBreakHyphen/>
      </w:r>
      <w:r w:rsidR="00C407F4">
        <w:rPr>
          <w:noProof/>
        </w:rPr>
        <w:t>2</w:t>
      </w:r>
      <w:r w:rsidR="00857F44">
        <w:fldChar w:fldCharType="end"/>
      </w:r>
      <w:r w:rsidR="00857F44">
        <w:t xml:space="preserve">.  </w:t>
      </w:r>
      <w:r w:rsidR="00DD2E3C">
        <w:t xml:space="preserve">The CEC planning area for San Diego directly maps to SDG&amp;E service territory so this is no need to calculate an adjustment ratio for SDG&amp;E.  </w:t>
      </w:r>
    </w:p>
    <w:p w14:paraId="3E6AFD19" w14:textId="77777777" w:rsidR="003A1241" w:rsidRDefault="003A1241" w:rsidP="003A1241"/>
    <w:p w14:paraId="297C7D94" w14:textId="77777777" w:rsidR="003A1241" w:rsidRDefault="008B64DE" w:rsidP="003A1241">
      <w:pPr>
        <w:pStyle w:val="Caption"/>
      </w:pPr>
      <w:bookmarkStart w:id="357" w:name="_Ref481575788"/>
      <w:bookmarkStart w:id="358" w:name="_Toc482634210"/>
      <w:bookmarkStart w:id="359" w:name="_Toc484436949"/>
      <w:bookmarkStart w:id="360" w:name="_Toc485125660"/>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w:t>
      </w:r>
      <w:r w:rsidR="00272F76">
        <w:rPr>
          <w:noProof/>
        </w:rPr>
        <w:fldChar w:fldCharType="end"/>
      </w:r>
      <w:bookmarkEnd w:id="357"/>
      <w:r>
        <w:t xml:space="preserve">.  </w:t>
      </w:r>
      <w:r w:rsidR="003A1241">
        <w:t>2016 IEPR Electric Service Territory to Planning Area Adjustment Ratios</w:t>
      </w:r>
      <w:bookmarkEnd w:id="358"/>
      <w:bookmarkEnd w:id="359"/>
      <w:bookmarkEnd w:id="360"/>
    </w:p>
    <w:tbl>
      <w:tblPr>
        <w:tblStyle w:val="EnergyTable1"/>
        <w:tblW w:w="0" w:type="auto"/>
        <w:tblLook w:val="0620" w:firstRow="1" w:lastRow="0" w:firstColumn="0" w:lastColumn="0" w:noHBand="1" w:noVBand="1"/>
      </w:tblPr>
      <w:tblGrid>
        <w:gridCol w:w="1325"/>
        <w:gridCol w:w="1325"/>
        <w:gridCol w:w="1325"/>
        <w:gridCol w:w="1325"/>
        <w:gridCol w:w="1326"/>
        <w:gridCol w:w="1326"/>
        <w:gridCol w:w="1326"/>
      </w:tblGrid>
      <w:tr w:rsidR="003A1241" w:rsidRPr="00957936" w14:paraId="50C9A8B5" w14:textId="77777777" w:rsidTr="00110120">
        <w:trPr>
          <w:cnfStyle w:val="100000000000" w:firstRow="1" w:lastRow="0" w:firstColumn="0" w:lastColumn="0" w:oddVBand="0" w:evenVBand="0" w:oddHBand="0" w:evenHBand="0" w:firstRowFirstColumn="0" w:firstRowLastColumn="0" w:lastRowFirstColumn="0" w:lastRowLastColumn="0"/>
        </w:trPr>
        <w:tc>
          <w:tcPr>
            <w:tcW w:w="1325" w:type="dxa"/>
          </w:tcPr>
          <w:p w14:paraId="27EA6AE9" w14:textId="77777777" w:rsidR="003A1241" w:rsidRPr="00957936" w:rsidRDefault="003A1241" w:rsidP="009414D2">
            <w:pPr>
              <w:keepNext/>
              <w:keepLines/>
              <w:rPr>
                <w:rFonts w:ascii="Arial Narrow" w:hAnsi="Arial Narrow"/>
                <w:sz w:val="18"/>
                <w:szCs w:val="18"/>
              </w:rPr>
            </w:pPr>
          </w:p>
        </w:tc>
        <w:tc>
          <w:tcPr>
            <w:tcW w:w="1325" w:type="dxa"/>
          </w:tcPr>
          <w:p w14:paraId="671445CF"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Residential</w:t>
            </w:r>
          </w:p>
        </w:tc>
        <w:tc>
          <w:tcPr>
            <w:tcW w:w="1325" w:type="dxa"/>
          </w:tcPr>
          <w:p w14:paraId="0FC6F5E3"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Commercial</w:t>
            </w:r>
          </w:p>
        </w:tc>
        <w:tc>
          <w:tcPr>
            <w:tcW w:w="1325" w:type="dxa"/>
          </w:tcPr>
          <w:p w14:paraId="5ED3B737"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Industrial</w:t>
            </w:r>
          </w:p>
        </w:tc>
        <w:tc>
          <w:tcPr>
            <w:tcW w:w="1326" w:type="dxa"/>
          </w:tcPr>
          <w:p w14:paraId="7B28AA32"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Mining</w:t>
            </w:r>
          </w:p>
        </w:tc>
        <w:tc>
          <w:tcPr>
            <w:tcW w:w="1326" w:type="dxa"/>
          </w:tcPr>
          <w:p w14:paraId="62162B9C"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Agriculture</w:t>
            </w:r>
          </w:p>
        </w:tc>
        <w:tc>
          <w:tcPr>
            <w:tcW w:w="1326" w:type="dxa"/>
          </w:tcPr>
          <w:p w14:paraId="0793EBCC"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Streetlights</w:t>
            </w:r>
          </w:p>
        </w:tc>
      </w:tr>
      <w:tr w:rsidR="003A1241" w:rsidRPr="00957936" w14:paraId="7DD535A3" w14:textId="77777777" w:rsidTr="00110120">
        <w:tc>
          <w:tcPr>
            <w:tcW w:w="1325" w:type="dxa"/>
          </w:tcPr>
          <w:p w14:paraId="6359F90D" w14:textId="77777777" w:rsidR="003A1241" w:rsidRPr="00957936" w:rsidRDefault="003A1241" w:rsidP="009414D2">
            <w:pPr>
              <w:keepNext/>
              <w:keepLines/>
              <w:rPr>
                <w:rFonts w:ascii="Arial Narrow" w:hAnsi="Arial Narrow"/>
                <w:sz w:val="18"/>
                <w:szCs w:val="18"/>
              </w:rPr>
            </w:pPr>
            <w:r w:rsidRPr="00957936">
              <w:rPr>
                <w:rFonts w:ascii="Arial Narrow" w:hAnsi="Arial Narrow" w:cs="Arial"/>
                <w:color w:val="000000"/>
                <w:kern w:val="24"/>
                <w:sz w:val="18"/>
                <w:szCs w:val="18"/>
              </w:rPr>
              <w:t>PG&amp;E</w:t>
            </w:r>
          </w:p>
        </w:tc>
        <w:tc>
          <w:tcPr>
            <w:tcW w:w="1325" w:type="dxa"/>
            <w:vAlign w:val="top"/>
          </w:tcPr>
          <w:p w14:paraId="0DB444A3"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97.0%</w:t>
            </w:r>
          </w:p>
        </w:tc>
        <w:tc>
          <w:tcPr>
            <w:tcW w:w="1325" w:type="dxa"/>
            <w:vAlign w:val="top"/>
          </w:tcPr>
          <w:p w14:paraId="57B9DDAE"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89.4%</w:t>
            </w:r>
          </w:p>
        </w:tc>
        <w:tc>
          <w:tcPr>
            <w:tcW w:w="1325" w:type="dxa"/>
            <w:vAlign w:val="top"/>
          </w:tcPr>
          <w:p w14:paraId="107A4C75"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88.4%</w:t>
            </w:r>
          </w:p>
        </w:tc>
        <w:tc>
          <w:tcPr>
            <w:tcW w:w="1326" w:type="dxa"/>
            <w:vAlign w:val="top"/>
          </w:tcPr>
          <w:p w14:paraId="3ED3DBBA"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96.2%</w:t>
            </w:r>
          </w:p>
        </w:tc>
        <w:tc>
          <w:tcPr>
            <w:tcW w:w="1326" w:type="dxa"/>
            <w:vAlign w:val="top"/>
          </w:tcPr>
          <w:p w14:paraId="60A14363"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97.0%</w:t>
            </w:r>
          </w:p>
        </w:tc>
        <w:tc>
          <w:tcPr>
            <w:tcW w:w="1326" w:type="dxa"/>
            <w:vAlign w:val="top"/>
          </w:tcPr>
          <w:p w14:paraId="25A31E7C"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87.7%</w:t>
            </w:r>
          </w:p>
        </w:tc>
      </w:tr>
      <w:tr w:rsidR="003A1241" w:rsidRPr="00957936" w14:paraId="24E8608E" w14:textId="77777777" w:rsidTr="00110120">
        <w:tc>
          <w:tcPr>
            <w:tcW w:w="1325" w:type="dxa"/>
          </w:tcPr>
          <w:p w14:paraId="7777B010" w14:textId="77777777" w:rsidR="003A1241" w:rsidRPr="00957936" w:rsidRDefault="003A1241" w:rsidP="009414D2">
            <w:pPr>
              <w:keepNext/>
              <w:keepLines/>
              <w:rPr>
                <w:rFonts w:ascii="Arial Narrow" w:hAnsi="Arial Narrow"/>
                <w:sz w:val="18"/>
                <w:szCs w:val="18"/>
              </w:rPr>
            </w:pPr>
            <w:r w:rsidRPr="00957936">
              <w:rPr>
                <w:rFonts w:ascii="Arial Narrow" w:hAnsi="Arial Narrow" w:cs="Arial"/>
                <w:color w:val="000000"/>
                <w:kern w:val="24"/>
                <w:sz w:val="18"/>
                <w:szCs w:val="18"/>
              </w:rPr>
              <w:t>SCE</w:t>
            </w:r>
          </w:p>
        </w:tc>
        <w:tc>
          <w:tcPr>
            <w:tcW w:w="1325" w:type="dxa"/>
            <w:vAlign w:val="top"/>
          </w:tcPr>
          <w:p w14:paraId="45AA4DC6"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92.6%</w:t>
            </w:r>
          </w:p>
        </w:tc>
        <w:tc>
          <w:tcPr>
            <w:tcW w:w="1325" w:type="dxa"/>
            <w:vAlign w:val="top"/>
          </w:tcPr>
          <w:p w14:paraId="3176776D"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90.2%</w:t>
            </w:r>
          </w:p>
        </w:tc>
        <w:tc>
          <w:tcPr>
            <w:tcW w:w="1325" w:type="dxa"/>
            <w:vAlign w:val="top"/>
          </w:tcPr>
          <w:p w14:paraId="28D069EA"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89.2%</w:t>
            </w:r>
          </w:p>
        </w:tc>
        <w:tc>
          <w:tcPr>
            <w:tcW w:w="1326" w:type="dxa"/>
            <w:vAlign w:val="top"/>
          </w:tcPr>
          <w:p w14:paraId="5E7BFD43"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94.1%</w:t>
            </w:r>
          </w:p>
        </w:tc>
        <w:tc>
          <w:tcPr>
            <w:tcW w:w="1326" w:type="dxa"/>
            <w:vAlign w:val="top"/>
          </w:tcPr>
          <w:p w14:paraId="55AFE993"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58.8%</w:t>
            </w:r>
          </w:p>
        </w:tc>
        <w:tc>
          <w:tcPr>
            <w:tcW w:w="1326" w:type="dxa"/>
            <w:vAlign w:val="top"/>
          </w:tcPr>
          <w:p w14:paraId="58A09E5E"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90.3%</w:t>
            </w:r>
          </w:p>
        </w:tc>
      </w:tr>
    </w:tbl>
    <w:p w14:paraId="01CCEA5A" w14:textId="77777777" w:rsidR="003A1241" w:rsidRDefault="003A1241" w:rsidP="00957936">
      <w:pPr>
        <w:pStyle w:val="Source"/>
        <w:jc w:val="center"/>
      </w:pPr>
      <w:r>
        <w:t>Source: California Energy Commission, 2017.</w:t>
      </w:r>
    </w:p>
    <w:p w14:paraId="2D472C1A" w14:textId="77777777" w:rsidR="00DD2E3C" w:rsidRDefault="00DD2E3C" w:rsidP="00CC010C">
      <w:r w:rsidRPr="00CC010C">
        <w:t>Most POUs in C</w:t>
      </w:r>
      <w:r w:rsidR="00056EC0">
        <w:t>alifornia</w:t>
      </w:r>
      <w:r w:rsidRPr="00CC010C">
        <w:t xml:space="preserve"> do not offer any gas service (currently only the City of Palo Alto and Island Energy offer natural gas service). </w:t>
      </w:r>
      <w:r>
        <w:t xml:space="preserve"> It is estimated that California IOUs sell approximately 99% of the state’s natural gas.  However, there are some exceptions, notably SMUD in PG&amp;E</w:t>
      </w:r>
      <w:r w:rsidR="00490F81">
        <w:t xml:space="preserve"> territory</w:t>
      </w:r>
      <w:r>
        <w:t xml:space="preserve">.  </w:t>
      </w:r>
      <w:r w:rsidR="00002BFF">
        <w:t xml:space="preserve">To obtain service territory consumption values, </w:t>
      </w:r>
      <w:r>
        <w:t xml:space="preserve">Navigant staff used </w:t>
      </w:r>
      <w:r w:rsidR="002118E3">
        <w:t xml:space="preserve">2013-2014 data from </w:t>
      </w:r>
      <w:r w:rsidR="00002BFF">
        <w:t>the CEC’s Energy Consumption Database (ECDMS)</w:t>
      </w:r>
      <w:r w:rsidR="00056EC0">
        <w:t xml:space="preserve">, shown in </w:t>
      </w:r>
      <w:r w:rsidR="00857F44">
        <w:fldChar w:fldCharType="begin"/>
      </w:r>
      <w:r w:rsidR="00857F44">
        <w:instrText xml:space="preserve"> REF _Ref481575893 \h </w:instrText>
      </w:r>
      <w:r w:rsidR="00857F44">
        <w:fldChar w:fldCharType="separate"/>
      </w:r>
      <w:r w:rsidR="00C407F4">
        <w:t xml:space="preserve">Table </w:t>
      </w:r>
      <w:r w:rsidR="00C407F4">
        <w:rPr>
          <w:noProof/>
        </w:rPr>
        <w:t>3</w:t>
      </w:r>
      <w:r w:rsidR="00C407F4">
        <w:noBreakHyphen/>
      </w:r>
      <w:r w:rsidR="00C407F4">
        <w:rPr>
          <w:noProof/>
        </w:rPr>
        <w:t>3</w:t>
      </w:r>
      <w:r w:rsidR="00857F44">
        <w:fldChar w:fldCharType="end"/>
      </w:r>
      <w:r w:rsidR="00857F44">
        <w:t>.</w:t>
      </w:r>
      <w:r w:rsidR="00E75460">
        <w:rPr>
          <w:rStyle w:val="FootnoteReference"/>
        </w:rPr>
        <w:footnoteReference w:id="43"/>
      </w:r>
    </w:p>
    <w:p w14:paraId="1E73BE23" w14:textId="77777777" w:rsidR="00DD2E3C" w:rsidRDefault="00DD2E3C" w:rsidP="00CC010C"/>
    <w:p w14:paraId="59520347" w14:textId="77777777" w:rsidR="00DD2E3C" w:rsidRDefault="008B64DE" w:rsidP="00DD2E3C">
      <w:pPr>
        <w:pStyle w:val="Caption"/>
      </w:pPr>
      <w:bookmarkStart w:id="361" w:name="_Ref481575893"/>
      <w:bookmarkStart w:id="362" w:name="_Toc482634211"/>
      <w:bookmarkStart w:id="363" w:name="_Toc484436950"/>
      <w:bookmarkStart w:id="364" w:name="_Toc485125661"/>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3</w:t>
      </w:r>
      <w:r w:rsidR="00272F76">
        <w:rPr>
          <w:noProof/>
        </w:rPr>
        <w:fldChar w:fldCharType="end"/>
      </w:r>
      <w:bookmarkEnd w:id="361"/>
      <w:r>
        <w:t xml:space="preserve">.  </w:t>
      </w:r>
      <w:r w:rsidR="00DD2E3C">
        <w:t>2016 IEPR Gas Service Territory to Planning Area Adjustment Ratios</w:t>
      </w:r>
      <w:bookmarkEnd w:id="362"/>
      <w:bookmarkEnd w:id="363"/>
      <w:bookmarkEnd w:id="364"/>
    </w:p>
    <w:tbl>
      <w:tblPr>
        <w:tblStyle w:val="EnergyTable1"/>
        <w:tblW w:w="0" w:type="auto"/>
        <w:tblLook w:val="0620" w:firstRow="1" w:lastRow="0" w:firstColumn="0" w:lastColumn="0" w:noHBand="1" w:noVBand="1"/>
      </w:tblPr>
      <w:tblGrid>
        <w:gridCol w:w="1325"/>
        <w:gridCol w:w="1325"/>
        <w:gridCol w:w="1325"/>
        <w:gridCol w:w="1325"/>
        <w:gridCol w:w="1326"/>
        <w:gridCol w:w="1326"/>
        <w:gridCol w:w="1326"/>
      </w:tblGrid>
      <w:tr w:rsidR="00DD2E3C" w:rsidRPr="00957936" w14:paraId="11BF0D53" w14:textId="77777777" w:rsidTr="00110120">
        <w:trPr>
          <w:cnfStyle w:val="100000000000" w:firstRow="1" w:lastRow="0" w:firstColumn="0" w:lastColumn="0" w:oddVBand="0" w:evenVBand="0" w:oddHBand="0" w:evenHBand="0" w:firstRowFirstColumn="0" w:firstRowLastColumn="0" w:lastRowFirstColumn="0" w:lastRowLastColumn="0"/>
        </w:trPr>
        <w:tc>
          <w:tcPr>
            <w:tcW w:w="1325" w:type="dxa"/>
          </w:tcPr>
          <w:p w14:paraId="3A54AE55" w14:textId="77777777" w:rsidR="00DD2E3C" w:rsidRPr="00957936" w:rsidRDefault="00DD2E3C" w:rsidP="00002BFF">
            <w:pPr>
              <w:keepNext/>
              <w:keepLines/>
              <w:rPr>
                <w:rFonts w:ascii="Arial Narrow" w:hAnsi="Arial Narrow"/>
                <w:sz w:val="18"/>
                <w:szCs w:val="18"/>
              </w:rPr>
            </w:pPr>
          </w:p>
        </w:tc>
        <w:tc>
          <w:tcPr>
            <w:tcW w:w="1325" w:type="dxa"/>
          </w:tcPr>
          <w:p w14:paraId="5DB0D02A"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Residential</w:t>
            </w:r>
          </w:p>
        </w:tc>
        <w:tc>
          <w:tcPr>
            <w:tcW w:w="1325" w:type="dxa"/>
          </w:tcPr>
          <w:p w14:paraId="632EBA91"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Commercial</w:t>
            </w:r>
          </w:p>
        </w:tc>
        <w:tc>
          <w:tcPr>
            <w:tcW w:w="1325" w:type="dxa"/>
          </w:tcPr>
          <w:p w14:paraId="12B82851"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Industrial</w:t>
            </w:r>
          </w:p>
        </w:tc>
        <w:tc>
          <w:tcPr>
            <w:tcW w:w="1326" w:type="dxa"/>
          </w:tcPr>
          <w:p w14:paraId="3DEF6486"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Mining</w:t>
            </w:r>
          </w:p>
        </w:tc>
        <w:tc>
          <w:tcPr>
            <w:tcW w:w="1326" w:type="dxa"/>
          </w:tcPr>
          <w:p w14:paraId="23F02BE4"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Agriculture</w:t>
            </w:r>
          </w:p>
        </w:tc>
        <w:tc>
          <w:tcPr>
            <w:tcW w:w="1326" w:type="dxa"/>
          </w:tcPr>
          <w:p w14:paraId="4FD0A10B"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Streetlights</w:t>
            </w:r>
          </w:p>
        </w:tc>
      </w:tr>
      <w:tr w:rsidR="00DD2E3C" w:rsidRPr="00957936" w14:paraId="7CBAB266" w14:textId="77777777" w:rsidTr="00110120">
        <w:tc>
          <w:tcPr>
            <w:tcW w:w="1325" w:type="dxa"/>
          </w:tcPr>
          <w:p w14:paraId="696ED2F6" w14:textId="77777777" w:rsidR="00DD2E3C" w:rsidRPr="00957936" w:rsidRDefault="00DD2E3C" w:rsidP="00002BFF">
            <w:pPr>
              <w:keepNext/>
              <w:keepLines/>
              <w:rPr>
                <w:rFonts w:ascii="Arial Narrow" w:hAnsi="Arial Narrow"/>
                <w:sz w:val="18"/>
                <w:szCs w:val="18"/>
              </w:rPr>
            </w:pPr>
            <w:r w:rsidRPr="00957936">
              <w:rPr>
                <w:rFonts w:ascii="Arial Narrow" w:hAnsi="Arial Narrow" w:cs="Arial"/>
                <w:color w:val="000000"/>
                <w:kern w:val="24"/>
                <w:sz w:val="18"/>
                <w:szCs w:val="18"/>
              </w:rPr>
              <w:t>PG&amp;E</w:t>
            </w:r>
          </w:p>
        </w:tc>
        <w:tc>
          <w:tcPr>
            <w:tcW w:w="1325" w:type="dxa"/>
            <w:vAlign w:val="top"/>
          </w:tcPr>
          <w:p w14:paraId="5BA00ED7"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100.0%</w:t>
            </w:r>
          </w:p>
        </w:tc>
        <w:tc>
          <w:tcPr>
            <w:tcW w:w="1325" w:type="dxa"/>
            <w:vAlign w:val="top"/>
          </w:tcPr>
          <w:p w14:paraId="26664864"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98.1%</w:t>
            </w:r>
          </w:p>
        </w:tc>
        <w:tc>
          <w:tcPr>
            <w:tcW w:w="1325" w:type="dxa"/>
            <w:vAlign w:val="top"/>
          </w:tcPr>
          <w:p w14:paraId="3CF3E897"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99.3%</w:t>
            </w:r>
          </w:p>
        </w:tc>
        <w:tc>
          <w:tcPr>
            <w:tcW w:w="1326" w:type="dxa"/>
            <w:vAlign w:val="top"/>
          </w:tcPr>
          <w:p w14:paraId="742EAE89"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99.3%</w:t>
            </w:r>
          </w:p>
        </w:tc>
        <w:tc>
          <w:tcPr>
            <w:tcW w:w="1326" w:type="dxa"/>
            <w:vAlign w:val="top"/>
          </w:tcPr>
          <w:p w14:paraId="3DEABB20"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99.5%</w:t>
            </w:r>
          </w:p>
        </w:tc>
        <w:tc>
          <w:tcPr>
            <w:tcW w:w="1326" w:type="dxa"/>
            <w:vAlign w:val="top"/>
          </w:tcPr>
          <w:p w14:paraId="7119901E"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NA</w:t>
            </w:r>
          </w:p>
        </w:tc>
      </w:tr>
      <w:tr w:rsidR="00DD2E3C" w:rsidRPr="00957936" w14:paraId="2FDA5FA9" w14:textId="77777777" w:rsidTr="00110120">
        <w:tc>
          <w:tcPr>
            <w:tcW w:w="1325" w:type="dxa"/>
          </w:tcPr>
          <w:p w14:paraId="215AFBA7" w14:textId="77777777" w:rsidR="00DD2E3C" w:rsidRPr="00957936" w:rsidRDefault="00DD2E3C" w:rsidP="00957936">
            <w:pPr>
              <w:keepNext/>
              <w:keepLines/>
              <w:rPr>
                <w:rFonts w:ascii="Arial Narrow" w:hAnsi="Arial Narrow"/>
                <w:sz w:val="18"/>
                <w:szCs w:val="18"/>
              </w:rPr>
            </w:pPr>
            <w:r w:rsidRPr="00957936">
              <w:rPr>
                <w:rFonts w:ascii="Arial Narrow" w:hAnsi="Arial Narrow" w:cs="Arial"/>
                <w:color w:val="000000"/>
                <w:kern w:val="24"/>
                <w:sz w:val="18"/>
                <w:szCs w:val="18"/>
              </w:rPr>
              <w:t>SC</w:t>
            </w:r>
            <w:r w:rsidR="00002BFF" w:rsidRPr="00957936">
              <w:rPr>
                <w:rFonts w:ascii="Arial Narrow" w:hAnsi="Arial Narrow" w:cs="Arial"/>
                <w:color w:val="000000"/>
                <w:kern w:val="24"/>
                <w:sz w:val="18"/>
                <w:szCs w:val="18"/>
              </w:rPr>
              <w:t>G</w:t>
            </w:r>
          </w:p>
        </w:tc>
        <w:tc>
          <w:tcPr>
            <w:tcW w:w="1325" w:type="dxa"/>
            <w:vAlign w:val="top"/>
          </w:tcPr>
          <w:p w14:paraId="3A74EE3D"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100.0%</w:t>
            </w:r>
          </w:p>
        </w:tc>
        <w:tc>
          <w:tcPr>
            <w:tcW w:w="1325" w:type="dxa"/>
            <w:vAlign w:val="top"/>
          </w:tcPr>
          <w:p w14:paraId="32E47952"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97.0%</w:t>
            </w:r>
          </w:p>
        </w:tc>
        <w:tc>
          <w:tcPr>
            <w:tcW w:w="1325" w:type="dxa"/>
            <w:vAlign w:val="top"/>
          </w:tcPr>
          <w:p w14:paraId="020F0C7E"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100.0%</w:t>
            </w:r>
          </w:p>
        </w:tc>
        <w:tc>
          <w:tcPr>
            <w:tcW w:w="1326" w:type="dxa"/>
            <w:vAlign w:val="top"/>
          </w:tcPr>
          <w:p w14:paraId="165EFF1D"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10.3%</w:t>
            </w:r>
          </w:p>
        </w:tc>
        <w:tc>
          <w:tcPr>
            <w:tcW w:w="1326" w:type="dxa"/>
            <w:vAlign w:val="top"/>
          </w:tcPr>
          <w:p w14:paraId="556DBDFF"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97.9%</w:t>
            </w:r>
          </w:p>
        </w:tc>
        <w:tc>
          <w:tcPr>
            <w:tcW w:w="1326" w:type="dxa"/>
            <w:vAlign w:val="top"/>
          </w:tcPr>
          <w:p w14:paraId="6E1ED4E6"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NA</w:t>
            </w:r>
          </w:p>
        </w:tc>
      </w:tr>
    </w:tbl>
    <w:p w14:paraId="6794A3A5" w14:textId="77777777" w:rsidR="00DD2E3C" w:rsidRDefault="00DD2E3C" w:rsidP="00957936">
      <w:pPr>
        <w:pStyle w:val="Source"/>
        <w:jc w:val="center"/>
      </w:pPr>
      <w:r>
        <w:t>Source: California Energy Commission, 2017.</w:t>
      </w:r>
    </w:p>
    <w:p w14:paraId="4C56D532" w14:textId="77777777" w:rsidR="00E7005E" w:rsidRPr="00367C1A" w:rsidRDefault="001070A8" w:rsidP="00E44733">
      <w:r w:rsidRPr="00367C1A">
        <w:t xml:space="preserve">While most of the adjustment ratios are close to or at 100%, </w:t>
      </w:r>
      <w:r w:rsidR="00002BFF" w:rsidRPr="00367C1A">
        <w:t>SCG mining is 10.3% b</w:t>
      </w:r>
      <w:r w:rsidR="00797E9C" w:rsidRPr="00367C1A">
        <w:t>a</w:t>
      </w:r>
      <w:r w:rsidRPr="00367C1A">
        <w:t xml:space="preserve">sed on </w:t>
      </w:r>
      <w:r w:rsidR="008506EB" w:rsidRPr="00367C1A">
        <w:t xml:space="preserve">service territory sales found in </w:t>
      </w:r>
      <w:r w:rsidRPr="00367C1A">
        <w:t>ECDMS</w:t>
      </w:r>
      <w:r w:rsidR="008506EB" w:rsidRPr="00367C1A">
        <w:t xml:space="preserve">.  Many of the largest oil and gas extraction companies in SCG’s planning area purchase gas directly from the pipeline companies.  The service territory to planning area adjustment calculation additionally </w:t>
      </w:r>
      <w:r w:rsidR="00E75460" w:rsidRPr="00367C1A">
        <w:t>must</w:t>
      </w:r>
      <w:r w:rsidR="008506EB" w:rsidRPr="00367C1A">
        <w:t xml:space="preserve"> remove the gas sales that are attributed to those large oil and gas companies.</w:t>
      </w:r>
    </w:p>
    <w:p w14:paraId="3A3DBA5A" w14:textId="77777777" w:rsidR="008B64DE" w:rsidRDefault="008B64DE" w:rsidP="00E44733">
      <w:pPr>
        <w:rPr>
          <w:highlight w:val="yellow"/>
        </w:rPr>
      </w:pPr>
    </w:p>
    <w:p w14:paraId="6D22EAB4" w14:textId="77777777" w:rsidR="00E7005E" w:rsidRDefault="008B64DE" w:rsidP="00E44733">
      <w:r>
        <w:t xml:space="preserve">These ratios were applied to both the sales forecast and the building stocks for electric and gas impacts. </w:t>
      </w:r>
    </w:p>
    <w:p w14:paraId="6F92FDB0" w14:textId="77777777" w:rsidR="00A035E0" w:rsidRDefault="008B64DE" w:rsidP="00757D2B">
      <w:pPr>
        <w:pStyle w:val="Heading3"/>
      </w:pPr>
      <w:bookmarkStart w:id="365" w:name="_Toc479766636"/>
      <w:bookmarkStart w:id="366" w:name="_Toc479768579"/>
      <w:bookmarkStart w:id="367" w:name="_Toc482357306"/>
      <w:bookmarkStart w:id="368" w:name="_Toc482634282"/>
      <w:bookmarkStart w:id="369" w:name="_Toc482626414"/>
      <w:bookmarkStart w:id="370" w:name="_Toc484092485"/>
      <w:bookmarkStart w:id="371" w:name="_Toc484172689"/>
      <w:bookmarkStart w:id="372" w:name="_Toc484183025"/>
      <w:bookmarkStart w:id="373" w:name="_Toc485126540"/>
      <w:bookmarkStart w:id="374" w:name="_Toc478990507"/>
      <w:bookmarkEnd w:id="365"/>
      <w:r>
        <w:t>Building Stocks</w:t>
      </w:r>
      <w:bookmarkEnd w:id="366"/>
      <w:bookmarkEnd w:id="367"/>
      <w:bookmarkEnd w:id="368"/>
      <w:bookmarkEnd w:id="369"/>
      <w:bookmarkEnd w:id="370"/>
      <w:bookmarkEnd w:id="371"/>
      <w:bookmarkEnd w:id="372"/>
      <w:bookmarkEnd w:id="373"/>
    </w:p>
    <w:p w14:paraId="751B4457" w14:textId="77777777" w:rsidR="00245FFD" w:rsidRDefault="00245FFD" w:rsidP="00245FFD">
      <w:r>
        <w:t xml:space="preserve">Building stocks are the total “population” metrics of a given sector, though represented by different metrics for most sectors. Residential building stocks are based on number of households in an IOU’s service territory. Commercial building stocks are represented by total floor space for each commercial </w:t>
      </w:r>
      <w:r>
        <w:lastRenderedPageBreak/>
        <w:t xml:space="preserve">building type. Industrial and agricultural building stocks are represented by energy consumption. Mining and streetlighting stocks are the number of pumps and streetlights respectively. The residential, commercial, industrial and agriculture building stock metrics are derived from the CEC’s IEPR. </w:t>
      </w:r>
    </w:p>
    <w:p w14:paraId="3219C41A" w14:textId="77777777" w:rsidR="00245FFD" w:rsidRDefault="00245FFD" w:rsidP="00245FFD"/>
    <w:p w14:paraId="2184F516" w14:textId="77777777" w:rsidR="002118E3" w:rsidRDefault="002118E3" w:rsidP="002118E3">
      <w:r>
        <w:t>The model requires building stocks by sector, scenario, and utility for the time frame 2013-</w:t>
      </w:r>
      <w:r w:rsidR="00E27C1E">
        <w:t>2030</w:t>
      </w:r>
      <w:r>
        <w:t>.</w:t>
      </w:r>
    </w:p>
    <w:p w14:paraId="04BB0617" w14:textId="77777777" w:rsidR="00E27C1E" w:rsidRDefault="00245FFD" w:rsidP="00245FFD">
      <w:r>
        <w:t xml:space="preserve">IEPR 2016 organizes building stock data into the 8 electric planning areas determined by the CEC.  </w:t>
      </w:r>
      <w:r w:rsidR="007B0459">
        <w:t>To</w:t>
      </w:r>
      <w:r>
        <w:t xml:space="preserve"> translate these IEPR results to the PG model and split them by utility, Navigant worked with CEC to map CEC planning areas to the IOU service territories in </w:t>
      </w:r>
      <w:r w:rsidR="00857F44">
        <w:fldChar w:fldCharType="begin"/>
      </w:r>
      <w:r w:rsidR="00857F44">
        <w:instrText xml:space="preserve"> REF _Ref481575878 \h </w:instrText>
      </w:r>
      <w:r w:rsidR="00857F44">
        <w:fldChar w:fldCharType="separate"/>
      </w:r>
      <w:r w:rsidR="00C407F4">
        <w:t xml:space="preserve">Table </w:t>
      </w:r>
      <w:r w:rsidR="00C407F4">
        <w:rPr>
          <w:noProof/>
        </w:rPr>
        <w:t>3</w:t>
      </w:r>
      <w:r w:rsidR="00C407F4">
        <w:noBreakHyphen/>
      </w:r>
      <w:r w:rsidR="00C407F4">
        <w:rPr>
          <w:noProof/>
        </w:rPr>
        <w:t>4</w:t>
      </w:r>
      <w:r w:rsidR="00857F44">
        <w:fldChar w:fldCharType="end"/>
      </w:r>
      <w:r w:rsidR="00857F44">
        <w:t>.</w:t>
      </w:r>
    </w:p>
    <w:p w14:paraId="15E56392" w14:textId="77777777" w:rsidR="00245FFD" w:rsidRDefault="00245FFD" w:rsidP="00245FFD"/>
    <w:p w14:paraId="1C2988E5" w14:textId="77777777" w:rsidR="00245FFD" w:rsidRDefault="00245FFD" w:rsidP="00245FFD">
      <w:pPr>
        <w:pStyle w:val="Caption"/>
      </w:pPr>
      <w:bookmarkStart w:id="375" w:name="_Ref481575878"/>
      <w:bookmarkStart w:id="376" w:name="_Toc482634212"/>
      <w:bookmarkStart w:id="377" w:name="_Toc484436951"/>
      <w:bookmarkStart w:id="378" w:name="_Toc485125662"/>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4</w:t>
      </w:r>
      <w:r w:rsidR="00272F76">
        <w:rPr>
          <w:noProof/>
        </w:rPr>
        <w:fldChar w:fldCharType="end"/>
      </w:r>
      <w:bookmarkEnd w:id="375"/>
      <w:r>
        <w:t>.  Mapping CEC Planning Areas to IOU Service Territories</w:t>
      </w:r>
      <w:bookmarkEnd w:id="376"/>
      <w:bookmarkEnd w:id="377"/>
      <w:bookmarkEnd w:id="378"/>
    </w:p>
    <w:tbl>
      <w:tblPr>
        <w:tblW w:w="7682" w:type="dxa"/>
        <w:tblInd w:w="530" w:type="dxa"/>
        <w:tblCellMar>
          <w:left w:w="0" w:type="dxa"/>
          <w:right w:w="0" w:type="dxa"/>
        </w:tblCellMar>
        <w:tblLook w:val="0600" w:firstRow="0" w:lastRow="0" w:firstColumn="0" w:lastColumn="0" w:noHBand="1" w:noVBand="1"/>
      </w:tblPr>
      <w:tblGrid>
        <w:gridCol w:w="1982"/>
        <w:gridCol w:w="1839"/>
        <w:gridCol w:w="2029"/>
        <w:gridCol w:w="1832"/>
      </w:tblGrid>
      <w:tr w:rsidR="00245FFD" w:rsidRPr="00957936" w14:paraId="364F1158" w14:textId="77777777" w:rsidTr="00110120">
        <w:trPr>
          <w:trHeight w:val="294"/>
        </w:trPr>
        <w:tc>
          <w:tcPr>
            <w:tcW w:w="7682" w:type="dxa"/>
            <w:gridSpan w:val="4"/>
            <w:tcBorders>
              <w:top w:val="single" w:sz="8" w:space="0" w:color="FFFFFF"/>
              <w:left w:val="single" w:sz="8" w:space="0" w:color="FFFFFF"/>
              <w:bottom w:val="single" w:sz="8" w:space="0" w:color="FFFFFF"/>
              <w:right w:val="single" w:sz="8" w:space="0" w:color="FFFFFF"/>
            </w:tcBorders>
            <w:shd w:val="clear" w:color="auto" w:fill="555759"/>
            <w:tcMar>
              <w:top w:w="12" w:type="dxa"/>
              <w:left w:w="12" w:type="dxa"/>
              <w:bottom w:w="0" w:type="dxa"/>
              <w:right w:w="12" w:type="dxa"/>
            </w:tcMar>
            <w:vAlign w:val="center"/>
            <w:hideMark/>
          </w:tcPr>
          <w:p w14:paraId="00757D28" w14:textId="77777777" w:rsidR="00245FFD" w:rsidRPr="00957936" w:rsidRDefault="00245FFD" w:rsidP="002118E3">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CEC Electric and Gas Planning Areas to Utilities</w:t>
            </w:r>
          </w:p>
        </w:tc>
      </w:tr>
      <w:tr w:rsidR="00245FFD" w:rsidRPr="00957936" w14:paraId="16DDA5F4" w14:textId="77777777" w:rsidTr="00110120">
        <w:trPr>
          <w:trHeight w:val="634"/>
        </w:trPr>
        <w:tc>
          <w:tcPr>
            <w:tcW w:w="1982"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12591E16"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CEC Forecasting Climate Zones </w:t>
            </w:r>
          </w:p>
        </w:tc>
        <w:tc>
          <w:tcPr>
            <w:tcW w:w="1839"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7FE3EB02"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Electric Planning Area Number </w:t>
            </w:r>
          </w:p>
        </w:tc>
        <w:tc>
          <w:tcPr>
            <w:tcW w:w="2029"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65BBB4B2"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Electric Planning Area Utilities </w:t>
            </w:r>
          </w:p>
        </w:tc>
        <w:tc>
          <w:tcPr>
            <w:tcW w:w="1832"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6D0FEC00"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Natural Gas Planning Area Utilities </w:t>
            </w:r>
          </w:p>
        </w:tc>
      </w:tr>
      <w:tr w:rsidR="00245FFD" w:rsidRPr="00957936" w14:paraId="0CD2508B" w14:textId="77777777" w:rsidTr="00110120">
        <w:trPr>
          <w:trHeight w:val="294"/>
        </w:trPr>
        <w:tc>
          <w:tcPr>
            <w:tcW w:w="1982" w:type="dxa"/>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0342F1F"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w:t>
            </w:r>
          </w:p>
        </w:tc>
        <w:tc>
          <w:tcPr>
            <w:tcW w:w="1839" w:type="dxa"/>
            <w:vMerge w:val="restart"/>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D009BEA"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1 - PG&amp;E</w:t>
            </w:r>
          </w:p>
        </w:tc>
        <w:tc>
          <w:tcPr>
            <w:tcW w:w="2029" w:type="dxa"/>
            <w:vMerge w:val="restart"/>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tcMar>
              <w:top w:w="12" w:type="dxa"/>
              <w:left w:w="12" w:type="dxa"/>
              <w:bottom w:w="0" w:type="dxa"/>
              <w:right w:w="12" w:type="dxa"/>
            </w:tcMar>
            <w:vAlign w:val="center"/>
            <w:hideMark/>
          </w:tcPr>
          <w:p w14:paraId="1B6A502E"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PG&amp;E</w:t>
            </w:r>
          </w:p>
        </w:tc>
        <w:tc>
          <w:tcPr>
            <w:tcW w:w="1832" w:type="dxa"/>
            <w:vMerge w:val="restart"/>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tcMar>
              <w:top w:w="12" w:type="dxa"/>
              <w:left w:w="12" w:type="dxa"/>
              <w:bottom w:w="0" w:type="dxa"/>
              <w:right w:w="12" w:type="dxa"/>
            </w:tcMar>
            <w:vAlign w:val="center"/>
            <w:hideMark/>
          </w:tcPr>
          <w:p w14:paraId="5892A50A"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PG&amp;E</w:t>
            </w:r>
          </w:p>
        </w:tc>
      </w:tr>
      <w:tr w:rsidR="00245FFD" w:rsidRPr="00957936" w14:paraId="46E4A22C"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B68AB2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2</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797ADC05"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79579889" w14:textId="77777777" w:rsidR="00245FFD" w:rsidRPr="00957936" w:rsidRDefault="00245FFD" w:rsidP="002118E3">
            <w:pPr>
              <w:jc w:val="center"/>
              <w:rPr>
                <w:rFonts w:ascii="Arial Narrow" w:hAnsi="Arial Narrow"/>
                <w:sz w:val="18"/>
                <w:szCs w:val="18"/>
              </w:rPr>
            </w:pPr>
          </w:p>
        </w:tc>
        <w:tc>
          <w:tcPr>
            <w:tcW w:w="1832" w:type="dxa"/>
            <w:vMerge/>
            <w:tcBorders>
              <w:top w:val="single" w:sz="2" w:space="0" w:color="DADADA" w:themeColor="background2" w:themeShade="E6"/>
              <w:left w:val="single" w:sz="2" w:space="0" w:color="DADADA" w:themeColor="background2" w:themeShade="E6"/>
            </w:tcBorders>
            <w:shd w:val="clear" w:color="auto" w:fill="C1EEFF" w:themeFill="accent3" w:themeFillTint="33"/>
            <w:vAlign w:val="center"/>
            <w:hideMark/>
          </w:tcPr>
          <w:p w14:paraId="3083AF30" w14:textId="77777777" w:rsidR="00245FFD" w:rsidRPr="00957936" w:rsidRDefault="00245FFD" w:rsidP="002118E3">
            <w:pPr>
              <w:jc w:val="center"/>
              <w:rPr>
                <w:rFonts w:ascii="Arial Narrow" w:hAnsi="Arial Narrow"/>
                <w:sz w:val="18"/>
                <w:szCs w:val="18"/>
              </w:rPr>
            </w:pPr>
          </w:p>
        </w:tc>
      </w:tr>
      <w:tr w:rsidR="00245FFD" w:rsidRPr="00957936" w14:paraId="334637DF"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C2E54BD"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3</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2875BFF0"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48511588"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69B3D6D9" w14:textId="77777777" w:rsidR="00245FFD" w:rsidRPr="00957936" w:rsidRDefault="00245FFD" w:rsidP="002118E3">
            <w:pPr>
              <w:jc w:val="center"/>
              <w:rPr>
                <w:rFonts w:ascii="Arial Narrow" w:hAnsi="Arial Narrow"/>
                <w:sz w:val="18"/>
                <w:szCs w:val="18"/>
              </w:rPr>
            </w:pPr>
          </w:p>
        </w:tc>
      </w:tr>
      <w:tr w:rsidR="00245FFD" w:rsidRPr="00957936" w14:paraId="243E8F3A"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7DA353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4</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7938323A"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7BEBE48F"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23AC4E24" w14:textId="77777777" w:rsidR="00245FFD" w:rsidRPr="00957936" w:rsidRDefault="00245FFD" w:rsidP="002118E3">
            <w:pPr>
              <w:jc w:val="center"/>
              <w:rPr>
                <w:rFonts w:ascii="Arial Narrow" w:hAnsi="Arial Narrow"/>
                <w:sz w:val="18"/>
                <w:szCs w:val="18"/>
              </w:rPr>
            </w:pPr>
          </w:p>
        </w:tc>
      </w:tr>
      <w:tr w:rsidR="00245FFD" w:rsidRPr="00957936" w14:paraId="450689AC"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0F0956E0"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5</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745688B1"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36C6ECC8"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08767F83" w14:textId="77777777" w:rsidR="00245FFD" w:rsidRPr="00957936" w:rsidRDefault="00245FFD" w:rsidP="002118E3">
            <w:pPr>
              <w:jc w:val="center"/>
              <w:rPr>
                <w:rFonts w:ascii="Arial Narrow" w:hAnsi="Arial Narrow"/>
                <w:sz w:val="18"/>
                <w:szCs w:val="18"/>
              </w:rPr>
            </w:pPr>
          </w:p>
        </w:tc>
      </w:tr>
      <w:tr w:rsidR="00245FFD" w:rsidRPr="00957936" w14:paraId="66F5E3A0"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6DC7775"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6</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72DF9386"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062B7B96"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4D30DF5D" w14:textId="77777777" w:rsidR="00245FFD" w:rsidRPr="00957936" w:rsidRDefault="00245FFD" w:rsidP="002118E3">
            <w:pPr>
              <w:jc w:val="center"/>
              <w:rPr>
                <w:rFonts w:ascii="Arial Narrow" w:hAnsi="Arial Narrow"/>
                <w:sz w:val="18"/>
                <w:szCs w:val="18"/>
              </w:rPr>
            </w:pPr>
          </w:p>
        </w:tc>
      </w:tr>
      <w:tr w:rsidR="00245FFD" w:rsidRPr="00957936" w14:paraId="3C0499C8"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022A601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7</w:t>
            </w:r>
          </w:p>
        </w:tc>
        <w:tc>
          <w:tcPr>
            <w:tcW w:w="183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EB552EF"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2- SCE</w:t>
            </w:r>
          </w:p>
        </w:tc>
        <w:tc>
          <w:tcPr>
            <w:tcW w:w="202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tcMar>
              <w:top w:w="12" w:type="dxa"/>
              <w:left w:w="12" w:type="dxa"/>
              <w:bottom w:w="0" w:type="dxa"/>
              <w:right w:w="12" w:type="dxa"/>
            </w:tcMar>
            <w:vAlign w:val="center"/>
            <w:hideMark/>
          </w:tcPr>
          <w:p w14:paraId="7D3B68F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SCE</w:t>
            </w:r>
          </w:p>
        </w:tc>
        <w:tc>
          <w:tcPr>
            <w:tcW w:w="1832" w:type="dxa"/>
            <w:vMerge w:val="restart"/>
            <w:tcBorders>
              <w:left w:val="single" w:sz="2" w:space="0" w:color="DADADA" w:themeColor="background2" w:themeShade="E6"/>
            </w:tcBorders>
            <w:shd w:val="clear" w:color="auto" w:fill="FFBBD4" w:themeFill="accent6" w:themeFillTint="33"/>
            <w:tcMar>
              <w:top w:w="12" w:type="dxa"/>
              <w:left w:w="12" w:type="dxa"/>
              <w:bottom w:w="0" w:type="dxa"/>
              <w:right w:w="12" w:type="dxa"/>
            </w:tcMar>
            <w:vAlign w:val="center"/>
            <w:hideMark/>
          </w:tcPr>
          <w:p w14:paraId="6B371A9B"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SCG</w:t>
            </w:r>
          </w:p>
        </w:tc>
      </w:tr>
      <w:tr w:rsidR="00245FFD" w:rsidRPr="00957936" w14:paraId="33303EEA"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78C4FA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8</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7CD92DEE"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32C4095C"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25A7D8AE" w14:textId="77777777" w:rsidR="00245FFD" w:rsidRPr="00957936" w:rsidRDefault="00245FFD" w:rsidP="002118E3">
            <w:pPr>
              <w:jc w:val="center"/>
              <w:rPr>
                <w:rFonts w:ascii="Arial Narrow" w:hAnsi="Arial Narrow"/>
                <w:sz w:val="18"/>
                <w:szCs w:val="18"/>
              </w:rPr>
            </w:pPr>
          </w:p>
        </w:tc>
      </w:tr>
      <w:tr w:rsidR="00245FFD" w:rsidRPr="00957936" w14:paraId="53E206CF"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CEA5738"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9</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2520F2BC"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7C0CE5A5"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15D2D27F" w14:textId="77777777" w:rsidR="00245FFD" w:rsidRPr="00957936" w:rsidRDefault="00245FFD" w:rsidP="002118E3">
            <w:pPr>
              <w:jc w:val="center"/>
              <w:rPr>
                <w:rFonts w:ascii="Arial Narrow" w:hAnsi="Arial Narrow"/>
                <w:sz w:val="18"/>
                <w:szCs w:val="18"/>
              </w:rPr>
            </w:pPr>
          </w:p>
        </w:tc>
      </w:tr>
      <w:tr w:rsidR="00245FFD" w:rsidRPr="00957936" w14:paraId="35D4A1DB"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12C27A4"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10</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35F97C65"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3F2602E9"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304A84C7" w14:textId="77777777" w:rsidR="00245FFD" w:rsidRPr="00957936" w:rsidRDefault="00245FFD" w:rsidP="002118E3">
            <w:pPr>
              <w:jc w:val="center"/>
              <w:rPr>
                <w:rFonts w:ascii="Arial Narrow" w:hAnsi="Arial Narrow"/>
                <w:sz w:val="18"/>
                <w:szCs w:val="18"/>
              </w:rPr>
            </w:pPr>
          </w:p>
        </w:tc>
      </w:tr>
      <w:tr w:rsidR="00245FFD" w:rsidRPr="00957936" w14:paraId="53192F54"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952270D"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11</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1FB0E50F"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605020ED"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7D0C11F0" w14:textId="77777777" w:rsidR="00245FFD" w:rsidRPr="00957936" w:rsidRDefault="00245FFD" w:rsidP="002118E3">
            <w:pPr>
              <w:jc w:val="center"/>
              <w:rPr>
                <w:rFonts w:ascii="Arial Narrow" w:hAnsi="Arial Narrow"/>
                <w:sz w:val="18"/>
                <w:szCs w:val="18"/>
              </w:rPr>
            </w:pPr>
          </w:p>
        </w:tc>
      </w:tr>
      <w:tr w:rsidR="00245FFD" w:rsidRPr="00957936" w14:paraId="3347154B"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08398F32"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12</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337374D"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3 - SDG&amp;E</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FFF0D0" w:themeFill="accent4" w:themeFillTint="33"/>
            <w:tcMar>
              <w:top w:w="12" w:type="dxa"/>
              <w:left w:w="12" w:type="dxa"/>
              <w:bottom w:w="0" w:type="dxa"/>
              <w:right w:w="12" w:type="dxa"/>
            </w:tcMar>
            <w:vAlign w:val="center"/>
            <w:hideMark/>
          </w:tcPr>
          <w:p w14:paraId="1851390D"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SDGE</w:t>
            </w:r>
          </w:p>
        </w:tc>
        <w:tc>
          <w:tcPr>
            <w:tcW w:w="1832" w:type="dxa"/>
            <w:tcBorders>
              <w:left w:val="single" w:sz="2" w:space="0" w:color="DADADA" w:themeColor="background2" w:themeShade="E6"/>
            </w:tcBorders>
            <w:shd w:val="clear" w:color="auto" w:fill="FFF0D0" w:themeFill="accent4" w:themeFillTint="33"/>
            <w:tcMar>
              <w:top w:w="12" w:type="dxa"/>
              <w:left w:w="12" w:type="dxa"/>
              <w:bottom w:w="0" w:type="dxa"/>
              <w:right w:w="12" w:type="dxa"/>
            </w:tcMar>
            <w:vAlign w:val="center"/>
            <w:hideMark/>
          </w:tcPr>
          <w:p w14:paraId="7F06646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SDGE</w:t>
            </w:r>
          </w:p>
        </w:tc>
      </w:tr>
      <w:tr w:rsidR="00245FFD" w:rsidRPr="00957936" w14:paraId="6CA66A76"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908AF8B"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13</w:t>
            </w:r>
          </w:p>
        </w:tc>
        <w:tc>
          <w:tcPr>
            <w:tcW w:w="183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6D434468"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4 - NCNC</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8A42C9D"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SMUD</w:t>
            </w:r>
          </w:p>
        </w:tc>
        <w:tc>
          <w:tcPr>
            <w:tcW w:w="1832" w:type="dxa"/>
            <w:vMerge w:val="restart"/>
            <w:tcBorders>
              <w:left w:val="single" w:sz="2" w:space="0" w:color="DADADA" w:themeColor="background2" w:themeShade="E6"/>
            </w:tcBorders>
            <w:shd w:val="clear" w:color="auto" w:fill="C1EEFF" w:themeFill="accent3" w:themeFillTint="33"/>
            <w:tcMar>
              <w:top w:w="12" w:type="dxa"/>
              <w:left w:w="12" w:type="dxa"/>
              <w:bottom w:w="0" w:type="dxa"/>
              <w:right w:w="12" w:type="dxa"/>
            </w:tcMar>
            <w:vAlign w:val="center"/>
            <w:hideMark/>
          </w:tcPr>
          <w:p w14:paraId="5D504CFD"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PG&amp;E</w:t>
            </w:r>
          </w:p>
        </w:tc>
      </w:tr>
      <w:tr w:rsidR="00245FFD" w:rsidRPr="00957936" w14:paraId="6A9F4993"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74F27EE"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14</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42BBA110" w14:textId="77777777" w:rsidR="00245FFD" w:rsidRPr="00957936" w:rsidRDefault="00245FFD" w:rsidP="002118E3">
            <w:pPr>
              <w:jc w:val="center"/>
              <w:rPr>
                <w:rFonts w:ascii="Arial Narrow" w:hAnsi="Arial Narrow"/>
                <w:sz w:val="18"/>
                <w:szCs w:val="18"/>
              </w:rPr>
            </w:pP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31EC738"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TID</w:t>
            </w:r>
          </w:p>
        </w:tc>
        <w:tc>
          <w:tcPr>
            <w:tcW w:w="1832" w:type="dxa"/>
            <w:vMerge/>
            <w:tcBorders>
              <w:left w:val="single" w:sz="2" w:space="0" w:color="DADADA" w:themeColor="background2" w:themeShade="E6"/>
            </w:tcBorders>
            <w:shd w:val="clear" w:color="auto" w:fill="C1EEFF" w:themeFill="accent3" w:themeFillTint="33"/>
            <w:vAlign w:val="center"/>
            <w:hideMark/>
          </w:tcPr>
          <w:p w14:paraId="3ECD721B" w14:textId="77777777" w:rsidR="00245FFD" w:rsidRPr="00957936" w:rsidRDefault="00245FFD" w:rsidP="002118E3">
            <w:pPr>
              <w:jc w:val="center"/>
              <w:rPr>
                <w:rFonts w:ascii="Arial Narrow" w:hAnsi="Arial Narrow"/>
                <w:sz w:val="18"/>
                <w:szCs w:val="18"/>
              </w:rPr>
            </w:pPr>
          </w:p>
        </w:tc>
      </w:tr>
      <w:tr w:rsidR="00245FFD" w:rsidRPr="00957936" w14:paraId="71D24E21" w14:textId="77777777" w:rsidTr="00110120">
        <w:trPr>
          <w:trHeight w:val="822"/>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BD68F73"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15</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714A2310" w14:textId="77777777" w:rsidR="00245FFD" w:rsidRPr="00957936" w:rsidRDefault="00245FFD" w:rsidP="002118E3">
            <w:pPr>
              <w:jc w:val="center"/>
              <w:rPr>
                <w:rFonts w:ascii="Arial Narrow" w:hAnsi="Arial Narrow"/>
                <w:sz w:val="18"/>
                <w:szCs w:val="18"/>
              </w:rPr>
            </w:pP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430196B"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Other (Modesto, Redding, Roseville, Trinity, and Shasta Lake)</w:t>
            </w:r>
          </w:p>
        </w:tc>
        <w:tc>
          <w:tcPr>
            <w:tcW w:w="1832" w:type="dxa"/>
            <w:vMerge/>
            <w:tcBorders>
              <w:left w:val="single" w:sz="2" w:space="0" w:color="DADADA" w:themeColor="background2" w:themeShade="E6"/>
            </w:tcBorders>
            <w:shd w:val="clear" w:color="auto" w:fill="C1EEFF" w:themeFill="accent3" w:themeFillTint="33"/>
            <w:vAlign w:val="center"/>
            <w:hideMark/>
          </w:tcPr>
          <w:p w14:paraId="044BFA69" w14:textId="77777777" w:rsidR="00245FFD" w:rsidRPr="00957936" w:rsidRDefault="00245FFD" w:rsidP="002118E3">
            <w:pPr>
              <w:jc w:val="center"/>
              <w:rPr>
                <w:rFonts w:ascii="Arial Narrow" w:hAnsi="Arial Narrow"/>
                <w:sz w:val="18"/>
                <w:szCs w:val="18"/>
              </w:rPr>
            </w:pPr>
          </w:p>
        </w:tc>
      </w:tr>
      <w:tr w:rsidR="00245FFD" w:rsidRPr="00957936" w14:paraId="5C476EC8"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C0C4CD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16</w:t>
            </w:r>
          </w:p>
        </w:tc>
        <w:tc>
          <w:tcPr>
            <w:tcW w:w="183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6EEC8987"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5 - LADWP</w:t>
            </w:r>
          </w:p>
        </w:tc>
        <w:tc>
          <w:tcPr>
            <w:tcW w:w="202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0364ED71"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LADWP</w:t>
            </w:r>
          </w:p>
        </w:tc>
        <w:tc>
          <w:tcPr>
            <w:tcW w:w="1832" w:type="dxa"/>
            <w:vMerge w:val="restart"/>
            <w:tcBorders>
              <w:left w:val="single" w:sz="2" w:space="0" w:color="DADADA" w:themeColor="background2" w:themeShade="E6"/>
            </w:tcBorders>
            <w:shd w:val="clear" w:color="auto" w:fill="FFBBD4" w:themeFill="accent6" w:themeFillTint="33"/>
            <w:tcMar>
              <w:top w:w="12" w:type="dxa"/>
              <w:left w:w="12" w:type="dxa"/>
              <w:bottom w:w="0" w:type="dxa"/>
              <w:right w:w="12" w:type="dxa"/>
            </w:tcMar>
            <w:vAlign w:val="center"/>
            <w:hideMark/>
          </w:tcPr>
          <w:p w14:paraId="51F5C305"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SCG</w:t>
            </w:r>
          </w:p>
        </w:tc>
      </w:tr>
      <w:tr w:rsidR="00245FFD" w:rsidRPr="00957936" w14:paraId="6A6E17DF"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B71D1F0"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17</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188FB184"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5B99D9D0"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3845D7A1" w14:textId="77777777" w:rsidR="00245FFD" w:rsidRPr="00957936" w:rsidRDefault="00245FFD" w:rsidP="002118E3">
            <w:pPr>
              <w:jc w:val="center"/>
              <w:rPr>
                <w:rFonts w:ascii="Arial Narrow" w:hAnsi="Arial Narrow"/>
                <w:sz w:val="18"/>
                <w:szCs w:val="18"/>
              </w:rPr>
            </w:pPr>
          </w:p>
        </w:tc>
      </w:tr>
      <w:tr w:rsidR="00245FFD" w:rsidRPr="00957936" w14:paraId="2D9C4697"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C96C4CB"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18</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F08601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6 - Burbank/Glendale</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F5BED22"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Burbank/Glendale</w:t>
            </w:r>
          </w:p>
        </w:tc>
        <w:tc>
          <w:tcPr>
            <w:tcW w:w="1832" w:type="dxa"/>
            <w:vMerge/>
            <w:tcBorders>
              <w:left w:val="single" w:sz="2" w:space="0" w:color="DADADA" w:themeColor="background2" w:themeShade="E6"/>
            </w:tcBorders>
            <w:shd w:val="clear" w:color="auto" w:fill="FFBBD4" w:themeFill="accent6" w:themeFillTint="33"/>
            <w:vAlign w:val="center"/>
            <w:hideMark/>
          </w:tcPr>
          <w:p w14:paraId="64A51ED2" w14:textId="77777777" w:rsidR="00245FFD" w:rsidRPr="00957936" w:rsidRDefault="00245FFD" w:rsidP="002118E3">
            <w:pPr>
              <w:jc w:val="center"/>
              <w:rPr>
                <w:rFonts w:ascii="Arial Narrow" w:hAnsi="Arial Narrow"/>
                <w:sz w:val="18"/>
                <w:szCs w:val="18"/>
              </w:rPr>
            </w:pPr>
          </w:p>
        </w:tc>
      </w:tr>
      <w:tr w:rsidR="00245FFD" w:rsidRPr="00957936" w14:paraId="6CBA987F"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F4CE2B3"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19</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3A1D0AF"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7 - IID</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1CF9362"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 xml:space="preserve">IID </w:t>
            </w:r>
          </w:p>
        </w:tc>
        <w:tc>
          <w:tcPr>
            <w:tcW w:w="1832" w:type="dxa"/>
            <w:vMerge/>
            <w:tcBorders>
              <w:left w:val="single" w:sz="2" w:space="0" w:color="DADADA" w:themeColor="background2" w:themeShade="E6"/>
            </w:tcBorders>
            <w:shd w:val="clear" w:color="auto" w:fill="FFBBD4" w:themeFill="accent6" w:themeFillTint="33"/>
            <w:vAlign w:val="center"/>
            <w:hideMark/>
          </w:tcPr>
          <w:p w14:paraId="6355C6DB" w14:textId="77777777" w:rsidR="00245FFD" w:rsidRPr="00957936" w:rsidRDefault="00245FFD" w:rsidP="002118E3">
            <w:pPr>
              <w:jc w:val="center"/>
              <w:rPr>
                <w:rFonts w:ascii="Arial Narrow" w:hAnsi="Arial Narrow"/>
                <w:sz w:val="18"/>
                <w:szCs w:val="18"/>
              </w:rPr>
            </w:pPr>
          </w:p>
        </w:tc>
      </w:tr>
      <w:tr w:rsidR="00245FFD" w:rsidRPr="00957936" w14:paraId="59E45DF6"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D793147"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20</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D64556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8 - Valley Electric</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D2DE7E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Valley Electric</w:t>
            </w:r>
          </w:p>
        </w:tc>
        <w:tc>
          <w:tcPr>
            <w:tcW w:w="1832" w:type="dxa"/>
            <w:vMerge/>
            <w:tcBorders>
              <w:left w:val="single" w:sz="2" w:space="0" w:color="DADADA" w:themeColor="background2" w:themeShade="E6"/>
            </w:tcBorders>
            <w:shd w:val="clear" w:color="auto" w:fill="FFBBD4" w:themeFill="accent6" w:themeFillTint="33"/>
            <w:vAlign w:val="center"/>
            <w:hideMark/>
          </w:tcPr>
          <w:p w14:paraId="75265052" w14:textId="77777777" w:rsidR="00245FFD" w:rsidRPr="00957936" w:rsidRDefault="00245FFD" w:rsidP="002118E3">
            <w:pPr>
              <w:jc w:val="center"/>
              <w:rPr>
                <w:rFonts w:ascii="Arial Narrow" w:hAnsi="Arial Narrow"/>
                <w:sz w:val="18"/>
                <w:szCs w:val="18"/>
              </w:rPr>
            </w:pPr>
          </w:p>
        </w:tc>
      </w:tr>
    </w:tbl>
    <w:p w14:paraId="28F59018" w14:textId="77777777" w:rsidR="00245FFD" w:rsidRDefault="00245FFD" w:rsidP="00D3474E">
      <w:pPr>
        <w:pStyle w:val="Source"/>
        <w:jc w:val="center"/>
      </w:pPr>
      <w:r>
        <w:t>Source: California Energy Commission, 2017.</w:t>
      </w:r>
    </w:p>
    <w:p w14:paraId="6FA5A782" w14:textId="77777777" w:rsidR="00CC010C" w:rsidRDefault="00CC010C" w:rsidP="00CC010C">
      <w:pPr>
        <w:pStyle w:val="Heading3"/>
      </w:pPr>
      <w:bookmarkStart w:id="379" w:name="_Toc479768580"/>
      <w:bookmarkStart w:id="380" w:name="_Toc482357307"/>
      <w:bookmarkStart w:id="381" w:name="_Toc482634283"/>
      <w:bookmarkStart w:id="382" w:name="_Toc482626415"/>
      <w:bookmarkStart w:id="383" w:name="_Toc484092486"/>
      <w:bookmarkStart w:id="384" w:name="_Toc484172690"/>
      <w:bookmarkStart w:id="385" w:name="_Toc484183026"/>
      <w:bookmarkStart w:id="386" w:name="_Toc485126541"/>
      <w:r>
        <w:t xml:space="preserve">Historic Rebate Program </w:t>
      </w:r>
      <w:bookmarkEnd w:id="379"/>
      <w:r w:rsidR="00D807CD">
        <w:t>Activity</w:t>
      </w:r>
      <w:bookmarkEnd w:id="380"/>
      <w:bookmarkEnd w:id="381"/>
      <w:bookmarkEnd w:id="382"/>
      <w:bookmarkEnd w:id="383"/>
      <w:bookmarkEnd w:id="384"/>
      <w:bookmarkEnd w:id="385"/>
      <w:bookmarkEnd w:id="386"/>
    </w:p>
    <w:bookmarkEnd w:id="374"/>
    <w:p w14:paraId="4118084F" w14:textId="77777777" w:rsidR="00FD60A9" w:rsidRDefault="00D807CD" w:rsidP="00CC010C">
      <w:r>
        <w:t xml:space="preserve">The historic rebate program achievements for each of the IOUs are important </w:t>
      </w:r>
      <w:r w:rsidR="00CC010C">
        <w:t>inputs for calibrat</w:t>
      </w:r>
      <w:r>
        <w:t>ing our forecast of rebate programs.</w:t>
      </w:r>
    </w:p>
    <w:p w14:paraId="52038FB2" w14:textId="77777777" w:rsidR="00FD60A9" w:rsidRDefault="00FD60A9" w:rsidP="00CC010C"/>
    <w:p w14:paraId="6DAC8710" w14:textId="77777777" w:rsidR="00FD60A9" w:rsidRDefault="008B64DE" w:rsidP="00CC010C">
      <w:r>
        <w:lastRenderedPageBreak/>
        <w:t xml:space="preserve">The CPUC maintains </w:t>
      </w:r>
      <w:r w:rsidR="00FD60A9">
        <w:t>the Energy Efficiency Statistics</w:t>
      </w:r>
      <w:r w:rsidR="0088798E">
        <w:t xml:space="preserve"> (EEStats)</w:t>
      </w:r>
      <w:r w:rsidR="00FD60A9">
        <w:t xml:space="preserve"> portal, an online resource that collects program achievement data, for public use</w:t>
      </w:r>
      <w:r w:rsidR="007722CB">
        <w:t>.</w:t>
      </w:r>
      <w:r w:rsidR="00FD60A9">
        <w:t xml:space="preserve">  A spreadsheet of </w:t>
      </w:r>
      <w:r w:rsidR="007722CB">
        <w:t>2013-2015</w:t>
      </w:r>
      <w:r w:rsidR="00FD60A9">
        <w:t xml:space="preserve"> program achievement data is available for download on this website.  </w:t>
      </w:r>
      <w:r w:rsidR="0088798E">
        <w:t xml:space="preserve">This data set includes ex ante and evaluated program savings, expenditures, cost-effectiveness, and emissions for energy efficiency programs statewide.  For the 2017 </w:t>
      </w:r>
      <w:r>
        <w:t xml:space="preserve">PG study, </w:t>
      </w:r>
      <w:r w:rsidR="0088798E">
        <w:t xml:space="preserve">Navigant used this data set to compute portfolio net and gross savings for each sector and utility.  </w:t>
      </w:r>
    </w:p>
    <w:p w14:paraId="0EC66421" w14:textId="77777777" w:rsidR="00C57A60" w:rsidRDefault="00C57A60" w:rsidP="00CC010C"/>
    <w:p w14:paraId="6BFC0E71" w14:textId="7394308D" w:rsidR="00CC010C" w:rsidRPr="008337C9" w:rsidRDefault="009A7BF0" w:rsidP="00CC010C">
      <w:r w:rsidRPr="008337C9">
        <w:fldChar w:fldCharType="begin"/>
      </w:r>
      <w:r w:rsidRPr="008337C9">
        <w:instrText xml:space="preserve"> REF _Ref479066448 \h </w:instrText>
      </w:r>
      <w:r w:rsidR="008337C9">
        <w:instrText xml:space="preserve"> \* MERGEFORMAT </w:instrText>
      </w:r>
      <w:r w:rsidRPr="008337C9">
        <w:fldChar w:fldCharType="separate"/>
      </w:r>
      <w:r w:rsidR="00C407F4" w:rsidRPr="008337C9">
        <w:t xml:space="preserve">Table </w:t>
      </w:r>
      <w:r w:rsidR="00C407F4">
        <w:rPr>
          <w:noProof/>
        </w:rPr>
        <w:t>3</w:t>
      </w:r>
      <w:r w:rsidR="00C407F4">
        <w:rPr>
          <w:noProof/>
        </w:rPr>
        <w:noBreakHyphen/>
        <w:t>5</w:t>
      </w:r>
      <w:r w:rsidRPr="008337C9">
        <w:fldChar w:fldCharType="end"/>
      </w:r>
      <w:r w:rsidR="00CC010C" w:rsidRPr="008337C9">
        <w:t xml:space="preserve"> provides the 201</w:t>
      </w:r>
      <w:r w:rsidR="0088798E" w:rsidRPr="008337C9">
        <w:t>3</w:t>
      </w:r>
      <w:r w:rsidR="00CC010C" w:rsidRPr="008337C9">
        <w:t>-201</w:t>
      </w:r>
      <w:r w:rsidR="0088798E" w:rsidRPr="008337C9">
        <w:t>5</w:t>
      </w:r>
      <w:r w:rsidR="00CC010C" w:rsidRPr="008337C9">
        <w:t xml:space="preserve"> gross ex-post savings.</w:t>
      </w:r>
      <w:r w:rsidR="00490F81" w:rsidRPr="008337C9">
        <w:t xml:space="preserve">  Some program savings were not modeled as a rebate program and those savings are excluded from this analysis. For example, residential home energy reports and retro-commissioning fall under the definition of the BROs subtask and were removed to prevent double-counting savings.  Savings labeled “Other” were also removed.</w:t>
      </w:r>
    </w:p>
    <w:p w14:paraId="3FC2F7B1" w14:textId="77777777" w:rsidR="00A85DBA" w:rsidRPr="008337C9" w:rsidRDefault="00A85DBA" w:rsidP="00CC010C"/>
    <w:p w14:paraId="35A517D8" w14:textId="77777777" w:rsidR="00A85DBA" w:rsidRPr="008337C9" w:rsidRDefault="00A85DBA" w:rsidP="00A85DBA">
      <w:pPr>
        <w:pStyle w:val="Caption"/>
      </w:pPr>
      <w:bookmarkStart w:id="387" w:name="_Ref479066448"/>
      <w:bookmarkStart w:id="388" w:name="_Toc482634213"/>
      <w:bookmarkStart w:id="389" w:name="_Toc484436952"/>
      <w:bookmarkStart w:id="390" w:name="_Toc485125663"/>
      <w:r w:rsidRPr="008337C9">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5</w:t>
      </w:r>
      <w:r w:rsidR="00272F76">
        <w:rPr>
          <w:noProof/>
        </w:rPr>
        <w:fldChar w:fldCharType="end"/>
      </w:r>
      <w:bookmarkEnd w:id="387"/>
      <w:r w:rsidRPr="008337C9">
        <w:t>. 201</w:t>
      </w:r>
      <w:r w:rsidR="00326F13" w:rsidRPr="008337C9">
        <w:t>3</w:t>
      </w:r>
      <w:r w:rsidRPr="008337C9">
        <w:t>-201</w:t>
      </w:r>
      <w:r w:rsidR="00326F13" w:rsidRPr="008337C9">
        <w:t>5</w:t>
      </w:r>
      <w:r w:rsidRPr="008337C9">
        <w:t xml:space="preserve"> IOU</w:t>
      </w:r>
      <w:r w:rsidR="009A7BF0" w:rsidRPr="008337C9">
        <w:t>-reported</w:t>
      </w:r>
      <w:r w:rsidRPr="008337C9">
        <w:t xml:space="preserve"> Portfolio Gross Program Savings</w:t>
      </w:r>
      <w:bookmarkEnd w:id="388"/>
      <w:bookmarkEnd w:id="389"/>
      <w:bookmarkEnd w:id="390"/>
    </w:p>
    <w:tbl>
      <w:tblPr>
        <w:tblStyle w:val="EnergyTable1"/>
        <w:tblW w:w="9360" w:type="dxa"/>
        <w:tblLook w:val="0620" w:firstRow="1" w:lastRow="0" w:firstColumn="0" w:lastColumn="0" w:noHBand="1" w:noVBand="1"/>
      </w:tblPr>
      <w:tblGrid>
        <w:gridCol w:w="1226"/>
        <w:gridCol w:w="1275"/>
        <w:gridCol w:w="1275"/>
        <w:gridCol w:w="1403"/>
        <w:gridCol w:w="1433"/>
        <w:gridCol w:w="1369"/>
        <w:gridCol w:w="1379"/>
      </w:tblGrid>
      <w:tr w:rsidR="00086A35" w:rsidRPr="00957936" w14:paraId="6C090572" w14:textId="77777777" w:rsidTr="00110120">
        <w:trPr>
          <w:cnfStyle w:val="100000000000" w:firstRow="1" w:lastRow="0" w:firstColumn="0" w:lastColumn="0" w:oddVBand="0" w:evenVBand="0" w:oddHBand="0" w:evenHBand="0" w:firstRowFirstColumn="0" w:firstRowLastColumn="0" w:lastRowFirstColumn="0" w:lastRowLastColumn="0"/>
          <w:trHeight w:val="150"/>
        </w:trPr>
        <w:tc>
          <w:tcPr>
            <w:tcW w:w="1226" w:type="dxa"/>
            <w:vMerge w:val="restart"/>
            <w:hideMark/>
          </w:tcPr>
          <w:p w14:paraId="19908B71"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IOU</w:t>
            </w:r>
          </w:p>
        </w:tc>
        <w:tc>
          <w:tcPr>
            <w:tcW w:w="2550" w:type="dxa"/>
            <w:gridSpan w:val="2"/>
          </w:tcPr>
          <w:p w14:paraId="59423CF3"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Spending ($MM)</w:t>
            </w:r>
          </w:p>
        </w:tc>
        <w:tc>
          <w:tcPr>
            <w:tcW w:w="2836" w:type="dxa"/>
            <w:gridSpan w:val="2"/>
            <w:hideMark/>
          </w:tcPr>
          <w:p w14:paraId="5D291A61"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Energy Savings (GWh)</w:t>
            </w:r>
          </w:p>
        </w:tc>
        <w:tc>
          <w:tcPr>
            <w:tcW w:w="2748" w:type="dxa"/>
            <w:gridSpan w:val="2"/>
            <w:hideMark/>
          </w:tcPr>
          <w:p w14:paraId="0CE5EEDB"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Gas Savings (MM Therms)</w:t>
            </w:r>
          </w:p>
        </w:tc>
      </w:tr>
      <w:tr w:rsidR="004A09CC" w:rsidRPr="00957936" w14:paraId="0626C324" w14:textId="77777777" w:rsidTr="00600559">
        <w:trPr>
          <w:trHeight w:val="149"/>
        </w:trPr>
        <w:tc>
          <w:tcPr>
            <w:tcW w:w="1226" w:type="dxa"/>
            <w:vMerge/>
            <w:shd w:val="clear" w:color="auto" w:fill="555759"/>
          </w:tcPr>
          <w:p w14:paraId="3122E7F7" w14:textId="77777777" w:rsidR="00086A35" w:rsidRPr="00957936" w:rsidRDefault="00086A35" w:rsidP="00412E8E">
            <w:pPr>
              <w:rPr>
                <w:rFonts w:ascii="Arial Narrow" w:hAnsi="Arial Narrow"/>
                <w:sz w:val="18"/>
                <w:szCs w:val="18"/>
              </w:rPr>
            </w:pPr>
          </w:p>
        </w:tc>
        <w:tc>
          <w:tcPr>
            <w:tcW w:w="1275" w:type="dxa"/>
            <w:tcBorders>
              <w:tl2br w:val="nil"/>
              <w:tr2bl w:val="nil"/>
            </w:tcBorders>
            <w:shd w:val="clear" w:color="auto" w:fill="555759"/>
          </w:tcPr>
          <w:p w14:paraId="2329CAD2"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275" w:type="dxa"/>
            <w:tcBorders>
              <w:tl2br w:val="nil"/>
              <w:tr2bl w:val="nil"/>
            </w:tcBorders>
            <w:shd w:val="clear" w:color="auto" w:fill="555759"/>
          </w:tcPr>
          <w:p w14:paraId="155696D6"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403" w:type="dxa"/>
            <w:tcBorders>
              <w:top w:val="nil"/>
              <w:bottom w:val="single" w:sz="12" w:space="0" w:color="95D600"/>
              <w:right w:val="nil"/>
              <w:tl2br w:val="nil"/>
              <w:tr2bl w:val="nil"/>
            </w:tcBorders>
            <w:shd w:val="clear" w:color="auto" w:fill="555759"/>
          </w:tcPr>
          <w:p w14:paraId="35E53A3A"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433" w:type="dxa"/>
            <w:tcBorders>
              <w:top w:val="nil"/>
              <w:bottom w:val="single" w:sz="12" w:space="0" w:color="95D600"/>
              <w:right w:val="nil"/>
              <w:tl2br w:val="nil"/>
              <w:tr2bl w:val="nil"/>
            </w:tcBorders>
            <w:shd w:val="clear" w:color="auto" w:fill="555759"/>
          </w:tcPr>
          <w:p w14:paraId="35F79C89"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369" w:type="dxa"/>
            <w:tcBorders>
              <w:top w:val="nil"/>
              <w:left w:val="nil"/>
              <w:bottom w:val="single" w:sz="12" w:space="0" w:color="95D600"/>
              <w:right w:val="nil"/>
              <w:tl2br w:val="nil"/>
              <w:tr2bl w:val="nil"/>
            </w:tcBorders>
            <w:shd w:val="clear" w:color="auto" w:fill="555759"/>
          </w:tcPr>
          <w:p w14:paraId="773D08F6"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379" w:type="dxa"/>
            <w:tcBorders>
              <w:top w:val="nil"/>
              <w:left w:val="nil"/>
              <w:bottom w:val="single" w:sz="12" w:space="0" w:color="95D600"/>
              <w:right w:val="nil"/>
              <w:tl2br w:val="nil"/>
              <w:tr2bl w:val="nil"/>
            </w:tcBorders>
            <w:shd w:val="clear" w:color="auto" w:fill="555759"/>
          </w:tcPr>
          <w:p w14:paraId="7B8DB35C"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r>
      <w:tr w:rsidR="00836233" w:rsidRPr="00957936" w14:paraId="214B8AAA" w14:textId="77777777" w:rsidTr="00110120">
        <w:trPr>
          <w:trHeight w:val="537"/>
        </w:trPr>
        <w:tc>
          <w:tcPr>
            <w:tcW w:w="0" w:type="dxa"/>
            <w:hideMark/>
          </w:tcPr>
          <w:p w14:paraId="1818F327"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PG&amp;E</w:t>
            </w:r>
          </w:p>
        </w:tc>
        <w:tc>
          <w:tcPr>
            <w:tcW w:w="0" w:type="dxa"/>
          </w:tcPr>
          <w:p w14:paraId="1034E60E" w14:textId="77777777" w:rsidR="00836233" w:rsidRPr="00957936" w:rsidRDefault="00836233" w:rsidP="00836233">
            <w:pPr>
              <w:rPr>
                <w:rFonts w:ascii="Arial Narrow" w:hAnsi="Arial Narrow"/>
                <w:color w:val="000000"/>
                <w:sz w:val="18"/>
                <w:szCs w:val="18"/>
              </w:rPr>
            </w:pPr>
            <w:r w:rsidRPr="00957936">
              <w:rPr>
                <w:rFonts w:ascii="Arial Narrow" w:hAnsi="Arial Narrow"/>
                <w:color w:val="000000"/>
                <w:sz w:val="18"/>
                <w:szCs w:val="18"/>
              </w:rPr>
              <w:t>282.50</w:t>
            </w:r>
          </w:p>
        </w:tc>
        <w:tc>
          <w:tcPr>
            <w:tcW w:w="0" w:type="dxa"/>
          </w:tcPr>
          <w:p w14:paraId="586A541E"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520.96</w:t>
            </w:r>
          </w:p>
        </w:tc>
        <w:tc>
          <w:tcPr>
            <w:tcW w:w="0" w:type="dxa"/>
            <w:hideMark/>
          </w:tcPr>
          <w:p w14:paraId="0229E31C"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758.46</w:t>
            </w:r>
          </w:p>
        </w:tc>
        <w:tc>
          <w:tcPr>
            <w:tcW w:w="0" w:type="dxa"/>
            <w:hideMark/>
          </w:tcPr>
          <w:p w14:paraId="1BFA6558"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1,120.47</w:t>
            </w:r>
          </w:p>
        </w:tc>
        <w:tc>
          <w:tcPr>
            <w:tcW w:w="0" w:type="dxa"/>
            <w:hideMark/>
          </w:tcPr>
          <w:p w14:paraId="700E8EF9"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8.8</w:t>
            </w:r>
          </w:p>
        </w:tc>
        <w:tc>
          <w:tcPr>
            <w:tcW w:w="0" w:type="dxa"/>
            <w:hideMark/>
          </w:tcPr>
          <w:p w14:paraId="798FEB87"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27.6</w:t>
            </w:r>
          </w:p>
        </w:tc>
      </w:tr>
      <w:tr w:rsidR="00836233" w:rsidRPr="00957936" w14:paraId="5DBC1345" w14:textId="77777777" w:rsidTr="00110120">
        <w:trPr>
          <w:trHeight w:val="404"/>
        </w:trPr>
        <w:tc>
          <w:tcPr>
            <w:tcW w:w="1226" w:type="dxa"/>
            <w:hideMark/>
          </w:tcPr>
          <w:p w14:paraId="6A134F88"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SCE</w:t>
            </w:r>
          </w:p>
        </w:tc>
        <w:tc>
          <w:tcPr>
            <w:tcW w:w="1275" w:type="dxa"/>
          </w:tcPr>
          <w:p w14:paraId="01DF01F5"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299.59</w:t>
            </w:r>
          </w:p>
        </w:tc>
        <w:tc>
          <w:tcPr>
            <w:tcW w:w="1275" w:type="dxa"/>
          </w:tcPr>
          <w:p w14:paraId="635AB68B"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503.66</w:t>
            </w:r>
          </w:p>
        </w:tc>
        <w:tc>
          <w:tcPr>
            <w:tcW w:w="1403" w:type="dxa"/>
            <w:hideMark/>
          </w:tcPr>
          <w:p w14:paraId="2A19E896"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892.17</w:t>
            </w:r>
          </w:p>
        </w:tc>
        <w:tc>
          <w:tcPr>
            <w:tcW w:w="1433" w:type="dxa"/>
            <w:hideMark/>
          </w:tcPr>
          <w:p w14:paraId="3EFC9729"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1,291.51</w:t>
            </w:r>
          </w:p>
        </w:tc>
        <w:tc>
          <w:tcPr>
            <w:tcW w:w="1369" w:type="dxa"/>
            <w:hideMark/>
          </w:tcPr>
          <w:p w14:paraId="7B3FE379"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c>
          <w:tcPr>
            <w:tcW w:w="1379" w:type="dxa"/>
            <w:hideMark/>
          </w:tcPr>
          <w:p w14:paraId="5D068228"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r>
      <w:tr w:rsidR="00836233" w:rsidRPr="00957936" w14:paraId="0DB86DFF" w14:textId="77777777" w:rsidTr="00110120">
        <w:trPr>
          <w:trHeight w:val="404"/>
        </w:trPr>
        <w:tc>
          <w:tcPr>
            <w:tcW w:w="1226" w:type="dxa"/>
            <w:hideMark/>
          </w:tcPr>
          <w:p w14:paraId="133C16A2"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SCG</w:t>
            </w:r>
          </w:p>
        </w:tc>
        <w:tc>
          <w:tcPr>
            <w:tcW w:w="1275" w:type="dxa"/>
          </w:tcPr>
          <w:p w14:paraId="033D1328"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77.08</w:t>
            </w:r>
          </w:p>
        </w:tc>
        <w:tc>
          <w:tcPr>
            <w:tcW w:w="1275" w:type="dxa"/>
          </w:tcPr>
          <w:p w14:paraId="591491E3"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36.16</w:t>
            </w:r>
          </w:p>
        </w:tc>
        <w:tc>
          <w:tcPr>
            <w:tcW w:w="1403" w:type="dxa"/>
            <w:hideMark/>
          </w:tcPr>
          <w:p w14:paraId="052D9FB1"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c>
          <w:tcPr>
            <w:tcW w:w="1433" w:type="dxa"/>
            <w:hideMark/>
          </w:tcPr>
          <w:p w14:paraId="4253F4D6"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c>
          <w:tcPr>
            <w:tcW w:w="1369" w:type="dxa"/>
            <w:hideMark/>
          </w:tcPr>
          <w:p w14:paraId="29E47DAD"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12.7</w:t>
            </w:r>
          </w:p>
        </w:tc>
        <w:tc>
          <w:tcPr>
            <w:tcW w:w="1379" w:type="dxa"/>
            <w:hideMark/>
          </w:tcPr>
          <w:p w14:paraId="3DB617B6"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17.5</w:t>
            </w:r>
          </w:p>
        </w:tc>
      </w:tr>
      <w:tr w:rsidR="00836233" w:rsidRPr="00957936" w14:paraId="2A34857C" w14:textId="77777777" w:rsidTr="00110120">
        <w:trPr>
          <w:trHeight w:val="404"/>
        </w:trPr>
        <w:tc>
          <w:tcPr>
            <w:tcW w:w="1226" w:type="dxa"/>
            <w:hideMark/>
          </w:tcPr>
          <w:p w14:paraId="7760910C"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SDG&amp;E</w:t>
            </w:r>
          </w:p>
        </w:tc>
        <w:tc>
          <w:tcPr>
            <w:tcW w:w="1275" w:type="dxa"/>
          </w:tcPr>
          <w:p w14:paraId="4EA96927" w14:textId="77777777" w:rsidR="00836233" w:rsidRPr="00957936" w:rsidRDefault="00836233">
            <w:pPr>
              <w:rPr>
                <w:rFonts w:ascii="Arial Narrow" w:hAnsi="Arial Narrow"/>
                <w:color w:val="000000"/>
                <w:sz w:val="18"/>
                <w:szCs w:val="18"/>
              </w:rPr>
            </w:pPr>
            <w:r w:rsidRPr="00957936">
              <w:rPr>
                <w:rFonts w:ascii="Arial Narrow" w:hAnsi="Arial Narrow"/>
                <w:color w:val="000000"/>
                <w:sz w:val="18"/>
                <w:szCs w:val="18"/>
              </w:rPr>
              <w:t>70.69</w:t>
            </w:r>
          </w:p>
        </w:tc>
        <w:tc>
          <w:tcPr>
            <w:tcW w:w="1275" w:type="dxa"/>
          </w:tcPr>
          <w:p w14:paraId="5433D74E" w14:textId="77777777" w:rsidR="00836233" w:rsidRPr="00957936" w:rsidRDefault="00836233">
            <w:pPr>
              <w:rPr>
                <w:rFonts w:ascii="Arial Narrow" w:hAnsi="Arial Narrow"/>
                <w:color w:val="000000"/>
                <w:sz w:val="18"/>
                <w:szCs w:val="18"/>
              </w:rPr>
            </w:pPr>
            <w:r w:rsidRPr="00957936">
              <w:rPr>
                <w:rFonts w:ascii="Arial Narrow" w:hAnsi="Arial Narrow"/>
                <w:color w:val="000000"/>
                <w:sz w:val="18"/>
                <w:szCs w:val="18"/>
              </w:rPr>
              <w:t>110.08</w:t>
            </w:r>
          </w:p>
        </w:tc>
        <w:tc>
          <w:tcPr>
            <w:tcW w:w="1403" w:type="dxa"/>
            <w:hideMark/>
          </w:tcPr>
          <w:p w14:paraId="63D7B8E1" w14:textId="77777777" w:rsidR="00836233" w:rsidRPr="00957936" w:rsidRDefault="00836233">
            <w:pPr>
              <w:rPr>
                <w:rFonts w:ascii="Arial Narrow" w:hAnsi="Arial Narrow"/>
                <w:sz w:val="18"/>
                <w:szCs w:val="18"/>
              </w:rPr>
            </w:pPr>
            <w:r w:rsidRPr="00957936">
              <w:rPr>
                <w:rFonts w:ascii="Arial Narrow" w:hAnsi="Arial Narrow"/>
                <w:color w:val="000000"/>
                <w:sz w:val="18"/>
                <w:szCs w:val="18"/>
              </w:rPr>
              <w:t>175.57</w:t>
            </w:r>
          </w:p>
        </w:tc>
        <w:tc>
          <w:tcPr>
            <w:tcW w:w="1433" w:type="dxa"/>
            <w:hideMark/>
          </w:tcPr>
          <w:p w14:paraId="65DC7F01" w14:textId="77777777" w:rsidR="00836233" w:rsidRPr="00957936" w:rsidRDefault="00836233">
            <w:pPr>
              <w:rPr>
                <w:rFonts w:ascii="Arial Narrow" w:hAnsi="Arial Narrow"/>
                <w:sz w:val="18"/>
                <w:szCs w:val="18"/>
              </w:rPr>
            </w:pPr>
            <w:r w:rsidRPr="00957936">
              <w:rPr>
                <w:rFonts w:ascii="Arial Narrow" w:hAnsi="Arial Narrow"/>
                <w:color w:val="000000"/>
                <w:sz w:val="18"/>
                <w:szCs w:val="18"/>
              </w:rPr>
              <w:t>295.18</w:t>
            </w:r>
          </w:p>
        </w:tc>
        <w:tc>
          <w:tcPr>
            <w:tcW w:w="1369" w:type="dxa"/>
            <w:hideMark/>
          </w:tcPr>
          <w:p w14:paraId="57013F73"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-1.0</w:t>
            </w:r>
          </w:p>
        </w:tc>
        <w:tc>
          <w:tcPr>
            <w:tcW w:w="1379" w:type="dxa"/>
            <w:hideMark/>
          </w:tcPr>
          <w:p w14:paraId="65EC02CE"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3.5</w:t>
            </w:r>
          </w:p>
        </w:tc>
      </w:tr>
    </w:tbl>
    <w:p w14:paraId="3BF1A80F" w14:textId="77777777" w:rsidR="0088798E" w:rsidRPr="008337C9" w:rsidRDefault="00A85DBA" w:rsidP="00957936">
      <w:pPr>
        <w:pStyle w:val="Source"/>
        <w:jc w:val="center"/>
      </w:pPr>
      <w:r w:rsidRPr="008337C9">
        <w:t xml:space="preserve">Source: </w:t>
      </w:r>
      <w:r w:rsidR="00C20636" w:rsidRPr="008337C9">
        <w:t>CPUC – Energy Efficiency Full Program Cycle (2013-2015) Data</w:t>
      </w:r>
    </w:p>
    <w:p w14:paraId="40C92243" w14:textId="77777777" w:rsidR="0088798E" w:rsidRDefault="0088798E" w:rsidP="00732A7B">
      <w:r w:rsidRPr="008337C9">
        <w:t xml:space="preserve">Additional discussion of the calibration process can be found in </w:t>
      </w:r>
      <w:r w:rsidR="00490F81" w:rsidRPr="008337C9">
        <w:fldChar w:fldCharType="begin"/>
      </w:r>
      <w:r w:rsidR="00490F81" w:rsidRPr="008337C9">
        <w:instrText xml:space="preserve"> REF _Ref477255194 \r \h </w:instrText>
      </w:r>
      <w:r w:rsidR="008337C9">
        <w:instrText xml:space="preserve"> \* MERGEFORMAT </w:instrText>
      </w:r>
      <w:r w:rsidR="00490F81" w:rsidRPr="008337C9">
        <w:fldChar w:fldCharType="separate"/>
      </w:r>
      <w:r w:rsidR="00C407F4">
        <w:t>4.2Appendix A</w:t>
      </w:r>
      <w:r w:rsidR="00490F81" w:rsidRPr="008337C9">
        <w:fldChar w:fldCharType="end"/>
      </w:r>
      <w:r w:rsidRPr="008337C9">
        <w:t xml:space="preserve">. </w:t>
      </w:r>
    </w:p>
    <w:p w14:paraId="7F3443DF" w14:textId="77777777" w:rsidR="00732A7B" w:rsidRDefault="00732A7B" w:rsidP="00732A7B">
      <w:pPr>
        <w:pStyle w:val="Heading3"/>
      </w:pPr>
      <w:bookmarkStart w:id="391" w:name="_Toc478990508"/>
      <w:bookmarkStart w:id="392" w:name="_Toc479768581"/>
      <w:bookmarkStart w:id="393" w:name="_Toc482357308"/>
      <w:bookmarkStart w:id="394" w:name="_Toc482634284"/>
      <w:bookmarkStart w:id="395" w:name="_Toc482626416"/>
      <w:bookmarkStart w:id="396" w:name="_Toc484092487"/>
      <w:bookmarkStart w:id="397" w:name="_Toc484172691"/>
      <w:bookmarkStart w:id="398" w:name="_Toc484183027"/>
      <w:bookmarkStart w:id="399" w:name="_Toc485126542"/>
      <w:r>
        <w:t>Non-Incentive Program Costs</w:t>
      </w:r>
      <w:bookmarkEnd w:id="391"/>
      <w:bookmarkEnd w:id="392"/>
      <w:bookmarkEnd w:id="393"/>
      <w:bookmarkEnd w:id="394"/>
      <w:bookmarkEnd w:id="395"/>
      <w:bookmarkEnd w:id="396"/>
      <w:bookmarkEnd w:id="397"/>
      <w:bookmarkEnd w:id="398"/>
      <w:bookmarkEnd w:id="399"/>
    </w:p>
    <w:p w14:paraId="131CB28F" w14:textId="77777777" w:rsidR="00EF6103" w:rsidRPr="008337C9" w:rsidRDefault="00EF6103" w:rsidP="00732A7B">
      <w:r w:rsidRPr="00EE491F">
        <w:t>Non-incentive program costs also come from the 2013-2015 Full Program Cycle Data on the CPUC’s EEStats portal.</w:t>
      </w:r>
      <w:r w:rsidR="00EE491F" w:rsidRPr="00EE491F">
        <w:t xml:space="preserve">  For the PG Model, Navigant determined program costs per unit of kWh or therm, by sector.  </w:t>
      </w:r>
      <w:r w:rsidR="00EF772A">
        <w:t xml:space="preserve">This is facilitated by the EEStats data, where program costs for each program and measure line are already listed. </w:t>
      </w:r>
      <w:r w:rsidR="00EE491F" w:rsidRPr="00EE491F">
        <w:t>In EEStats, program costs combine administrative costs, marketing costs, implementation (customer service) costs, overhead, and EM&amp;V costs.  Note that interactive effects are excluded prior to calculating these costs.</w:t>
      </w:r>
    </w:p>
    <w:p w14:paraId="4EFAC4D5" w14:textId="77777777" w:rsidR="007B3F91" w:rsidRDefault="007B3F91" w:rsidP="00732A7B"/>
    <w:p w14:paraId="055DF1A7" w14:textId="7BD0BC7A" w:rsidR="00732A7B" w:rsidRDefault="00C20636" w:rsidP="00732A7B">
      <w:r w:rsidRPr="008337C9">
        <w:fldChar w:fldCharType="begin"/>
      </w:r>
      <w:r w:rsidRPr="008337C9">
        <w:instrText xml:space="preserve"> REF _Ref479684822 \h </w:instrText>
      </w:r>
      <w:r w:rsidR="008337C9">
        <w:instrText xml:space="preserve"> \* MERGEFORMAT </w:instrText>
      </w:r>
      <w:r w:rsidRPr="008337C9">
        <w:fldChar w:fldCharType="separate"/>
      </w:r>
      <w:r w:rsidR="00C407F4" w:rsidRPr="008B64DE">
        <w:t xml:space="preserve">Table </w:t>
      </w:r>
      <w:r w:rsidR="00C407F4">
        <w:rPr>
          <w:noProof/>
        </w:rPr>
        <w:t>3</w:t>
      </w:r>
      <w:r w:rsidR="00C407F4">
        <w:rPr>
          <w:noProof/>
        </w:rPr>
        <w:noBreakHyphen/>
        <w:t>6</w:t>
      </w:r>
      <w:r w:rsidRPr="008337C9">
        <w:fldChar w:fldCharType="end"/>
      </w:r>
      <w:r w:rsidR="00732A7B" w:rsidRPr="008337C9">
        <w:t xml:space="preserve"> provides an overview of the Non-Incentive Program Costs</w:t>
      </w:r>
      <w:r w:rsidRPr="008337C9">
        <w:t>, based on gross reported savings</w:t>
      </w:r>
      <w:r w:rsidR="00732A7B" w:rsidRPr="008337C9">
        <w:t>.</w:t>
      </w:r>
      <w:r w:rsidR="00A235A9" w:rsidRPr="008337C9">
        <w:t xml:space="preserve">  The displayed AIMS program cost is an average of the individual agriculture, industrial, mining, and streetlighting costs calculated.</w:t>
      </w:r>
    </w:p>
    <w:p w14:paraId="000C5815" w14:textId="77777777" w:rsidR="00732A7B" w:rsidRDefault="00732A7B" w:rsidP="00732A7B"/>
    <w:p w14:paraId="749BCAE2" w14:textId="77777777" w:rsidR="00732A7B" w:rsidRPr="008B64DE" w:rsidRDefault="00732A7B" w:rsidP="00A330AB">
      <w:pPr>
        <w:pStyle w:val="Caption"/>
      </w:pPr>
      <w:bookmarkStart w:id="400" w:name="_Ref479684822"/>
      <w:bookmarkStart w:id="401" w:name="_Toc482634214"/>
      <w:bookmarkStart w:id="402" w:name="_Toc484436953"/>
      <w:bookmarkStart w:id="403" w:name="_Toc485125664"/>
      <w:r w:rsidRPr="008B64DE">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w:instrText>
      </w:r>
      <w:r w:rsidR="00272F76">
        <w:instrText xml:space="preserve">SEQ Table \* ARABIC \s 1 </w:instrText>
      </w:r>
      <w:r w:rsidR="00272F76">
        <w:fldChar w:fldCharType="separate"/>
      </w:r>
      <w:r w:rsidR="00C407F4">
        <w:rPr>
          <w:noProof/>
        </w:rPr>
        <w:t>6</w:t>
      </w:r>
      <w:r w:rsidR="00272F76">
        <w:rPr>
          <w:noProof/>
        </w:rPr>
        <w:fldChar w:fldCharType="end"/>
      </w:r>
      <w:bookmarkEnd w:id="400"/>
      <w:r w:rsidRPr="008B64DE">
        <w:t>. Non-Incentive Program Costs Summary</w:t>
      </w:r>
      <w:bookmarkEnd w:id="401"/>
      <w:bookmarkEnd w:id="402"/>
      <w:bookmarkEnd w:id="403"/>
    </w:p>
    <w:tbl>
      <w:tblPr>
        <w:tblStyle w:val="EnergyTable1"/>
        <w:tblW w:w="8402" w:type="dxa"/>
        <w:tblLook w:val="0620" w:firstRow="1" w:lastRow="0" w:firstColumn="0" w:lastColumn="0" w:noHBand="1" w:noVBand="1"/>
      </w:tblPr>
      <w:tblGrid>
        <w:gridCol w:w="1222"/>
        <w:gridCol w:w="1192"/>
        <w:gridCol w:w="1192"/>
        <w:gridCol w:w="1192"/>
        <w:gridCol w:w="1192"/>
        <w:gridCol w:w="1192"/>
        <w:gridCol w:w="1220"/>
      </w:tblGrid>
      <w:tr w:rsidR="00732A7B" w:rsidRPr="00957936" w14:paraId="6BBBC11A" w14:textId="77777777" w:rsidTr="00110120">
        <w:trPr>
          <w:cnfStyle w:val="100000000000" w:firstRow="1" w:lastRow="0" w:firstColumn="0" w:lastColumn="0" w:oddVBand="0" w:evenVBand="0" w:oddHBand="0" w:evenHBand="0" w:firstRowFirstColumn="0" w:firstRowLastColumn="0" w:lastRowFirstColumn="0" w:lastRowLastColumn="0"/>
          <w:trHeight w:val="150"/>
        </w:trPr>
        <w:tc>
          <w:tcPr>
            <w:tcW w:w="1222" w:type="dxa"/>
            <w:vMerge w:val="restart"/>
            <w:hideMark/>
          </w:tcPr>
          <w:p w14:paraId="17C33538"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IOU</w:t>
            </w:r>
          </w:p>
        </w:tc>
        <w:tc>
          <w:tcPr>
            <w:tcW w:w="3576" w:type="dxa"/>
            <w:gridSpan w:val="3"/>
            <w:hideMark/>
          </w:tcPr>
          <w:p w14:paraId="36DD62DC"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 xml:space="preserve">Electric </w:t>
            </w:r>
            <w:r w:rsidR="00732A7B" w:rsidRPr="00957936">
              <w:rPr>
                <w:rFonts w:ascii="Arial Narrow" w:hAnsi="Arial Narrow"/>
                <w:sz w:val="18"/>
                <w:szCs w:val="18"/>
              </w:rPr>
              <w:t>Savings (</w:t>
            </w:r>
            <w:r w:rsidR="00C20636" w:rsidRPr="00957936">
              <w:rPr>
                <w:rFonts w:ascii="Arial Narrow" w:hAnsi="Arial Narrow"/>
                <w:sz w:val="18"/>
                <w:szCs w:val="18"/>
              </w:rPr>
              <w:t>$/</w:t>
            </w:r>
            <w:r w:rsidR="00D807CD" w:rsidRPr="00957936">
              <w:rPr>
                <w:rFonts w:ascii="Arial Narrow" w:hAnsi="Arial Narrow"/>
                <w:sz w:val="18"/>
                <w:szCs w:val="18"/>
              </w:rPr>
              <w:t xml:space="preserve">Gross </w:t>
            </w:r>
            <w:r w:rsidR="00C20636" w:rsidRPr="00957936">
              <w:rPr>
                <w:rFonts w:ascii="Arial Narrow" w:hAnsi="Arial Narrow"/>
                <w:sz w:val="18"/>
                <w:szCs w:val="18"/>
              </w:rPr>
              <w:t>kWh</w:t>
            </w:r>
            <w:r w:rsidR="00732A7B" w:rsidRPr="00957936">
              <w:rPr>
                <w:rFonts w:ascii="Arial Narrow" w:hAnsi="Arial Narrow"/>
                <w:sz w:val="18"/>
                <w:szCs w:val="18"/>
              </w:rPr>
              <w:t>)</w:t>
            </w:r>
          </w:p>
        </w:tc>
        <w:tc>
          <w:tcPr>
            <w:tcW w:w="3604" w:type="dxa"/>
            <w:gridSpan w:val="3"/>
            <w:hideMark/>
          </w:tcPr>
          <w:p w14:paraId="662670A1"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Gas Savings (</w:t>
            </w:r>
            <w:r w:rsidR="00C20636" w:rsidRPr="00957936">
              <w:rPr>
                <w:rFonts w:ascii="Arial Narrow" w:hAnsi="Arial Narrow"/>
                <w:sz w:val="18"/>
                <w:szCs w:val="18"/>
              </w:rPr>
              <w:t>$/</w:t>
            </w:r>
            <w:r w:rsidR="00D807CD" w:rsidRPr="00957936">
              <w:rPr>
                <w:rFonts w:ascii="Arial Narrow" w:hAnsi="Arial Narrow"/>
                <w:sz w:val="18"/>
                <w:szCs w:val="18"/>
              </w:rPr>
              <w:t xml:space="preserve">Gross </w:t>
            </w:r>
            <w:r w:rsidR="00C20636" w:rsidRPr="00957936">
              <w:rPr>
                <w:rFonts w:ascii="Arial Narrow" w:hAnsi="Arial Narrow"/>
                <w:sz w:val="18"/>
                <w:szCs w:val="18"/>
              </w:rPr>
              <w:t>therm</w:t>
            </w:r>
            <w:r w:rsidRPr="00957936">
              <w:rPr>
                <w:rFonts w:ascii="Arial Narrow" w:hAnsi="Arial Narrow"/>
                <w:sz w:val="18"/>
                <w:szCs w:val="18"/>
              </w:rPr>
              <w:t>)</w:t>
            </w:r>
          </w:p>
        </w:tc>
      </w:tr>
      <w:tr w:rsidR="004A09CC" w:rsidRPr="00957936" w14:paraId="4E76261A" w14:textId="77777777" w:rsidTr="00EF772A">
        <w:trPr>
          <w:trHeight w:val="149"/>
        </w:trPr>
        <w:tc>
          <w:tcPr>
            <w:tcW w:w="1222" w:type="dxa"/>
            <w:vMerge/>
            <w:shd w:val="clear" w:color="auto" w:fill="555759"/>
          </w:tcPr>
          <w:p w14:paraId="1CEC02E0" w14:textId="77777777" w:rsidR="00732A7B" w:rsidRPr="00957936" w:rsidRDefault="00732A7B" w:rsidP="00A330AB">
            <w:pPr>
              <w:keepNext/>
              <w:rPr>
                <w:rFonts w:ascii="Arial Narrow" w:hAnsi="Arial Narrow"/>
                <w:sz w:val="18"/>
                <w:szCs w:val="18"/>
              </w:rPr>
            </w:pPr>
          </w:p>
        </w:tc>
        <w:tc>
          <w:tcPr>
            <w:tcW w:w="1192" w:type="dxa"/>
            <w:tcBorders>
              <w:top w:val="nil"/>
              <w:bottom w:val="single" w:sz="12" w:space="0" w:color="95D600"/>
              <w:right w:val="nil"/>
              <w:tl2br w:val="nil"/>
              <w:tr2bl w:val="nil"/>
            </w:tcBorders>
            <w:shd w:val="clear" w:color="auto" w:fill="555759"/>
          </w:tcPr>
          <w:p w14:paraId="25370BBE"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192" w:type="dxa"/>
            <w:tcBorders>
              <w:top w:val="nil"/>
              <w:bottom w:val="single" w:sz="12" w:space="0" w:color="95D600"/>
              <w:right w:val="nil"/>
              <w:tl2br w:val="nil"/>
              <w:tr2bl w:val="nil"/>
            </w:tcBorders>
            <w:shd w:val="clear" w:color="auto" w:fill="555759"/>
          </w:tcPr>
          <w:p w14:paraId="4BCA2C9F"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192" w:type="dxa"/>
            <w:tcBorders>
              <w:top w:val="nil"/>
              <w:bottom w:val="single" w:sz="12" w:space="0" w:color="95D600"/>
              <w:right w:val="nil"/>
              <w:tl2br w:val="nil"/>
              <w:tr2bl w:val="nil"/>
            </w:tcBorders>
            <w:shd w:val="clear" w:color="auto" w:fill="555759"/>
          </w:tcPr>
          <w:p w14:paraId="261EBD3C"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AIMS</w:t>
            </w:r>
          </w:p>
        </w:tc>
        <w:tc>
          <w:tcPr>
            <w:tcW w:w="1192" w:type="dxa"/>
            <w:tcBorders>
              <w:top w:val="nil"/>
              <w:left w:val="nil"/>
              <w:bottom w:val="single" w:sz="12" w:space="0" w:color="95D600"/>
              <w:right w:val="nil"/>
              <w:tl2br w:val="nil"/>
              <w:tr2bl w:val="nil"/>
            </w:tcBorders>
            <w:shd w:val="clear" w:color="auto" w:fill="555759"/>
          </w:tcPr>
          <w:p w14:paraId="044E68BD" w14:textId="77777777" w:rsidR="00732A7B" w:rsidRPr="00957936" w:rsidRDefault="001127B8" w:rsidP="00A330AB">
            <w:pPr>
              <w:keepNext/>
              <w:rPr>
                <w:rFonts w:ascii="Arial Narrow" w:hAnsi="Arial Narrow"/>
                <w:color w:val="FFFFFF" w:themeColor="background1"/>
                <w:sz w:val="18"/>
                <w:szCs w:val="18"/>
              </w:rPr>
            </w:pPr>
            <w:r>
              <w:rPr>
                <w:rFonts w:ascii="Arial Narrow" w:hAnsi="Arial Narrow"/>
                <w:color w:val="FFFFFF" w:themeColor="background1"/>
                <w:sz w:val="18"/>
                <w:szCs w:val="18"/>
              </w:rPr>
              <w:t xml:space="preserve"> </w:t>
            </w:r>
            <w:r w:rsidR="00732A7B" w:rsidRPr="00957936">
              <w:rPr>
                <w:rFonts w:ascii="Arial Narrow" w:hAnsi="Arial Narrow"/>
                <w:color w:val="FFFFFF" w:themeColor="background1"/>
                <w:sz w:val="18"/>
                <w:szCs w:val="18"/>
              </w:rPr>
              <w:t>RES</w:t>
            </w:r>
          </w:p>
        </w:tc>
        <w:tc>
          <w:tcPr>
            <w:tcW w:w="1192" w:type="dxa"/>
            <w:tcBorders>
              <w:top w:val="nil"/>
              <w:left w:val="nil"/>
              <w:bottom w:val="single" w:sz="12" w:space="0" w:color="95D600"/>
              <w:right w:val="nil"/>
              <w:tl2br w:val="nil"/>
              <w:tr2bl w:val="nil"/>
            </w:tcBorders>
            <w:shd w:val="clear" w:color="auto" w:fill="555759"/>
          </w:tcPr>
          <w:p w14:paraId="4F14C824"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220" w:type="dxa"/>
            <w:tcBorders>
              <w:top w:val="nil"/>
              <w:left w:val="nil"/>
              <w:bottom w:val="single" w:sz="12" w:space="0" w:color="95D600"/>
              <w:right w:val="nil"/>
              <w:tl2br w:val="nil"/>
              <w:tr2bl w:val="nil"/>
            </w:tcBorders>
            <w:shd w:val="clear" w:color="auto" w:fill="555759"/>
          </w:tcPr>
          <w:p w14:paraId="6B4EF0BB"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AIMS</w:t>
            </w:r>
          </w:p>
        </w:tc>
      </w:tr>
      <w:tr w:rsidR="00732A7B" w:rsidRPr="00957936" w14:paraId="00A2F818" w14:textId="77777777" w:rsidTr="00110120">
        <w:trPr>
          <w:trHeight w:val="397"/>
        </w:trPr>
        <w:tc>
          <w:tcPr>
            <w:tcW w:w="0" w:type="dxa"/>
            <w:hideMark/>
          </w:tcPr>
          <w:p w14:paraId="25A08A24"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PG&amp;E</w:t>
            </w:r>
          </w:p>
        </w:tc>
        <w:tc>
          <w:tcPr>
            <w:tcW w:w="0" w:type="dxa"/>
          </w:tcPr>
          <w:p w14:paraId="1AE040A0" w14:textId="77777777" w:rsidR="00732A7B" w:rsidRPr="00957936" w:rsidRDefault="00C20636" w:rsidP="00A330AB">
            <w:pPr>
              <w:keepNext/>
              <w:rPr>
                <w:rFonts w:ascii="Arial Narrow" w:hAnsi="Arial Narrow"/>
                <w:sz w:val="18"/>
                <w:szCs w:val="18"/>
              </w:rPr>
            </w:pPr>
            <w:r w:rsidRPr="00957936">
              <w:rPr>
                <w:rFonts w:ascii="Arial Narrow" w:hAnsi="Arial Narrow"/>
                <w:sz w:val="18"/>
                <w:szCs w:val="18"/>
              </w:rPr>
              <w:t>$0.12</w:t>
            </w:r>
          </w:p>
        </w:tc>
        <w:tc>
          <w:tcPr>
            <w:tcW w:w="0" w:type="dxa"/>
          </w:tcPr>
          <w:p w14:paraId="281C00C9" w14:textId="77777777" w:rsidR="00732A7B" w:rsidRPr="00957936" w:rsidRDefault="00C20636" w:rsidP="00A330AB">
            <w:pPr>
              <w:keepNext/>
              <w:rPr>
                <w:rFonts w:ascii="Arial Narrow" w:hAnsi="Arial Narrow"/>
                <w:sz w:val="18"/>
                <w:szCs w:val="18"/>
              </w:rPr>
            </w:pPr>
            <w:r w:rsidRPr="00957936">
              <w:rPr>
                <w:rFonts w:ascii="Arial Narrow" w:hAnsi="Arial Narrow"/>
                <w:sz w:val="18"/>
                <w:szCs w:val="18"/>
              </w:rPr>
              <w:t>$0.15</w:t>
            </w:r>
          </w:p>
        </w:tc>
        <w:tc>
          <w:tcPr>
            <w:tcW w:w="0" w:type="dxa"/>
          </w:tcPr>
          <w:p w14:paraId="5556DD82" w14:textId="77777777" w:rsidR="00732A7B" w:rsidRPr="00957936" w:rsidRDefault="00C20636" w:rsidP="00A330AB">
            <w:pPr>
              <w:keepNext/>
              <w:rPr>
                <w:rFonts w:ascii="Arial Narrow" w:hAnsi="Arial Narrow"/>
                <w:sz w:val="18"/>
                <w:szCs w:val="18"/>
              </w:rPr>
            </w:pPr>
            <w:r w:rsidRPr="00957936">
              <w:rPr>
                <w:rFonts w:ascii="Arial Narrow" w:hAnsi="Arial Narrow"/>
                <w:sz w:val="18"/>
                <w:szCs w:val="18"/>
              </w:rPr>
              <w:t>$0.</w:t>
            </w:r>
            <w:r w:rsidR="00A235A9" w:rsidRPr="00957936">
              <w:rPr>
                <w:rFonts w:ascii="Arial Narrow" w:hAnsi="Arial Narrow"/>
                <w:sz w:val="18"/>
                <w:szCs w:val="18"/>
              </w:rPr>
              <w:t>08</w:t>
            </w:r>
          </w:p>
        </w:tc>
        <w:tc>
          <w:tcPr>
            <w:tcW w:w="0" w:type="dxa"/>
          </w:tcPr>
          <w:p w14:paraId="007CB0CD"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$3.55</w:t>
            </w:r>
          </w:p>
        </w:tc>
        <w:tc>
          <w:tcPr>
            <w:tcW w:w="0" w:type="dxa"/>
          </w:tcPr>
          <w:p w14:paraId="4A976384"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$4.53</w:t>
            </w:r>
          </w:p>
        </w:tc>
        <w:tc>
          <w:tcPr>
            <w:tcW w:w="0" w:type="dxa"/>
          </w:tcPr>
          <w:p w14:paraId="2CD19DE4"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$2.38</w:t>
            </w:r>
          </w:p>
        </w:tc>
      </w:tr>
      <w:tr w:rsidR="00EF772A" w:rsidRPr="00957936" w14:paraId="2006656F" w14:textId="77777777" w:rsidTr="00110120">
        <w:trPr>
          <w:trHeight w:val="397"/>
        </w:trPr>
        <w:tc>
          <w:tcPr>
            <w:tcW w:w="0" w:type="dxa"/>
            <w:hideMark/>
          </w:tcPr>
          <w:p w14:paraId="0714500B"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SCE</w:t>
            </w:r>
          </w:p>
        </w:tc>
        <w:tc>
          <w:tcPr>
            <w:tcW w:w="0" w:type="dxa"/>
          </w:tcPr>
          <w:p w14:paraId="314F66A1"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$0.16</w:t>
            </w:r>
          </w:p>
        </w:tc>
        <w:tc>
          <w:tcPr>
            <w:tcW w:w="0" w:type="dxa"/>
          </w:tcPr>
          <w:p w14:paraId="4E20E90B"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$0.18</w:t>
            </w:r>
          </w:p>
        </w:tc>
        <w:tc>
          <w:tcPr>
            <w:tcW w:w="0" w:type="dxa"/>
          </w:tcPr>
          <w:p w14:paraId="5F99362E"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$0.18</w:t>
            </w:r>
          </w:p>
        </w:tc>
        <w:tc>
          <w:tcPr>
            <w:tcW w:w="0" w:type="dxa"/>
          </w:tcPr>
          <w:p w14:paraId="13C06984"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579CA885"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2FF9DFAB"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NA</w:t>
            </w:r>
          </w:p>
        </w:tc>
      </w:tr>
      <w:tr w:rsidR="00732A7B" w:rsidRPr="00957936" w14:paraId="23940B0D" w14:textId="77777777" w:rsidTr="00110120">
        <w:trPr>
          <w:trHeight w:val="397"/>
        </w:trPr>
        <w:tc>
          <w:tcPr>
            <w:tcW w:w="0" w:type="dxa"/>
            <w:hideMark/>
          </w:tcPr>
          <w:p w14:paraId="306E23A6"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SCG</w:t>
            </w:r>
          </w:p>
        </w:tc>
        <w:tc>
          <w:tcPr>
            <w:tcW w:w="0" w:type="dxa"/>
          </w:tcPr>
          <w:p w14:paraId="0C5A665C"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03157CBD"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6A5F23AB"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5EE83C20"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$2.14</w:t>
            </w:r>
          </w:p>
        </w:tc>
        <w:tc>
          <w:tcPr>
            <w:tcW w:w="0" w:type="dxa"/>
          </w:tcPr>
          <w:p w14:paraId="0E5782C7"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$1.15</w:t>
            </w:r>
          </w:p>
        </w:tc>
        <w:tc>
          <w:tcPr>
            <w:tcW w:w="0" w:type="dxa"/>
          </w:tcPr>
          <w:p w14:paraId="4E40B607"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$0.72</w:t>
            </w:r>
          </w:p>
        </w:tc>
      </w:tr>
      <w:tr w:rsidR="00732A7B" w:rsidRPr="00957936" w14:paraId="2D0CDC0B" w14:textId="77777777" w:rsidTr="00110120">
        <w:trPr>
          <w:trHeight w:val="397"/>
        </w:trPr>
        <w:tc>
          <w:tcPr>
            <w:tcW w:w="0" w:type="dxa"/>
            <w:hideMark/>
          </w:tcPr>
          <w:p w14:paraId="0178C9C4"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SDG&amp;E</w:t>
            </w:r>
          </w:p>
        </w:tc>
        <w:tc>
          <w:tcPr>
            <w:tcW w:w="0" w:type="dxa"/>
          </w:tcPr>
          <w:p w14:paraId="11E12817"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$0.12</w:t>
            </w:r>
          </w:p>
        </w:tc>
        <w:tc>
          <w:tcPr>
            <w:tcW w:w="0" w:type="dxa"/>
          </w:tcPr>
          <w:p w14:paraId="05CBC391"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$0.07</w:t>
            </w:r>
          </w:p>
        </w:tc>
        <w:tc>
          <w:tcPr>
            <w:tcW w:w="0" w:type="dxa"/>
          </w:tcPr>
          <w:p w14:paraId="751A3C0B"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$0.06</w:t>
            </w:r>
          </w:p>
        </w:tc>
        <w:tc>
          <w:tcPr>
            <w:tcW w:w="0" w:type="dxa"/>
          </w:tcPr>
          <w:p w14:paraId="0A7E7A8E"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$3.40</w:t>
            </w:r>
          </w:p>
        </w:tc>
        <w:tc>
          <w:tcPr>
            <w:tcW w:w="0" w:type="dxa"/>
          </w:tcPr>
          <w:p w14:paraId="313061E5"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$1.92</w:t>
            </w:r>
          </w:p>
        </w:tc>
        <w:tc>
          <w:tcPr>
            <w:tcW w:w="0" w:type="dxa"/>
          </w:tcPr>
          <w:p w14:paraId="28284C89"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$1.88</w:t>
            </w:r>
          </w:p>
        </w:tc>
      </w:tr>
    </w:tbl>
    <w:p w14:paraId="61625548" w14:textId="77777777" w:rsidR="00EF772A" w:rsidRDefault="00732A7B" w:rsidP="00957936">
      <w:pPr>
        <w:pStyle w:val="Source"/>
        <w:jc w:val="center"/>
      </w:pPr>
      <w:r>
        <w:t xml:space="preserve">Source: </w:t>
      </w:r>
      <w:r w:rsidR="00C20636" w:rsidRPr="00C20636">
        <w:t>CPUC – Energy Efficiency Full Program Cycle (2013-2015) Data</w:t>
      </w:r>
    </w:p>
    <w:p w14:paraId="146E8958" w14:textId="77777777" w:rsidR="008820EA" w:rsidRDefault="008820EA" w:rsidP="008820EA">
      <w:pPr>
        <w:pStyle w:val="Heading3"/>
      </w:pPr>
      <w:bookmarkStart w:id="404" w:name="_Toc478990509"/>
      <w:bookmarkStart w:id="405" w:name="_Toc479768582"/>
      <w:bookmarkStart w:id="406" w:name="_Toc482357309"/>
      <w:bookmarkStart w:id="407" w:name="_Toc482634285"/>
      <w:bookmarkStart w:id="408" w:name="_Toc482626417"/>
      <w:bookmarkStart w:id="409" w:name="_Toc484092488"/>
      <w:bookmarkStart w:id="410" w:name="_Toc484172692"/>
      <w:bookmarkStart w:id="411" w:name="_Toc484183028"/>
      <w:bookmarkStart w:id="412" w:name="_Ref484533065"/>
      <w:bookmarkStart w:id="413" w:name="_Toc485126543"/>
      <w:r>
        <w:t>Avoided Costs</w:t>
      </w:r>
      <w:bookmarkEnd w:id="404"/>
      <w:bookmarkEnd w:id="405"/>
      <w:bookmarkEnd w:id="406"/>
      <w:bookmarkEnd w:id="407"/>
      <w:bookmarkEnd w:id="408"/>
      <w:bookmarkEnd w:id="409"/>
      <w:bookmarkEnd w:id="410"/>
      <w:bookmarkEnd w:id="411"/>
      <w:bookmarkEnd w:id="412"/>
      <w:bookmarkEnd w:id="413"/>
    </w:p>
    <w:p w14:paraId="6F97B4CE" w14:textId="77777777" w:rsidR="005438AB" w:rsidRDefault="00392F1E" w:rsidP="008820EA">
      <w:r>
        <w:t>A</w:t>
      </w:r>
      <w:r w:rsidR="002118E3">
        <w:t xml:space="preserve">voided costs </w:t>
      </w:r>
      <w:r>
        <w:t xml:space="preserve">place an economic </w:t>
      </w:r>
      <w:r w:rsidR="005438AB">
        <w:t xml:space="preserve">value on the amount of energy and greenhouse gas that is saved by implementing </w:t>
      </w:r>
      <w:r w:rsidR="002118E3">
        <w:t>an energy saving</w:t>
      </w:r>
      <w:r w:rsidR="005438AB">
        <w:t xml:space="preserve"> measure. </w:t>
      </w:r>
      <w:r>
        <w:t>Avoided costs are a key input to the calculation of cost effectiveness.</w:t>
      </w:r>
    </w:p>
    <w:p w14:paraId="2A0039C0" w14:textId="77777777" w:rsidR="005438AB" w:rsidRDefault="005438AB" w:rsidP="008820EA"/>
    <w:p w14:paraId="65B4386A" w14:textId="77777777" w:rsidR="005438AB" w:rsidRDefault="00EF6103" w:rsidP="008820EA">
      <w:r>
        <w:t>To determine avoided costs, Navigant used the</w:t>
      </w:r>
      <w:r w:rsidR="00FB6240">
        <w:t xml:space="preserve"> Cost-effectiveness Tool</w:t>
      </w:r>
      <w:r w:rsidR="00392F1E">
        <w:t xml:space="preserve"> (CET)</w:t>
      </w:r>
      <w:r w:rsidR="00FB6240">
        <w:t xml:space="preserve">, a </w:t>
      </w:r>
      <w:r w:rsidR="00EF16CC">
        <w:t xml:space="preserve">calculator </w:t>
      </w:r>
      <w:r w:rsidR="00392F1E">
        <w:t>commissioned by the CPUC</w:t>
      </w:r>
      <w:r w:rsidR="00EF16CC">
        <w:t xml:space="preserve">. </w:t>
      </w:r>
      <w:r w:rsidR="005438AB">
        <w:t xml:space="preserve">Post-processing of the CET calculator </w:t>
      </w:r>
      <w:r w:rsidR="00392F1E">
        <w:t xml:space="preserve">data </w:t>
      </w:r>
      <w:r w:rsidR="005438AB">
        <w:t>resulted in a dataset that displays total avoided costs for 2016-2046 by IOU, sector, end use category, and sub-end use category.</w:t>
      </w:r>
    </w:p>
    <w:p w14:paraId="4DE52727" w14:textId="77777777" w:rsidR="005438AB" w:rsidRDefault="005438AB" w:rsidP="008820EA"/>
    <w:p w14:paraId="6B1BEB8A" w14:textId="77777777" w:rsidR="00EF16CC" w:rsidRDefault="00392F1E" w:rsidP="008820EA">
      <w:r>
        <w:t>E</w:t>
      </w:r>
      <w:r w:rsidR="005438AB">
        <w:t xml:space="preserve">lectric avoided costs for the PG model </w:t>
      </w:r>
      <w:r>
        <w:t xml:space="preserve">are </w:t>
      </w:r>
      <w:r w:rsidR="005438AB">
        <w:t>the sum of the avoided costs of generation, transmission and distribution (T&amp;D), and carbon</w:t>
      </w:r>
      <w:r>
        <w:t xml:space="preserve"> from the CET</w:t>
      </w:r>
      <w:r w:rsidR="005438AB">
        <w:t>.</w:t>
      </w:r>
      <w:r>
        <w:t xml:space="preserve"> Carbon in the CET is expressed a Tons/</w:t>
      </w:r>
      <w:r w:rsidR="00754BA6">
        <w:t>k</w:t>
      </w:r>
      <w:r>
        <w:t>Wh so Navigant needed to multiply this data by the cost of carbon.</w:t>
      </w:r>
      <w:r w:rsidR="005438AB">
        <w:t xml:space="preserve">  Gas avoided costs are the sum of the avoided costs of generation and T&amp;D</w:t>
      </w:r>
      <w:r>
        <w:t xml:space="preserve"> as reported by the CET. The CET embeds the cost of carbon in its valuation of gas “generation” avoided cost.  </w:t>
      </w:r>
    </w:p>
    <w:p w14:paraId="29280E50" w14:textId="77777777" w:rsidR="009004EF" w:rsidRDefault="009004EF" w:rsidP="008820EA"/>
    <w:p w14:paraId="00B9CC3D" w14:textId="77777777" w:rsidR="006B655B" w:rsidRDefault="002118E3" w:rsidP="008820EA">
      <w:r>
        <w:t>Using the original data obtained in the CET calculator, Navigant created a baseline projection of avoided costs</w:t>
      </w:r>
      <w:r w:rsidR="00392F1E">
        <w:t xml:space="preserve"> that is to be used for the cal</w:t>
      </w:r>
      <w:r w:rsidR="00490F81">
        <w:t>cula</w:t>
      </w:r>
      <w:r w:rsidR="00392F1E">
        <w:t>tion of the Total Resource Cost test</w:t>
      </w:r>
      <w:r>
        <w:t xml:space="preserve">.  </w:t>
      </w:r>
      <w:r w:rsidR="007B0459">
        <w:t>However,</w:t>
      </w:r>
      <w:r w:rsidR="00392F1E">
        <w:t xml:space="preserve"> in considering </w:t>
      </w:r>
      <w:r w:rsidR="006B655B">
        <w:t>the</w:t>
      </w:r>
      <w:r w:rsidR="00392F1E">
        <w:t xml:space="preserve"> modified TRC test the team needed to </w:t>
      </w:r>
      <w:r w:rsidR="005438AB">
        <w:t>update the cost per ton of carbon</w:t>
      </w:r>
      <w:r>
        <w:t xml:space="preserve">. </w:t>
      </w:r>
      <w:r w:rsidR="006B655B">
        <w:t xml:space="preserve">Two different GHG adders were used in this analysis. </w:t>
      </w:r>
    </w:p>
    <w:p w14:paraId="72DCE3F9" w14:textId="77777777" w:rsidR="006B655B" w:rsidRDefault="006B655B" w:rsidP="008820EA"/>
    <w:p w14:paraId="1F22C0EB" w14:textId="48C806D2" w:rsidR="002118E3" w:rsidRDefault="00392F1E" w:rsidP="008820EA">
      <w:r>
        <w:t>In</w:t>
      </w:r>
      <w:r w:rsidR="002118E3">
        <w:t xml:space="preserve"> April 2017, the CPUC </w:t>
      </w:r>
      <w:r>
        <w:t xml:space="preserve">issued a draft statement on an </w:t>
      </w:r>
      <w:r w:rsidRPr="00392F1E">
        <w:t>interim greenhouse gas adder</w:t>
      </w:r>
      <w:r>
        <w:t xml:space="preserve"> for consideration in alternate cost effectiveness tests.  This adder is an incremental </w:t>
      </w:r>
      <w:r w:rsidR="002118E3">
        <w:t xml:space="preserve">cost </w:t>
      </w:r>
      <w:r>
        <w:t xml:space="preserve">of carbon </w:t>
      </w:r>
      <w:r w:rsidR="002118E3">
        <w:t>forecast that projects the cost from $0 per ton beginning in 2017 to $250 per ton in 2030.</w:t>
      </w:r>
      <w:r w:rsidR="00490F81">
        <w:rPr>
          <w:rStyle w:val="FootnoteReference"/>
        </w:rPr>
        <w:footnoteReference w:id="44"/>
      </w:r>
      <w:r w:rsidR="002118E3">
        <w:t xml:space="preserve">  Navigant </w:t>
      </w:r>
      <w:r w:rsidR="006B655B">
        <w:t>refers to this data set as GHG Adder #2 in its scenario analysis as is the larger of the two adders. I</w:t>
      </w:r>
      <w:r w:rsidR="003822EF" w:rsidRPr="003822EF">
        <w:rPr>
          <w:rFonts w:cs="Arial"/>
          <w:snapToGrid w:val="0"/>
        </w:rPr>
        <w:t xml:space="preserve">n the comments to the staff proposed interim GHG adder, the joint IOUs proposed an alternative GHG adder curve based on the </w:t>
      </w:r>
      <w:r w:rsidR="005260A8">
        <w:rPr>
          <w:rFonts w:cs="Arial"/>
          <w:snapToGrid w:val="0"/>
        </w:rPr>
        <w:t xml:space="preserve">draft </w:t>
      </w:r>
      <w:r w:rsidR="003822EF" w:rsidRPr="003822EF">
        <w:rPr>
          <w:rFonts w:cs="Arial"/>
          <w:bCs/>
          <w:snapToGrid w:val="0"/>
        </w:rPr>
        <w:t>Allowance Price Containment Reserve</w:t>
      </w:r>
      <w:r w:rsidR="003822EF" w:rsidRPr="003822EF">
        <w:rPr>
          <w:rFonts w:cs="Arial"/>
          <w:snapToGrid w:val="0"/>
        </w:rPr>
        <w:t> (APCR)</w:t>
      </w:r>
      <w:r w:rsidR="003822EF">
        <w:rPr>
          <w:rStyle w:val="FootnoteReference"/>
          <w:rFonts w:cs="Arial"/>
          <w:snapToGrid w:val="0"/>
        </w:rPr>
        <w:footnoteReference w:id="45"/>
      </w:r>
      <w:r w:rsidR="003822EF" w:rsidRPr="003822EF">
        <w:rPr>
          <w:rFonts w:cs="Arial"/>
          <w:snapToGrid w:val="0"/>
        </w:rPr>
        <w:t xml:space="preserve">. This curve is an extrapolation of preliminary values released by the ARB during the development of the California Air Resources Board AB 32 Scoping Plan </w:t>
      </w:r>
      <w:r w:rsidR="003822EF" w:rsidRPr="003822EF">
        <w:rPr>
          <w:rFonts w:cs="Arial"/>
          <w:snapToGrid w:val="0"/>
        </w:rPr>
        <w:lastRenderedPageBreak/>
        <w:t xml:space="preserve">Update. </w:t>
      </w:r>
      <w:r w:rsidR="006B655B">
        <w:t xml:space="preserve">Navigant refers to this data set as GHG Adder #1 as is the lower of the two adders.  </w:t>
      </w:r>
      <w:r w:rsidR="006B655B" w:rsidRPr="006B655B">
        <w:t xml:space="preserve">Both adders are </w:t>
      </w:r>
      <w:r w:rsidR="006B655B">
        <w:t xml:space="preserve">detailed in </w:t>
      </w:r>
      <w:r w:rsidR="00665BA9" w:rsidRPr="006B655B">
        <w:fldChar w:fldCharType="begin"/>
      </w:r>
      <w:r w:rsidR="00665BA9" w:rsidRPr="006B655B">
        <w:instrText xml:space="preserve"> REF _Ref479690416 \h </w:instrText>
      </w:r>
      <w:r w:rsidR="006B655B">
        <w:instrText xml:space="preserve"> \* MERGEFORMAT </w:instrText>
      </w:r>
      <w:r w:rsidR="00665BA9" w:rsidRPr="006B655B">
        <w:fldChar w:fldCharType="separate"/>
      </w:r>
      <w:r w:rsidR="00C407F4">
        <w:t>Table 3</w:t>
      </w:r>
      <w:r w:rsidR="00C407F4">
        <w:noBreakHyphen/>
        <w:t>7</w:t>
      </w:r>
      <w:r w:rsidR="00665BA9" w:rsidRPr="006B655B">
        <w:fldChar w:fldCharType="end"/>
      </w:r>
      <w:r w:rsidR="00665BA9" w:rsidRPr="006B655B">
        <w:t>.</w:t>
      </w:r>
    </w:p>
    <w:p w14:paraId="134FC753" w14:textId="77777777" w:rsidR="002118E3" w:rsidRDefault="002118E3" w:rsidP="00757D2B">
      <w:pPr>
        <w:pStyle w:val="Caption"/>
      </w:pPr>
      <w:bookmarkStart w:id="414" w:name="_Ref479690416"/>
      <w:bookmarkStart w:id="415" w:name="_Toc482634215"/>
      <w:bookmarkStart w:id="416" w:name="_Toc484436954"/>
      <w:bookmarkStart w:id="417" w:name="_Toc485125665"/>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7</w:t>
      </w:r>
      <w:r w:rsidR="00272F76">
        <w:rPr>
          <w:noProof/>
        </w:rPr>
        <w:fldChar w:fldCharType="end"/>
      </w:r>
      <w:bookmarkEnd w:id="414"/>
      <w:r>
        <w:t>.  Costs of Carbon, 2016-2046</w:t>
      </w:r>
      <w:r>
        <w:rPr>
          <w:rStyle w:val="FootnoteReference"/>
        </w:rPr>
        <w:footnoteReference w:id="46"/>
      </w:r>
      <w:bookmarkEnd w:id="415"/>
      <w:bookmarkEnd w:id="416"/>
      <w:bookmarkEnd w:id="417"/>
    </w:p>
    <w:tbl>
      <w:tblPr>
        <w:tblStyle w:val="EnergyTable1"/>
        <w:tblW w:w="0" w:type="auto"/>
        <w:tblLook w:val="04A0" w:firstRow="1" w:lastRow="0" w:firstColumn="1" w:lastColumn="0" w:noHBand="0" w:noVBand="1"/>
      </w:tblPr>
      <w:tblGrid>
        <w:gridCol w:w="627"/>
        <w:gridCol w:w="1825"/>
        <w:gridCol w:w="1490"/>
        <w:gridCol w:w="1839"/>
        <w:gridCol w:w="1660"/>
        <w:gridCol w:w="1660"/>
      </w:tblGrid>
      <w:tr w:rsidR="00C56434" w:rsidRPr="00957936" w14:paraId="2497AE5B" w14:textId="77777777" w:rsidTr="00A330A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27" w:type="dxa"/>
          </w:tcPr>
          <w:p w14:paraId="769E675B"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Year</w:t>
            </w:r>
          </w:p>
        </w:tc>
        <w:tc>
          <w:tcPr>
            <w:tcW w:w="1825" w:type="dxa"/>
          </w:tcPr>
          <w:p w14:paraId="35F014B5" w14:textId="77777777" w:rsidR="00C56434" w:rsidRPr="00957936" w:rsidRDefault="00C56434" w:rsidP="00C564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Baseline Carbon Cost (nominal $/ton)</w:t>
            </w:r>
          </w:p>
        </w:tc>
        <w:tc>
          <w:tcPr>
            <w:tcW w:w="1490" w:type="dxa"/>
          </w:tcPr>
          <w:p w14:paraId="565726F7" w14:textId="77777777" w:rsidR="00C56434" w:rsidRPr="00957936" w:rsidRDefault="00C56434" w:rsidP="00C564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GHG Adder</w:t>
            </w:r>
            <w:r>
              <w:rPr>
                <w:rFonts w:ascii="Arial Narrow" w:hAnsi="Arial Narrow"/>
                <w:sz w:val="18"/>
                <w:szCs w:val="18"/>
              </w:rPr>
              <w:t xml:space="preserve"> #1</w:t>
            </w:r>
            <w:r w:rsidRPr="00957936">
              <w:rPr>
                <w:rFonts w:ascii="Arial Narrow" w:hAnsi="Arial Narrow"/>
                <w:sz w:val="18"/>
                <w:szCs w:val="18"/>
              </w:rPr>
              <w:t xml:space="preserve"> (real 2016 $/ton)</w:t>
            </w:r>
          </w:p>
        </w:tc>
        <w:tc>
          <w:tcPr>
            <w:tcW w:w="1839" w:type="dxa"/>
          </w:tcPr>
          <w:p w14:paraId="687EA8F2" w14:textId="77777777" w:rsidR="00C56434" w:rsidRPr="00957936" w:rsidRDefault="00C56434" w:rsidP="00C564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Carbon Cost #1</w:t>
            </w:r>
            <w:r w:rsidRPr="00957936">
              <w:rPr>
                <w:rFonts w:ascii="Arial Narrow" w:hAnsi="Arial Narrow"/>
                <w:sz w:val="18"/>
                <w:szCs w:val="18"/>
              </w:rPr>
              <w:t xml:space="preserve"> (Baseline + </w:t>
            </w:r>
            <w:r>
              <w:rPr>
                <w:rFonts w:ascii="Arial Narrow" w:hAnsi="Arial Narrow"/>
                <w:sz w:val="18"/>
                <w:szCs w:val="18"/>
              </w:rPr>
              <w:t>Adder #1</w:t>
            </w:r>
            <w:r w:rsidRPr="00957936">
              <w:rPr>
                <w:rFonts w:ascii="Arial Narrow" w:hAnsi="Arial Narrow"/>
                <w:sz w:val="18"/>
                <w:szCs w:val="18"/>
              </w:rPr>
              <w:t>) (nominal $/ton)</w:t>
            </w:r>
          </w:p>
        </w:tc>
        <w:tc>
          <w:tcPr>
            <w:tcW w:w="1660" w:type="dxa"/>
          </w:tcPr>
          <w:p w14:paraId="5E24363C" w14:textId="77777777" w:rsidR="00C56434" w:rsidRPr="00957936" w:rsidRDefault="00C56434" w:rsidP="00C564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GHG Adder</w:t>
            </w:r>
            <w:r>
              <w:rPr>
                <w:rFonts w:ascii="Arial Narrow" w:hAnsi="Arial Narrow"/>
                <w:sz w:val="18"/>
                <w:szCs w:val="18"/>
              </w:rPr>
              <w:t xml:space="preserve"> #2</w:t>
            </w:r>
            <w:r w:rsidRPr="00957936">
              <w:rPr>
                <w:rFonts w:ascii="Arial Narrow" w:hAnsi="Arial Narrow"/>
                <w:sz w:val="18"/>
                <w:szCs w:val="18"/>
              </w:rPr>
              <w:t xml:space="preserve"> (real 2016 $/ton)</w:t>
            </w:r>
          </w:p>
        </w:tc>
        <w:tc>
          <w:tcPr>
            <w:tcW w:w="1660" w:type="dxa"/>
          </w:tcPr>
          <w:p w14:paraId="2E419256" w14:textId="77777777" w:rsidR="00C56434" w:rsidRDefault="00C56434" w:rsidP="00C564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Carbon Cost #2</w:t>
            </w:r>
            <w:r w:rsidRPr="00957936">
              <w:rPr>
                <w:rFonts w:ascii="Arial Narrow" w:hAnsi="Arial Narrow"/>
                <w:sz w:val="18"/>
                <w:szCs w:val="18"/>
              </w:rPr>
              <w:t xml:space="preserve"> (Baseline + </w:t>
            </w:r>
            <w:r>
              <w:rPr>
                <w:rFonts w:ascii="Arial Narrow" w:hAnsi="Arial Narrow"/>
                <w:sz w:val="18"/>
                <w:szCs w:val="18"/>
              </w:rPr>
              <w:t>Adder #2</w:t>
            </w:r>
            <w:r w:rsidRPr="00957936">
              <w:rPr>
                <w:rFonts w:ascii="Arial Narrow" w:hAnsi="Arial Narrow"/>
                <w:sz w:val="18"/>
                <w:szCs w:val="18"/>
              </w:rPr>
              <w:t>) (nominal $/ton)</w:t>
            </w:r>
          </w:p>
        </w:tc>
      </w:tr>
      <w:tr w:rsidR="00C56434" w:rsidRPr="00957936" w14:paraId="44675E44" w14:textId="77777777" w:rsidTr="00A330A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6A08ACFA"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2016</w:t>
            </w:r>
          </w:p>
        </w:tc>
        <w:tc>
          <w:tcPr>
            <w:tcW w:w="1825" w:type="dxa"/>
          </w:tcPr>
          <w:p w14:paraId="69E0DD7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$12</w:t>
            </w:r>
          </w:p>
        </w:tc>
        <w:tc>
          <w:tcPr>
            <w:tcW w:w="1490" w:type="dxa"/>
            <w:vAlign w:val="top"/>
          </w:tcPr>
          <w:p w14:paraId="729C2418"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$47 </w:t>
            </w:r>
          </w:p>
        </w:tc>
        <w:tc>
          <w:tcPr>
            <w:tcW w:w="1839" w:type="dxa"/>
            <w:vAlign w:val="top"/>
          </w:tcPr>
          <w:p w14:paraId="6B21AA12"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$59 </w:t>
            </w:r>
          </w:p>
        </w:tc>
        <w:tc>
          <w:tcPr>
            <w:tcW w:w="1660" w:type="dxa"/>
          </w:tcPr>
          <w:p w14:paraId="05867066"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$0</w:t>
            </w:r>
          </w:p>
        </w:tc>
        <w:tc>
          <w:tcPr>
            <w:tcW w:w="1660" w:type="dxa"/>
          </w:tcPr>
          <w:p w14:paraId="1192B646"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$12</w:t>
            </w:r>
          </w:p>
        </w:tc>
      </w:tr>
      <w:tr w:rsidR="00C56434" w:rsidRPr="00957936" w14:paraId="0F50B7AD"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4C983171"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2017</w:t>
            </w:r>
          </w:p>
        </w:tc>
        <w:tc>
          <w:tcPr>
            <w:tcW w:w="1825" w:type="dxa"/>
          </w:tcPr>
          <w:p w14:paraId="05AD949F"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$13</w:t>
            </w:r>
          </w:p>
        </w:tc>
        <w:tc>
          <w:tcPr>
            <w:tcW w:w="1490" w:type="dxa"/>
            <w:vAlign w:val="top"/>
          </w:tcPr>
          <w:p w14:paraId="6F2B3FB2"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$50 </w:t>
            </w:r>
          </w:p>
        </w:tc>
        <w:tc>
          <w:tcPr>
            <w:tcW w:w="1839" w:type="dxa"/>
            <w:vAlign w:val="top"/>
          </w:tcPr>
          <w:p w14:paraId="693788BF"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$63 </w:t>
            </w:r>
          </w:p>
        </w:tc>
        <w:tc>
          <w:tcPr>
            <w:tcW w:w="1660" w:type="dxa"/>
          </w:tcPr>
          <w:p w14:paraId="1285F59C"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$0</w:t>
            </w:r>
          </w:p>
        </w:tc>
        <w:tc>
          <w:tcPr>
            <w:tcW w:w="1660" w:type="dxa"/>
          </w:tcPr>
          <w:p w14:paraId="382C1C91"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$13</w:t>
            </w:r>
          </w:p>
        </w:tc>
      </w:tr>
      <w:tr w:rsidR="00C56434" w:rsidRPr="00957936" w14:paraId="53BEFF4F"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26A328E3"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2018</w:t>
            </w:r>
          </w:p>
        </w:tc>
        <w:tc>
          <w:tcPr>
            <w:tcW w:w="1825" w:type="dxa"/>
          </w:tcPr>
          <w:p w14:paraId="5C64596A"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$14</w:t>
            </w:r>
          </w:p>
        </w:tc>
        <w:tc>
          <w:tcPr>
            <w:tcW w:w="1490" w:type="dxa"/>
            <w:vAlign w:val="top"/>
          </w:tcPr>
          <w:p w14:paraId="10C7264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$55 </w:t>
            </w:r>
          </w:p>
        </w:tc>
        <w:tc>
          <w:tcPr>
            <w:tcW w:w="1839" w:type="dxa"/>
            <w:vAlign w:val="top"/>
          </w:tcPr>
          <w:p w14:paraId="431350EC"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$69 </w:t>
            </w:r>
          </w:p>
        </w:tc>
        <w:tc>
          <w:tcPr>
            <w:tcW w:w="1660" w:type="dxa"/>
          </w:tcPr>
          <w:p w14:paraId="5714483F"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$19</w:t>
            </w:r>
          </w:p>
        </w:tc>
        <w:tc>
          <w:tcPr>
            <w:tcW w:w="1660" w:type="dxa"/>
          </w:tcPr>
          <w:p w14:paraId="402482E9"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$34</w:t>
            </w:r>
          </w:p>
        </w:tc>
      </w:tr>
      <w:tr w:rsidR="00C56434" w:rsidRPr="00957936" w14:paraId="7CCFBFBA" w14:textId="77777777" w:rsidTr="00A330A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61554B4B"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2019</w:t>
            </w:r>
          </w:p>
        </w:tc>
        <w:tc>
          <w:tcPr>
            <w:tcW w:w="1825" w:type="dxa"/>
          </w:tcPr>
          <w:p w14:paraId="20367508"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$15</w:t>
            </w:r>
          </w:p>
        </w:tc>
        <w:tc>
          <w:tcPr>
            <w:tcW w:w="1490" w:type="dxa"/>
            <w:vAlign w:val="top"/>
          </w:tcPr>
          <w:p w14:paraId="64348640"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$59 </w:t>
            </w:r>
          </w:p>
        </w:tc>
        <w:tc>
          <w:tcPr>
            <w:tcW w:w="1839" w:type="dxa"/>
            <w:vAlign w:val="top"/>
          </w:tcPr>
          <w:p w14:paraId="4E0F36FE"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$74 </w:t>
            </w:r>
          </w:p>
        </w:tc>
        <w:tc>
          <w:tcPr>
            <w:tcW w:w="1660" w:type="dxa"/>
          </w:tcPr>
          <w:p w14:paraId="38BD7DC6"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$38</w:t>
            </w:r>
          </w:p>
        </w:tc>
        <w:tc>
          <w:tcPr>
            <w:tcW w:w="1660" w:type="dxa"/>
          </w:tcPr>
          <w:p w14:paraId="588EE40E"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$56</w:t>
            </w:r>
          </w:p>
        </w:tc>
      </w:tr>
      <w:tr w:rsidR="00C56434" w:rsidRPr="00957936" w14:paraId="00A95958"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48FB502F"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2020</w:t>
            </w:r>
          </w:p>
        </w:tc>
        <w:tc>
          <w:tcPr>
            <w:tcW w:w="1825" w:type="dxa"/>
          </w:tcPr>
          <w:p w14:paraId="6C40009A"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w:t>
            </w:r>
          </w:p>
        </w:tc>
        <w:tc>
          <w:tcPr>
            <w:tcW w:w="1490" w:type="dxa"/>
            <w:vAlign w:val="top"/>
          </w:tcPr>
          <w:p w14:paraId="6E63F28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$55 </w:t>
            </w:r>
          </w:p>
        </w:tc>
        <w:tc>
          <w:tcPr>
            <w:tcW w:w="1839" w:type="dxa"/>
            <w:vAlign w:val="top"/>
          </w:tcPr>
          <w:p w14:paraId="0B5B21B2"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$80 </w:t>
            </w:r>
          </w:p>
        </w:tc>
        <w:tc>
          <w:tcPr>
            <w:tcW w:w="1660" w:type="dxa"/>
          </w:tcPr>
          <w:p w14:paraId="4228739E"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$58</w:t>
            </w:r>
          </w:p>
        </w:tc>
        <w:tc>
          <w:tcPr>
            <w:tcW w:w="1660" w:type="dxa"/>
          </w:tcPr>
          <w:p w14:paraId="24E858F4"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$87</w:t>
            </w:r>
          </w:p>
        </w:tc>
      </w:tr>
      <w:tr w:rsidR="00C56434" w:rsidRPr="00957936" w14:paraId="5BA33412"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7BD52A21"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2021</w:t>
            </w:r>
          </w:p>
        </w:tc>
        <w:tc>
          <w:tcPr>
            <w:tcW w:w="1825" w:type="dxa"/>
          </w:tcPr>
          <w:p w14:paraId="3BBE37CA"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$27</w:t>
            </w:r>
          </w:p>
        </w:tc>
        <w:tc>
          <w:tcPr>
            <w:tcW w:w="1490" w:type="dxa"/>
            <w:vAlign w:val="top"/>
          </w:tcPr>
          <w:p w14:paraId="0B6F12E2"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$59 </w:t>
            </w:r>
          </w:p>
        </w:tc>
        <w:tc>
          <w:tcPr>
            <w:tcW w:w="1839" w:type="dxa"/>
            <w:vAlign w:val="top"/>
          </w:tcPr>
          <w:p w14:paraId="3F341B0E"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$86 </w:t>
            </w:r>
          </w:p>
        </w:tc>
        <w:tc>
          <w:tcPr>
            <w:tcW w:w="1660" w:type="dxa"/>
          </w:tcPr>
          <w:p w14:paraId="4CFEAF58"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$77</w:t>
            </w:r>
          </w:p>
        </w:tc>
        <w:tc>
          <w:tcPr>
            <w:tcW w:w="1660" w:type="dxa"/>
          </w:tcPr>
          <w:p w14:paraId="619992D7"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$112</w:t>
            </w:r>
          </w:p>
        </w:tc>
      </w:tr>
      <w:tr w:rsidR="00C56434" w:rsidRPr="00957936" w14:paraId="5F4147FA" w14:textId="77777777" w:rsidTr="00A330A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1F117AF2"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2022</w:t>
            </w:r>
          </w:p>
        </w:tc>
        <w:tc>
          <w:tcPr>
            <w:tcW w:w="1825" w:type="dxa"/>
          </w:tcPr>
          <w:p w14:paraId="7CA658AC"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$29</w:t>
            </w:r>
          </w:p>
        </w:tc>
        <w:tc>
          <w:tcPr>
            <w:tcW w:w="1490" w:type="dxa"/>
            <w:vAlign w:val="top"/>
          </w:tcPr>
          <w:p w14:paraId="14A4B89F"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$60 </w:t>
            </w:r>
          </w:p>
        </w:tc>
        <w:tc>
          <w:tcPr>
            <w:tcW w:w="1839" w:type="dxa"/>
            <w:vAlign w:val="top"/>
          </w:tcPr>
          <w:p w14:paraId="0E4B623D"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$88 </w:t>
            </w:r>
          </w:p>
        </w:tc>
        <w:tc>
          <w:tcPr>
            <w:tcW w:w="1660" w:type="dxa"/>
          </w:tcPr>
          <w:p w14:paraId="7D0473A8"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$96</w:t>
            </w:r>
          </w:p>
        </w:tc>
        <w:tc>
          <w:tcPr>
            <w:tcW w:w="1660" w:type="dxa"/>
          </w:tcPr>
          <w:p w14:paraId="2ED5E865"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$137</w:t>
            </w:r>
          </w:p>
        </w:tc>
      </w:tr>
      <w:tr w:rsidR="00C56434" w:rsidRPr="00957936" w14:paraId="5741D706"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66732121"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2023</w:t>
            </w:r>
          </w:p>
        </w:tc>
        <w:tc>
          <w:tcPr>
            <w:tcW w:w="1825" w:type="dxa"/>
          </w:tcPr>
          <w:p w14:paraId="69CACAA0"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$31</w:t>
            </w:r>
          </w:p>
        </w:tc>
        <w:tc>
          <w:tcPr>
            <w:tcW w:w="1490" w:type="dxa"/>
            <w:vAlign w:val="top"/>
          </w:tcPr>
          <w:p w14:paraId="23CC3B96"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$61 </w:t>
            </w:r>
          </w:p>
        </w:tc>
        <w:tc>
          <w:tcPr>
            <w:tcW w:w="1839" w:type="dxa"/>
            <w:vAlign w:val="top"/>
          </w:tcPr>
          <w:p w14:paraId="6D16ACB3"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$91 </w:t>
            </w:r>
          </w:p>
        </w:tc>
        <w:tc>
          <w:tcPr>
            <w:tcW w:w="1660" w:type="dxa"/>
          </w:tcPr>
          <w:p w14:paraId="19EC4C9C"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$115</w:t>
            </w:r>
          </w:p>
        </w:tc>
        <w:tc>
          <w:tcPr>
            <w:tcW w:w="1660" w:type="dxa"/>
          </w:tcPr>
          <w:p w14:paraId="1943C0A2"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$163</w:t>
            </w:r>
          </w:p>
        </w:tc>
      </w:tr>
      <w:tr w:rsidR="00C56434" w:rsidRPr="00957936" w14:paraId="73B91447"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13E2E8A9"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2024</w:t>
            </w:r>
          </w:p>
        </w:tc>
        <w:tc>
          <w:tcPr>
            <w:tcW w:w="1825" w:type="dxa"/>
          </w:tcPr>
          <w:p w14:paraId="030448F4"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$33</w:t>
            </w:r>
          </w:p>
        </w:tc>
        <w:tc>
          <w:tcPr>
            <w:tcW w:w="1490" w:type="dxa"/>
            <w:vAlign w:val="top"/>
          </w:tcPr>
          <w:p w14:paraId="566F7CE6"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$61 </w:t>
            </w:r>
          </w:p>
        </w:tc>
        <w:tc>
          <w:tcPr>
            <w:tcW w:w="1839" w:type="dxa"/>
            <w:vAlign w:val="top"/>
          </w:tcPr>
          <w:p w14:paraId="0E176F9B"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$94 </w:t>
            </w:r>
          </w:p>
        </w:tc>
        <w:tc>
          <w:tcPr>
            <w:tcW w:w="1660" w:type="dxa"/>
          </w:tcPr>
          <w:p w14:paraId="342154F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$135</w:t>
            </w:r>
          </w:p>
        </w:tc>
        <w:tc>
          <w:tcPr>
            <w:tcW w:w="1660" w:type="dxa"/>
          </w:tcPr>
          <w:p w14:paraId="7DC46DE6"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$191</w:t>
            </w:r>
          </w:p>
        </w:tc>
      </w:tr>
      <w:tr w:rsidR="00C56434" w:rsidRPr="00957936" w14:paraId="6DBAEDEB" w14:textId="77777777" w:rsidTr="00A330A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1E4BCE39"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2025</w:t>
            </w:r>
          </w:p>
        </w:tc>
        <w:tc>
          <w:tcPr>
            <w:tcW w:w="1825" w:type="dxa"/>
          </w:tcPr>
          <w:p w14:paraId="5D331FDF"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$36</w:t>
            </w:r>
          </w:p>
        </w:tc>
        <w:tc>
          <w:tcPr>
            <w:tcW w:w="1490" w:type="dxa"/>
            <w:vAlign w:val="top"/>
          </w:tcPr>
          <w:p w14:paraId="0D5A8C93"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$62 </w:t>
            </w:r>
          </w:p>
        </w:tc>
        <w:tc>
          <w:tcPr>
            <w:tcW w:w="1839" w:type="dxa"/>
            <w:vAlign w:val="top"/>
          </w:tcPr>
          <w:p w14:paraId="65CF9FB8"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$97 </w:t>
            </w:r>
          </w:p>
        </w:tc>
        <w:tc>
          <w:tcPr>
            <w:tcW w:w="1660" w:type="dxa"/>
          </w:tcPr>
          <w:p w14:paraId="692F3826"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$154</w:t>
            </w:r>
          </w:p>
        </w:tc>
        <w:tc>
          <w:tcPr>
            <w:tcW w:w="1660" w:type="dxa"/>
          </w:tcPr>
          <w:p w14:paraId="5389EFA2"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$220</w:t>
            </w:r>
          </w:p>
        </w:tc>
      </w:tr>
      <w:tr w:rsidR="00C56434" w:rsidRPr="00957936" w14:paraId="71A909C0"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374648EE"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2026</w:t>
            </w:r>
          </w:p>
        </w:tc>
        <w:tc>
          <w:tcPr>
            <w:tcW w:w="1825" w:type="dxa"/>
          </w:tcPr>
          <w:p w14:paraId="1E68B658"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$38</w:t>
            </w:r>
          </w:p>
        </w:tc>
        <w:tc>
          <w:tcPr>
            <w:tcW w:w="1490" w:type="dxa"/>
            <w:vAlign w:val="top"/>
          </w:tcPr>
          <w:p w14:paraId="3228065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$62 </w:t>
            </w:r>
          </w:p>
        </w:tc>
        <w:tc>
          <w:tcPr>
            <w:tcW w:w="1839" w:type="dxa"/>
            <w:vAlign w:val="top"/>
          </w:tcPr>
          <w:p w14:paraId="44871BAE"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$100 </w:t>
            </w:r>
          </w:p>
        </w:tc>
        <w:tc>
          <w:tcPr>
            <w:tcW w:w="1660" w:type="dxa"/>
          </w:tcPr>
          <w:p w14:paraId="0E3DBC47"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$173</w:t>
            </w:r>
          </w:p>
        </w:tc>
        <w:tc>
          <w:tcPr>
            <w:tcW w:w="1660" w:type="dxa"/>
          </w:tcPr>
          <w:p w14:paraId="716CB001"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$249</w:t>
            </w:r>
          </w:p>
        </w:tc>
      </w:tr>
      <w:tr w:rsidR="00C56434" w:rsidRPr="00957936" w14:paraId="0B20AEEF"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7CE80075"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2027</w:t>
            </w:r>
          </w:p>
        </w:tc>
        <w:tc>
          <w:tcPr>
            <w:tcW w:w="1825" w:type="dxa"/>
          </w:tcPr>
          <w:p w14:paraId="6B66967E"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$41</w:t>
            </w:r>
          </w:p>
        </w:tc>
        <w:tc>
          <w:tcPr>
            <w:tcW w:w="1490" w:type="dxa"/>
            <w:vAlign w:val="top"/>
          </w:tcPr>
          <w:p w14:paraId="59A841B4"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$62 </w:t>
            </w:r>
          </w:p>
        </w:tc>
        <w:tc>
          <w:tcPr>
            <w:tcW w:w="1839" w:type="dxa"/>
            <w:vAlign w:val="top"/>
          </w:tcPr>
          <w:p w14:paraId="26ED7FD1"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$104 </w:t>
            </w:r>
          </w:p>
        </w:tc>
        <w:tc>
          <w:tcPr>
            <w:tcW w:w="1660" w:type="dxa"/>
          </w:tcPr>
          <w:p w14:paraId="004D3E36"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$192</w:t>
            </w:r>
          </w:p>
        </w:tc>
        <w:tc>
          <w:tcPr>
            <w:tcW w:w="1660" w:type="dxa"/>
          </w:tcPr>
          <w:p w14:paraId="2E584375"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$280</w:t>
            </w:r>
          </w:p>
        </w:tc>
      </w:tr>
      <w:tr w:rsidR="00C56434" w:rsidRPr="00957936" w14:paraId="18AD457E" w14:textId="77777777" w:rsidTr="00A330A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7FE3B700"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2028</w:t>
            </w:r>
          </w:p>
        </w:tc>
        <w:tc>
          <w:tcPr>
            <w:tcW w:w="1825" w:type="dxa"/>
          </w:tcPr>
          <w:p w14:paraId="5DF07355"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$45</w:t>
            </w:r>
          </w:p>
        </w:tc>
        <w:tc>
          <w:tcPr>
            <w:tcW w:w="1490" w:type="dxa"/>
            <w:vAlign w:val="top"/>
          </w:tcPr>
          <w:p w14:paraId="6C85794A"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$63 </w:t>
            </w:r>
          </w:p>
        </w:tc>
        <w:tc>
          <w:tcPr>
            <w:tcW w:w="1839" w:type="dxa"/>
            <w:vAlign w:val="top"/>
          </w:tcPr>
          <w:p w14:paraId="578AFDEC"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$107 </w:t>
            </w:r>
          </w:p>
        </w:tc>
        <w:tc>
          <w:tcPr>
            <w:tcW w:w="1660" w:type="dxa"/>
          </w:tcPr>
          <w:p w14:paraId="0A3C3243"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$212</w:t>
            </w:r>
          </w:p>
        </w:tc>
        <w:tc>
          <w:tcPr>
            <w:tcW w:w="1660" w:type="dxa"/>
          </w:tcPr>
          <w:p w14:paraId="4260DA8E"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$313</w:t>
            </w:r>
          </w:p>
        </w:tc>
      </w:tr>
      <w:tr w:rsidR="00C56434" w:rsidRPr="00957936" w14:paraId="059BA50F"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4A4FA653"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2029</w:t>
            </w:r>
          </w:p>
        </w:tc>
        <w:tc>
          <w:tcPr>
            <w:tcW w:w="1825" w:type="dxa"/>
          </w:tcPr>
          <w:p w14:paraId="6CAC96CA"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$48</w:t>
            </w:r>
          </w:p>
        </w:tc>
        <w:tc>
          <w:tcPr>
            <w:tcW w:w="1490" w:type="dxa"/>
            <w:vAlign w:val="top"/>
          </w:tcPr>
          <w:p w14:paraId="3421BF04"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$63 </w:t>
            </w:r>
          </w:p>
        </w:tc>
        <w:tc>
          <w:tcPr>
            <w:tcW w:w="1839" w:type="dxa"/>
            <w:vAlign w:val="top"/>
          </w:tcPr>
          <w:p w14:paraId="0DA9CB35"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$111 </w:t>
            </w:r>
          </w:p>
        </w:tc>
        <w:tc>
          <w:tcPr>
            <w:tcW w:w="1660" w:type="dxa"/>
          </w:tcPr>
          <w:p w14:paraId="45E5600F"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$231</w:t>
            </w:r>
          </w:p>
        </w:tc>
        <w:tc>
          <w:tcPr>
            <w:tcW w:w="1660" w:type="dxa"/>
          </w:tcPr>
          <w:p w14:paraId="0BA2F4F2"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$347</w:t>
            </w:r>
          </w:p>
        </w:tc>
      </w:tr>
      <w:tr w:rsidR="00C56434" w:rsidRPr="00957936" w14:paraId="5D8DEBB0"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3F17EC51"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2030</w:t>
            </w:r>
          </w:p>
        </w:tc>
        <w:tc>
          <w:tcPr>
            <w:tcW w:w="1825" w:type="dxa"/>
          </w:tcPr>
          <w:p w14:paraId="13D1BE4A"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$52</w:t>
            </w:r>
          </w:p>
        </w:tc>
        <w:tc>
          <w:tcPr>
            <w:tcW w:w="1490" w:type="dxa"/>
            <w:vAlign w:val="top"/>
          </w:tcPr>
          <w:p w14:paraId="707DCEB5"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$63 </w:t>
            </w:r>
          </w:p>
        </w:tc>
        <w:tc>
          <w:tcPr>
            <w:tcW w:w="1839" w:type="dxa"/>
            <w:vAlign w:val="top"/>
          </w:tcPr>
          <w:p w14:paraId="256FEDF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$115 </w:t>
            </w:r>
          </w:p>
        </w:tc>
        <w:tc>
          <w:tcPr>
            <w:tcW w:w="1660" w:type="dxa"/>
          </w:tcPr>
          <w:p w14:paraId="5207F783"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16AF48F0"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$382</w:t>
            </w:r>
          </w:p>
        </w:tc>
      </w:tr>
      <w:tr w:rsidR="00C56434" w:rsidRPr="00957936" w14:paraId="480887BE" w14:textId="77777777" w:rsidTr="00A330A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2897AA3D"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2031</w:t>
            </w:r>
          </w:p>
        </w:tc>
        <w:tc>
          <w:tcPr>
            <w:tcW w:w="1825" w:type="dxa"/>
          </w:tcPr>
          <w:p w14:paraId="5D6A9DD5"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$55</w:t>
            </w:r>
          </w:p>
        </w:tc>
        <w:tc>
          <w:tcPr>
            <w:tcW w:w="1490" w:type="dxa"/>
            <w:vAlign w:val="top"/>
          </w:tcPr>
          <w:p w14:paraId="5E35CCA5"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$64 </w:t>
            </w:r>
          </w:p>
        </w:tc>
        <w:tc>
          <w:tcPr>
            <w:tcW w:w="1839" w:type="dxa"/>
            <w:vAlign w:val="top"/>
          </w:tcPr>
          <w:p w14:paraId="50F8AEBB"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$119 </w:t>
            </w:r>
          </w:p>
        </w:tc>
        <w:tc>
          <w:tcPr>
            <w:tcW w:w="1660" w:type="dxa"/>
          </w:tcPr>
          <w:p w14:paraId="6F541F23"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093B6E71"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$391</w:t>
            </w:r>
          </w:p>
        </w:tc>
      </w:tr>
      <w:tr w:rsidR="00C56434" w:rsidRPr="00957936" w14:paraId="1E7F0AC8"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0A4C61B0"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2032</w:t>
            </w:r>
          </w:p>
        </w:tc>
        <w:tc>
          <w:tcPr>
            <w:tcW w:w="1825" w:type="dxa"/>
          </w:tcPr>
          <w:p w14:paraId="2F4C525D"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$58</w:t>
            </w:r>
          </w:p>
        </w:tc>
        <w:tc>
          <w:tcPr>
            <w:tcW w:w="1490" w:type="dxa"/>
            <w:vAlign w:val="top"/>
          </w:tcPr>
          <w:p w14:paraId="1E0080D2"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$63 </w:t>
            </w:r>
          </w:p>
        </w:tc>
        <w:tc>
          <w:tcPr>
            <w:tcW w:w="1839" w:type="dxa"/>
            <w:vAlign w:val="top"/>
          </w:tcPr>
          <w:p w14:paraId="145AB343"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$121 </w:t>
            </w:r>
          </w:p>
        </w:tc>
        <w:tc>
          <w:tcPr>
            <w:tcW w:w="1660" w:type="dxa"/>
          </w:tcPr>
          <w:p w14:paraId="769BC2F0"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50927AD5"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$402</w:t>
            </w:r>
          </w:p>
        </w:tc>
      </w:tr>
      <w:tr w:rsidR="00C56434" w:rsidRPr="00957936" w14:paraId="7A5D3BD6"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0ACD667D"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2033</w:t>
            </w:r>
          </w:p>
        </w:tc>
        <w:tc>
          <w:tcPr>
            <w:tcW w:w="1825" w:type="dxa"/>
          </w:tcPr>
          <w:p w14:paraId="04E175FF"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$62</w:t>
            </w:r>
          </w:p>
        </w:tc>
        <w:tc>
          <w:tcPr>
            <w:tcW w:w="1490" w:type="dxa"/>
            <w:vAlign w:val="top"/>
          </w:tcPr>
          <w:p w14:paraId="58786E09"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$62 </w:t>
            </w:r>
          </w:p>
        </w:tc>
        <w:tc>
          <w:tcPr>
            <w:tcW w:w="1839" w:type="dxa"/>
            <w:vAlign w:val="top"/>
          </w:tcPr>
          <w:p w14:paraId="1F22242A"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$123 </w:t>
            </w:r>
          </w:p>
        </w:tc>
        <w:tc>
          <w:tcPr>
            <w:tcW w:w="1660" w:type="dxa"/>
          </w:tcPr>
          <w:p w14:paraId="7BD23160"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49BD3313"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$412</w:t>
            </w:r>
          </w:p>
        </w:tc>
      </w:tr>
      <w:tr w:rsidR="00C56434" w:rsidRPr="00957936" w14:paraId="2A31658B" w14:textId="77777777" w:rsidTr="00A330A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65CD7C12"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2034</w:t>
            </w:r>
          </w:p>
        </w:tc>
        <w:tc>
          <w:tcPr>
            <w:tcW w:w="1825" w:type="dxa"/>
          </w:tcPr>
          <w:p w14:paraId="171DBE25"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$65</w:t>
            </w:r>
          </w:p>
        </w:tc>
        <w:tc>
          <w:tcPr>
            <w:tcW w:w="1490" w:type="dxa"/>
            <w:vAlign w:val="top"/>
          </w:tcPr>
          <w:p w14:paraId="6B1451BA"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$61 </w:t>
            </w:r>
          </w:p>
        </w:tc>
        <w:tc>
          <w:tcPr>
            <w:tcW w:w="1839" w:type="dxa"/>
            <w:vAlign w:val="top"/>
          </w:tcPr>
          <w:p w14:paraId="059046EF"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$126 </w:t>
            </w:r>
          </w:p>
        </w:tc>
        <w:tc>
          <w:tcPr>
            <w:tcW w:w="1660" w:type="dxa"/>
          </w:tcPr>
          <w:p w14:paraId="0AFDE3C4"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49179EBC"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$422</w:t>
            </w:r>
          </w:p>
        </w:tc>
      </w:tr>
      <w:tr w:rsidR="00C56434" w:rsidRPr="00957936" w14:paraId="6F79680B"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441157C4"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2035</w:t>
            </w:r>
          </w:p>
        </w:tc>
        <w:tc>
          <w:tcPr>
            <w:tcW w:w="1825" w:type="dxa"/>
          </w:tcPr>
          <w:p w14:paraId="6860E4F9"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$68</w:t>
            </w:r>
          </w:p>
        </w:tc>
        <w:tc>
          <w:tcPr>
            <w:tcW w:w="1490" w:type="dxa"/>
            <w:vAlign w:val="top"/>
          </w:tcPr>
          <w:p w14:paraId="683D1E70"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$60 </w:t>
            </w:r>
          </w:p>
        </w:tc>
        <w:tc>
          <w:tcPr>
            <w:tcW w:w="1839" w:type="dxa"/>
            <w:vAlign w:val="top"/>
          </w:tcPr>
          <w:p w14:paraId="0BC5A3CE"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$128 </w:t>
            </w:r>
          </w:p>
        </w:tc>
        <w:tc>
          <w:tcPr>
            <w:tcW w:w="1660" w:type="dxa"/>
          </w:tcPr>
          <w:p w14:paraId="3829C5A4"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358FFA13"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$433</w:t>
            </w:r>
          </w:p>
        </w:tc>
      </w:tr>
      <w:tr w:rsidR="00C56434" w:rsidRPr="00957936" w14:paraId="47D1406D"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1F99503B"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2036</w:t>
            </w:r>
          </w:p>
        </w:tc>
        <w:tc>
          <w:tcPr>
            <w:tcW w:w="1825" w:type="dxa"/>
          </w:tcPr>
          <w:p w14:paraId="57A7A00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$72</w:t>
            </w:r>
          </w:p>
        </w:tc>
        <w:tc>
          <w:tcPr>
            <w:tcW w:w="1490" w:type="dxa"/>
            <w:vAlign w:val="top"/>
          </w:tcPr>
          <w:p w14:paraId="54B22585"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$59 </w:t>
            </w:r>
          </w:p>
        </w:tc>
        <w:tc>
          <w:tcPr>
            <w:tcW w:w="1839" w:type="dxa"/>
            <w:vAlign w:val="top"/>
          </w:tcPr>
          <w:p w14:paraId="5156536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$131 </w:t>
            </w:r>
          </w:p>
        </w:tc>
        <w:tc>
          <w:tcPr>
            <w:tcW w:w="1660" w:type="dxa"/>
          </w:tcPr>
          <w:p w14:paraId="77C997F0"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0BD6BB04"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$443</w:t>
            </w:r>
          </w:p>
        </w:tc>
      </w:tr>
      <w:tr w:rsidR="00C56434" w:rsidRPr="00957936" w14:paraId="7C451150" w14:textId="77777777" w:rsidTr="00A330A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41A16360"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2037</w:t>
            </w:r>
          </w:p>
        </w:tc>
        <w:tc>
          <w:tcPr>
            <w:tcW w:w="1825" w:type="dxa"/>
          </w:tcPr>
          <w:p w14:paraId="676E222E"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$75</w:t>
            </w:r>
          </w:p>
        </w:tc>
        <w:tc>
          <w:tcPr>
            <w:tcW w:w="1490" w:type="dxa"/>
            <w:vAlign w:val="top"/>
          </w:tcPr>
          <w:p w14:paraId="0722236B"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$58 </w:t>
            </w:r>
          </w:p>
        </w:tc>
        <w:tc>
          <w:tcPr>
            <w:tcW w:w="1839" w:type="dxa"/>
            <w:vAlign w:val="top"/>
          </w:tcPr>
          <w:p w14:paraId="43B57824"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$134 </w:t>
            </w:r>
          </w:p>
        </w:tc>
        <w:tc>
          <w:tcPr>
            <w:tcW w:w="1660" w:type="dxa"/>
          </w:tcPr>
          <w:p w14:paraId="23CEE6BB"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53764BC1"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$454</w:t>
            </w:r>
          </w:p>
        </w:tc>
      </w:tr>
      <w:tr w:rsidR="00C56434" w:rsidRPr="00957936" w14:paraId="083D87AB"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00B620FA"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2038</w:t>
            </w:r>
          </w:p>
        </w:tc>
        <w:tc>
          <w:tcPr>
            <w:tcW w:w="1825" w:type="dxa"/>
          </w:tcPr>
          <w:p w14:paraId="661BD47C"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$79</w:t>
            </w:r>
          </w:p>
        </w:tc>
        <w:tc>
          <w:tcPr>
            <w:tcW w:w="1490" w:type="dxa"/>
            <w:vAlign w:val="top"/>
          </w:tcPr>
          <w:p w14:paraId="54B385B1"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$58 </w:t>
            </w:r>
          </w:p>
        </w:tc>
        <w:tc>
          <w:tcPr>
            <w:tcW w:w="1839" w:type="dxa"/>
            <w:vAlign w:val="top"/>
          </w:tcPr>
          <w:p w14:paraId="061CCB25"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$136 </w:t>
            </w:r>
          </w:p>
        </w:tc>
        <w:tc>
          <w:tcPr>
            <w:tcW w:w="1660" w:type="dxa"/>
          </w:tcPr>
          <w:p w14:paraId="19A9F6E0"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2870BE34"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$465</w:t>
            </w:r>
          </w:p>
        </w:tc>
      </w:tr>
      <w:tr w:rsidR="00C56434" w:rsidRPr="00957936" w14:paraId="2686C3CF"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3B8A5621"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2039</w:t>
            </w:r>
          </w:p>
        </w:tc>
        <w:tc>
          <w:tcPr>
            <w:tcW w:w="1825" w:type="dxa"/>
          </w:tcPr>
          <w:p w14:paraId="451713DE"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$82</w:t>
            </w:r>
          </w:p>
        </w:tc>
        <w:tc>
          <w:tcPr>
            <w:tcW w:w="1490" w:type="dxa"/>
            <w:vAlign w:val="top"/>
          </w:tcPr>
          <w:p w14:paraId="21620A5C"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$57 </w:t>
            </w:r>
          </w:p>
        </w:tc>
        <w:tc>
          <w:tcPr>
            <w:tcW w:w="1839" w:type="dxa"/>
            <w:vAlign w:val="top"/>
          </w:tcPr>
          <w:p w14:paraId="493435AD"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$139 </w:t>
            </w:r>
          </w:p>
        </w:tc>
        <w:tc>
          <w:tcPr>
            <w:tcW w:w="1660" w:type="dxa"/>
          </w:tcPr>
          <w:p w14:paraId="72FC07E9"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49C85C39"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$476</w:t>
            </w:r>
          </w:p>
        </w:tc>
      </w:tr>
      <w:tr w:rsidR="00C56434" w:rsidRPr="00957936" w14:paraId="76F1A7F6" w14:textId="77777777" w:rsidTr="00A330A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1B12B285"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2040</w:t>
            </w:r>
          </w:p>
        </w:tc>
        <w:tc>
          <w:tcPr>
            <w:tcW w:w="1825" w:type="dxa"/>
          </w:tcPr>
          <w:p w14:paraId="37575562"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$85</w:t>
            </w:r>
          </w:p>
        </w:tc>
        <w:tc>
          <w:tcPr>
            <w:tcW w:w="1490" w:type="dxa"/>
            <w:vAlign w:val="top"/>
          </w:tcPr>
          <w:p w14:paraId="2C736BDE"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$56 </w:t>
            </w:r>
          </w:p>
        </w:tc>
        <w:tc>
          <w:tcPr>
            <w:tcW w:w="1839" w:type="dxa"/>
            <w:vAlign w:val="top"/>
          </w:tcPr>
          <w:p w14:paraId="62FDE043"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$142 </w:t>
            </w:r>
          </w:p>
        </w:tc>
        <w:tc>
          <w:tcPr>
            <w:tcW w:w="1660" w:type="dxa"/>
          </w:tcPr>
          <w:p w14:paraId="40916885"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25638BA9"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$487</w:t>
            </w:r>
          </w:p>
        </w:tc>
      </w:tr>
      <w:tr w:rsidR="00C56434" w:rsidRPr="00957936" w14:paraId="7D8BD0C3"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2FC572D7"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2041</w:t>
            </w:r>
          </w:p>
        </w:tc>
        <w:tc>
          <w:tcPr>
            <w:tcW w:w="1825" w:type="dxa"/>
          </w:tcPr>
          <w:p w14:paraId="44D3804A"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$89</w:t>
            </w:r>
          </w:p>
        </w:tc>
        <w:tc>
          <w:tcPr>
            <w:tcW w:w="1490" w:type="dxa"/>
            <w:vAlign w:val="top"/>
          </w:tcPr>
          <w:p w14:paraId="00ED7D17"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$56 </w:t>
            </w:r>
          </w:p>
        </w:tc>
        <w:tc>
          <w:tcPr>
            <w:tcW w:w="1839" w:type="dxa"/>
            <w:vAlign w:val="top"/>
          </w:tcPr>
          <w:p w14:paraId="31E4858B"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$145 </w:t>
            </w:r>
          </w:p>
        </w:tc>
        <w:tc>
          <w:tcPr>
            <w:tcW w:w="1660" w:type="dxa"/>
          </w:tcPr>
          <w:p w14:paraId="26E3E317"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0F8BB42D"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$499</w:t>
            </w:r>
          </w:p>
        </w:tc>
      </w:tr>
      <w:tr w:rsidR="00C56434" w:rsidRPr="00957936" w14:paraId="6A7CF822"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77D4CA0D"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2042</w:t>
            </w:r>
          </w:p>
        </w:tc>
        <w:tc>
          <w:tcPr>
            <w:tcW w:w="1825" w:type="dxa"/>
          </w:tcPr>
          <w:p w14:paraId="39584B09"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$92</w:t>
            </w:r>
          </w:p>
        </w:tc>
        <w:tc>
          <w:tcPr>
            <w:tcW w:w="1490" w:type="dxa"/>
            <w:vAlign w:val="top"/>
          </w:tcPr>
          <w:p w14:paraId="0B436AEB"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$55 </w:t>
            </w:r>
          </w:p>
        </w:tc>
        <w:tc>
          <w:tcPr>
            <w:tcW w:w="1839" w:type="dxa"/>
            <w:vAlign w:val="top"/>
          </w:tcPr>
          <w:p w14:paraId="34697A43"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$147 </w:t>
            </w:r>
          </w:p>
        </w:tc>
        <w:tc>
          <w:tcPr>
            <w:tcW w:w="1660" w:type="dxa"/>
          </w:tcPr>
          <w:p w14:paraId="4D841B5B"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601A42AE"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$510</w:t>
            </w:r>
          </w:p>
        </w:tc>
      </w:tr>
      <w:tr w:rsidR="00C56434" w:rsidRPr="00957936" w14:paraId="5563235F" w14:textId="77777777" w:rsidTr="00A330A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7" w:type="dxa"/>
          </w:tcPr>
          <w:p w14:paraId="574811E8"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2043</w:t>
            </w:r>
          </w:p>
        </w:tc>
        <w:tc>
          <w:tcPr>
            <w:tcW w:w="1825" w:type="dxa"/>
          </w:tcPr>
          <w:p w14:paraId="02E3DE28"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$96</w:t>
            </w:r>
          </w:p>
        </w:tc>
        <w:tc>
          <w:tcPr>
            <w:tcW w:w="1490" w:type="dxa"/>
            <w:vAlign w:val="top"/>
          </w:tcPr>
          <w:p w14:paraId="7ACE5515"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$55 </w:t>
            </w:r>
          </w:p>
        </w:tc>
        <w:tc>
          <w:tcPr>
            <w:tcW w:w="1839" w:type="dxa"/>
            <w:vAlign w:val="top"/>
          </w:tcPr>
          <w:p w14:paraId="58A2FB71"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$150 </w:t>
            </w:r>
          </w:p>
        </w:tc>
        <w:tc>
          <w:tcPr>
            <w:tcW w:w="1660" w:type="dxa"/>
          </w:tcPr>
          <w:p w14:paraId="7F9515B5"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156EC408"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$522</w:t>
            </w:r>
          </w:p>
        </w:tc>
      </w:tr>
      <w:tr w:rsidR="00C56434" w:rsidRPr="00957936" w14:paraId="0294640A"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5750E3C1"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2044</w:t>
            </w:r>
          </w:p>
        </w:tc>
        <w:tc>
          <w:tcPr>
            <w:tcW w:w="1825" w:type="dxa"/>
          </w:tcPr>
          <w:p w14:paraId="553E40B3"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$99</w:t>
            </w:r>
          </w:p>
        </w:tc>
        <w:tc>
          <w:tcPr>
            <w:tcW w:w="1490" w:type="dxa"/>
            <w:vAlign w:val="top"/>
          </w:tcPr>
          <w:p w14:paraId="5044E7D8"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$55 </w:t>
            </w:r>
          </w:p>
        </w:tc>
        <w:tc>
          <w:tcPr>
            <w:tcW w:w="1839" w:type="dxa"/>
            <w:vAlign w:val="top"/>
          </w:tcPr>
          <w:p w14:paraId="7E7F3AFB"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$153 </w:t>
            </w:r>
          </w:p>
        </w:tc>
        <w:tc>
          <w:tcPr>
            <w:tcW w:w="1660" w:type="dxa"/>
          </w:tcPr>
          <w:p w14:paraId="7206B680"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06944E81"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$534</w:t>
            </w:r>
          </w:p>
        </w:tc>
      </w:tr>
      <w:tr w:rsidR="00C56434" w:rsidRPr="00957936" w14:paraId="2F425FFB" w14:textId="77777777" w:rsidTr="00A330A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11CE7774"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2045</w:t>
            </w:r>
          </w:p>
        </w:tc>
        <w:tc>
          <w:tcPr>
            <w:tcW w:w="1825" w:type="dxa"/>
          </w:tcPr>
          <w:p w14:paraId="38C949E0"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$102</w:t>
            </w:r>
          </w:p>
        </w:tc>
        <w:tc>
          <w:tcPr>
            <w:tcW w:w="1490" w:type="dxa"/>
            <w:vAlign w:val="top"/>
          </w:tcPr>
          <w:p w14:paraId="1D23F1B7"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94EE2">
              <w:rPr>
                <w:rFonts w:ascii="Arial Narrow" w:hAnsi="Arial Narrow"/>
                <w:sz w:val="18"/>
              </w:rPr>
              <w:t xml:space="preserve">$54 </w:t>
            </w:r>
          </w:p>
        </w:tc>
        <w:tc>
          <w:tcPr>
            <w:tcW w:w="1839" w:type="dxa"/>
            <w:vAlign w:val="top"/>
          </w:tcPr>
          <w:p w14:paraId="06FCBD12"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$157 </w:t>
            </w:r>
          </w:p>
        </w:tc>
        <w:tc>
          <w:tcPr>
            <w:tcW w:w="1660" w:type="dxa"/>
          </w:tcPr>
          <w:p w14:paraId="28EE08DF" w14:textId="77777777" w:rsidR="00C56434" w:rsidRPr="00957936"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4ED728BB" w14:textId="77777777" w:rsidR="00C56434" w:rsidRDefault="00C56434" w:rsidP="00C56434">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$546</w:t>
            </w:r>
          </w:p>
        </w:tc>
      </w:tr>
      <w:tr w:rsidR="00C56434" w:rsidRPr="00957936" w14:paraId="530A8AA5" w14:textId="77777777" w:rsidTr="00A330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7" w:type="dxa"/>
          </w:tcPr>
          <w:p w14:paraId="2068F60E" w14:textId="77777777" w:rsidR="00C56434" w:rsidRPr="00957936" w:rsidRDefault="00C56434" w:rsidP="00C56434">
            <w:pPr>
              <w:rPr>
                <w:rFonts w:ascii="Arial Narrow" w:hAnsi="Arial Narrow"/>
                <w:sz w:val="18"/>
                <w:szCs w:val="18"/>
              </w:rPr>
            </w:pPr>
            <w:r w:rsidRPr="00957936">
              <w:rPr>
                <w:rFonts w:ascii="Arial Narrow" w:hAnsi="Arial Narrow"/>
                <w:sz w:val="18"/>
                <w:szCs w:val="18"/>
              </w:rPr>
              <w:t>2046</w:t>
            </w:r>
          </w:p>
        </w:tc>
        <w:tc>
          <w:tcPr>
            <w:tcW w:w="1825" w:type="dxa"/>
          </w:tcPr>
          <w:p w14:paraId="75B430B4"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$106</w:t>
            </w:r>
          </w:p>
        </w:tc>
        <w:tc>
          <w:tcPr>
            <w:tcW w:w="1490" w:type="dxa"/>
            <w:vAlign w:val="top"/>
          </w:tcPr>
          <w:p w14:paraId="1CBD5D62"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94EE2">
              <w:rPr>
                <w:rFonts w:ascii="Arial Narrow" w:hAnsi="Arial Narrow"/>
                <w:sz w:val="18"/>
              </w:rPr>
              <w:t xml:space="preserve">$54 </w:t>
            </w:r>
          </w:p>
        </w:tc>
        <w:tc>
          <w:tcPr>
            <w:tcW w:w="1839" w:type="dxa"/>
            <w:vAlign w:val="top"/>
          </w:tcPr>
          <w:p w14:paraId="27B432F9"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B655B">
              <w:rPr>
                <w:rFonts w:ascii="Arial Narrow" w:hAnsi="Arial Narrow"/>
                <w:sz w:val="18"/>
                <w:szCs w:val="18"/>
              </w:rPr>
              <w:t xml:space="preserve">$160 </w:t>
            </w:r>
          </w:p>
        </w:tc>
        <w:tc>
          <w:tcPr>
            <w:tcW w:w="1660" w:type="dxa"/>
          </w:tcPr>
          <w:p w14:paraId="4714410A" w14:textId="77777777" w:rsidR="00C56434" w:rsidRPr="00957936"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$250</w:t>
            </w:r>
          </w:p>
        </w:tc>
        <w:tc>
          <w:tcPr>
            <w:tcW w:w="1660" w:type="dxa"/>
          </w:tcPr>
          <w:p w14:paraId="6F0FFA84" w14:textId="77777777" w:rsidR="00C56434" w:rsidRDefault="00C56434" w:rsidP="00C564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$558</w:t>
            </w:r>
          </w:p>
        </w:tc>
      </w:tr>
    </w:tbl>
    <w:p w14:paraId="5675BCF9" w14:textId="77777777" w:rsidR="001326E6" w:rsidRPr="001326E6" w:rsidRDefault="001326E6" w:rsidP="001326E6">
      <w:pPr>
        <w:pStyle w:val="Heading2"/>
      </w:pPr>
      <w:bookmarkStart w:id="418" w:name="_Toc482357310"/>
      <w:bookmarkStart w:id="419" w:name="_Toc482634286"/>
      <w:bookmarkStart w:id="420" w:name="_Toc482626418"/>
      <w:bookmarkStart w:id="421" w:name="_Toc484092489"/>
      <w:bookmarkStart w:id="422" w:name="_Toc484172693"/>
      <w:bookmarkStart w:id="423" w:name="_Toc484183029"/>
      <w:bookmarkStart w:id="424" w:name="_Toc485126544"/>
      <w:r w:rsidRPr="001326E6">
        <w:lastRenderedPageBreak/>
        <w:t>Residential and Commercial Technology Characterization</w:t>
      </w:r>
      <w:bookmarkEnd w:id="418"/>
      <w:bookmarkEnd w:id="419"/>
      <w:bookmarkEnd w:id="420"/>
      <w:bookmarkEnd w:id="421"/>
      <w:bookmarkEnd w:id="422"/>
      <w:bookmarkEnd w:id="423"/>
      <w:bookmarkEnd w:id="424"/>
      <w:r w:rsidRPr="001326E6">
        <w:t xml:space="preserve"> </w:t>
      </w:r>
    </w:p>
    <w:p w14:paraId="7DDF7EE9" w14:textId="77777777" w:rsidR="001326E6" w:rsidRDefault="001326E6" w:rsidP="001326E6">
      <w:r w:rsidRPr="001326E6">
        <w:t xml:space="preserve">The technology characterization step in the potential study develops the essential inputs that are used in the </w:t>
      </w:r>
      <w:r w:rsidR="004271B9">
        <w:t>PG</w:t>
      </w:r>
      <w:r w:rsidRPr="001326E6">
        <w:t xml:space="preserve"> model to calculate potential. This section provides an overview of the technology selection process for residential and commercial sectors, describes the fields along which technologies are characterized, lists the data sources and describes how these sources are used for characterization, and directs the reader to the complete database of characterized technologies. </w:t>
      </w:r>
    </w:p>
    <w:p w14:paraId="0214A46A" w14:textId="77777777" w:rsidR="007405AA" w:rsidRDefault="007405AA" w:rsidP="001326E6"/>
    <w:p w14:paraId="6CF41C0B" w14:textId="77777777" w:rsidR="007405AA" w:rsidRPr="001326E6" w:rsidRDefault="007405AA" w:rsidP="001326E6">
      <w:r>
        <w:t xml:space="preserve">The 2018 study departs from the 2015 Study in terms of measure characterization. The 2015 study classified measures defined by a base technology upgrading to an efficient level technology (e.g. SEER 13 to SEER 15 and SEER 13 to SEER 18 are </w:t>
      </w:r>
      <w:r w:rsidRPr="007405AA">
        <w:rPr>
          <w:b/>
          <w:u w:val="single"/>
        </w:rPr>
        <w:t>two</w:t>
      </w:r>
      <w:r>
        <w:t xml:space="preserve"> different measures).  The 2018 study uses a technology-based characterization, which characterizes the individual technologies (e.</w:t>
      </w:r>
      <w:r w:rsidR="00754BA6">
        <w:t>g</w:t>
      </w:r>
      <w:r>
        <w:t xml:space="preserve">. SEER 13, 15 and 18 are </w:t>
      </w:r>
      <w:r w:rsidRPr="007405AA">
        <w:rPr>
          <w:b/>
          <w:u w:val="single"/>
        </w:rPr>
        <w:t>three</w:t>
      </w:r>
      <w:r>
        <w:t xml:space="preserve"> different technologies).  This new method allows the model to better track stock flow between technology levels (as discussed earlier in </w:t>
      </w:r>
      <w:r>
        <w:fldChar w:fldCharType="begin"/>
      </w:r>
      <w:r>
        <w:instrText xml:space="preserve"> REF _Ref477347831 \n \h </w:instrText>
      </w:r>
      <w:r>
        <w:fldChar w:fldCharType="separate"/>
      </w:r>
      <w:r w:rsidR="00C407F4">
        <w:t>2.1.1.2</w:t>
      </w:r>
      <w:r>
        <w:fldChar w:fldCharType="end"/>
      </w:r>
      <w:r>
        <w:t>.</w:t>
      </w:r>
    </w:p>
    <w:p w14:paraId="6BE4D246" w14:textId="77777777" w:rsidR="001326E6" w:rsidRPr="001326E6" w:rsidRDefault="001326E6" w:rsidP="00A330AB">
      <w:pPr>
        <w:pStyle w:val="Heading3"/>
      </w:pPr>
      <w:bookmarkStart w:id="425" w:name="_Toc485126545"/>
      <w:r w:rsidRPr="001326E6">
        <w:t>Technology Selection Process</w:t>
      </w:r>
      <w:bookmarkEnd w:id="425"/>
    </w:p>
    <w:p w14:paraId="4463B726" w14:textId="1BA906EB" w:rsidR="001326E6" w:rsidRPr="001326E6" w:rsidRDefault="001326E6" w:rsidP="001326E6">
      <w:r w:rsidRPr="001326E6">
        <w:t xml:space="preserve">The first step under technology characterization is to select and develop a list of representative technologies. The selection process is necessary to identify high impact technologies with significant savings opportunities across multiple end uses, referred to as “representative” technologies. As part of this, the Navigant team reviewed multiple databases and information sources and followed a systematic process for selection of the “representative” technologies, briefly described below, and represented in </w:t>
      </w:r>
      <w:r w:rsidR="00857F44" w:rsidRPr="003745E5">
        <w:fldChar w:fldCharType="begin"/>
      </w:r>
      <w:r w:rsidR="00857F44" w:rsidRPr="00857F44">
        <w:instrText xml:space="preserve"> REF _Ref481576126 \h </w:instrText>
      </w:r>
      <w:r w:rsidR="00857F44">
        <w:instrText xml:space="preserve"> \* MERGEFORMAT </w:instrText>
      </w:r>
      <w:r w:rsidR="00857F44" w:rsidRPr="003745E5">
        <w:fldChar w:fldCharType="separate"/>
      </w:r>
      <w:r w:rsidR="00C407F4" w:rsidRPr="000D7F55">
        <w:t xml:space="preserve">Figure </w:t>
      </w:r>
      <w:r w:rsidR="00C407F4">
        <w:t>3</w:t>
      </w:r>
      <w:r w:rsidR="00C407F4" w:rsidRPr="000D7F55">
        <w:noBreakHyphen/>
      </w:r>
      <w:r w:rsidR="00C407F4">
        <w:t>1</w:t>
      </w:r>
      <w:r w:rsidR="00857F44" w:rsidRPr="003745E5">
        <w:fldChar w:fldCharType="end"/>
      </w:r>
      <w:r w:rsidRPr="001326E6">
        <w:t xml:space="preserve"> below.</w:t>
      </w:r>
    </w:p>
    <w:p w14:paraId="4076000D" w14:textId="77777777" w:rsidR="001326E6" w:rsidRPr="001326E6" w:rsidRDefault="001326E6" w:rsidP="001326E6"/>
    <w:p w14:paraId="09ECC4FF" w14:textId="77777777" w:rsidR="001326E6" w:rsidRPr="001326E6" w:rsidRDefault="001326E6" w:rsidP="001326E6"/>
    <w:p w14:paraId="5B4E2F0B" w14:textId="77777777" w:rsidR="001326E6" w:rsidRPr="000D7F55" w:rsidRDefault="001326E6" w:rsidP="000D7F55">
      <w:pPr>
        <w:pStyle w:val="Caption"/>
      </w:pPr>
      <w:bookmarkStart w:id="426" w:name="_Ref481576126"/>
      <w:bookmarkStart w:id="427" w:name="_Toc482634247"/>
      <w:bookmarkStart w:id="428" w:name="_Toc482626455"/>
      <w:bookmarkStart w:id="429" w:name="_Toc484436999"/>
      <w:bookmarkStart w:id="430" w:name="_Toc485125509"/>
      <w:r w:rsidRPr="000D7F55">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rsidRPr="000D7F55">
        <w:noBreakHyphen/>
      </w:r>
      <w:r w:rsidR="00272F76">
        <w:fldChar w:fldCharType="begin"/>
      </w:r>
      <w:r w:rsidR="00272F76">
        <w:instrText xml:space="preserve"> SEQ Figure \* ARABIC \s 1 </w:instrText>
      </w:r>
      <w:r w:rsidR="00272F76">
        <w:fldChar w:fldCharType="separate"/>
      </w:r>
      <w:r w:rsidR="00C407F4">
        <w:rPr>
          <w:noProof/>
        </w:rPr>
        <w:t>1</w:t>
      </w:r>
      <w:r w:rsidR="00272F76">
        <w:rPr>
          <w:noProof/>
        </w:rPr>
        <w:fldChar w:fldCharType="end"/>
      </w:r>
      <w:bookmarkEnd w:id="426"/>
      <w:r w:rsidRPr="000D7F55">
        <w:t>. Res/Com Technology Selection Process</w:t>
      </w:r>
      <w:bookmarkEnd w:id="427"/>
      <w:bookmarkEnd w:id="428"/>
      <w:bookmarkEnd w:id="429"/>
      <w:bookmarkEnd w:id="430"/>
    </w:p>
    <w:p w14:paraId="616FB2FA" w14:textId="77777777" w:rsidR="001326E6" w:rsidRPr="001326E6" w:rsidRDefault="001326E6" w:rsidP="001326E6">
      <w:pPr>
        <w:jc w:val="center"/>
        <w:rPr>
          <w:highlight w:val="yellow"/>
        </w:rPr>
      </w:pPr>
      <w:r w:rsidRPr="001326E6">
        <w:rPr>
          <w:noProof/>
        </w:rPr>
        <w:drawing>
          <wp:inline distT="0" distB="0" distL="0" distR="0" wp14:anchorId="7FF95182" wp14:editId="1AB8F039">
            <wp:extent cx="5943600" cy="2370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70455"/>
                    </a:xfrm>
                    <a:prstGeom prst="rect">
                      <a:avLst/>
                    </a:prstGeom>
                  </pic:spPr>
                </pic:pic>
              </a:graphicData>
            </a:graphic>
          </wp:inline>
        </w:drawing>
      </w:r>
    </w:p>
    <w:p w14:paraId="153215F0" w14:textId="77777777" w:rsidR="001326E6" w:rsidRPr="001326E6" w:rsidRDefault="001326E6" w:rsidP="001326E6"/>
    <w:p w14:paraId="3D8047FE" w14:textId="05A61D04" w:rsidR="001326E6" w:rsidRDefault="001326E6" w:rsidP="001326E6">
      <w:r w:rsidRPr="001326E6">
        <w:t xml:space="preserve">As depicted in </w:t>
      </w:r>
      <w:r w:rsidR="00857F44" w:rsidRPr="003745E5">
        <w:fldChar w:fldCharType="begin"/>
      </w:r>
      <w:r w:rsidR="00857F44" w:rsidRPr="00857F44">
        <w:instrText xml:space="preserve"> REF _Ref481576126 \h </w:instrText>
      </w:r>
      <w:r w:rsidR="00857F44">
        <w:instrText xml:space="preserve"> \* MERGEFORMAT </w:instrText>
      </w:r>
      <w:r w:rsidR="00857F44" w:rsidRPr="003745E5">
        <w:fldChar w:fldCharType="separate"/>
      </w:r>
      <w:r w:rsidR="00C407F4" w:rsidRPr="000D7F55">
        <w:t xml:space="preserve">Figure </w:t>
      </w:r>
      <w:r w:rsidR="00C407F4">
        <w:t>3</w:t>
      </w:r>
      <w:r w:rsidR="00C407F4" w:rsidRPr="000D7F55">
        <w:noBreakHyphen/>
      </w:r>
      <w:r w:rsidR="00C407F4">
        <w:t>1</w:t>
      </w:r>
      <w:r w:rsidR="00857F44" w:rsidRPr="003745E5">
        <w:fldChar w:fldCharType="end"/>
      </w:r>
      <w:r w:rsidR="00857F44">
        <w:t xml:space="preserve">, </w:t>
      </w:r>
      <w:r w:rsidRPr="001326E6">
        <w:t xml:space="preserve">the technology selection process involved multiple steps to arrive at the list of selected technologies. It involved review and inclusion of technologies from the California IOUs recent program databases (2014 to Q1.2016) and approved utility workpapers, consideration of technologies that provide below-code savings opportunities not considered previously, review and consideration of emerging technologies, and inclusion of technologies from Navigant’s internal technology databases used for other utility studies. Navigant presented an initial list of compiled technologies for stakeholder review </w:t>
      </w:r>
      <w:r w:rsidRPr="001326E6">
        <w:lastRenderedPageBreak/>
        <w:t>and feedback</w:t>
      </w:r>
      <w:r w:rsidR="004271B9">
        <w:t xml:space="preserve"> (in August 2016)</w:t>
      </w:r>
      <w:r w:rsidRPr="001326E6">
        <w:t xml:space="preserve">, addressed stakeholder comments and developed a final list of selected technologies for characterization. </w:t>
      </w:r>
    </w:p>
    <w:p w14:paraId="7D56B0C3" w14:textId="77777777" w:rsidR="004271B9" w:rsidRPr="001326E6" w:rsidRDefault="004271B9" w:rsidP="001326E6"/>
    <w:p w14:paraId="01C832B6" w14:textId="194C6F9E" w:rsidR="001326E6" w:rsidRPr="001326E6" w:rsidRDefault="00857F44" w:rsidP="001326E6">
      <w:r w:rsidRPr="003745E5">
        <w:rPr>
          <w:highlight w:val="yellow"/>
        </w:rPr>
        <w:fldChar w:fldCharType="begin"/>
      </w:r>
      <w:r w:rsidRPr="00857F44">
        <w:rPr>
          <w:highlight w:val="yellow"/>
        </w:rPr>
        <w:instrText xml:space="preserve"> REF _Ref481576161 \h </w:instrText>
      </w:r>
      <w:r>
        <w:rPr>
          <w:highlight w:val="yellow"/>
        </w:rPr>
        <w:instrText xml:space="preserve"> \* MERGEFORMAT </w:instrText>
      </w:r>
      <w:r w:rsidRPr="003745E5">
        <w:rPr>
          <w:highlight w:val="yellow"/>
        </w:rPr>
      </w:r>
      <w:r w:rsidRPr="003745E5">
        <w:rPr>
          <w:highlight w:val="yellow"/>
        </w:rPr>
        <w:fldChar w:fldCharType="separate"/>
      </w:r>
      <w:r w:rsidR="00C407F4" w:rsidRPr="000D7F55">
        <w:t xml:space="preserve">Figure </w:t>
      </w:r>
      <w:r w:rsidR="00C407F4">
        <w:t>3</w:t>
      </w:r>
      <w:r w:rsidR="00C407F4" w:rsidRPr="000D7F55">
        <w:noBreakHyphen/>
      </w:r>
      <w:r w:rsidR="00C407F4">
        <w:t>2</w:t>
      </w:r>
      <w:r w:rsidRPr="003745E5">
        <w:rPr>
          <w:highlight w:val="yellow"/>
        </w:rPr>
        <w:fldChar w:fldCharType="end"/>
      </w:r>
      <w:r w:rsidR="001326E6" w:rsidRPr="001326E6">
        <w:t xml:space="preserve"> below presents additional details associated with these steps. </w:t>
      </w:r>
    </w:p>
    <w:p w14:paraId="784E2BFB" w14:textId="77777777" w:rsidR="001326E6" w:rsidRPr="001326E6" w:rsidRDefault="001326E6" w:rsidP="001326E6">
      <w:pPr>
        <w:keepNext/>
        <w:spacing w:after="120"/>
        <w:jc w:val="center"/>
        <w:rPr>
          <w:b/>
          <w:bCs/>
          <w:color w:val="3F4042"/>
          <w:szCs w:val="20"/>
        </w:rPr>
      </w:pPr>
    </w:p>
    <w:p w14:paraId="69FA4168" w14:textId="77777777" w:rsidR="001326E6" w:rsidRPr="000D7F55" w:rsidRDefault="001326E6" w:rsidP="000D7F55">
      <w:pPr>
        <w:pStyle w:val="Caption"/>
      </w:pPr>
      <w:bookmarkStart w:id="431" w:name="_Ref481576161"/>
      <w:bookmarkStart w:id="432" w:name="_Toc482634248"/>
      <w:bookmarkStart w:id="433" w:name="_Toc482626456"/>
      <w:bookmarkStart w:id="434" w:name="_Toc484437000"/>
      <w:bookmarkStart w:id="435" w:name="_Toc485125510"/>
      <w:r w:rsidRPr="000D7F55">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rsidRPr="000D7F55">
        <w:noBreakHyphen/>
      </w:r>
      <w:r w:rsidR="00272F76">
        <w:fldChar w:fldCharType="begin"/>
      </w:r>
      <w:r w:rsidR="00272F76">
        <w:instrText xml:space="preserve"> SEQ Figure \* ARABIC \s 1 </w:instrText>
      </w:r>
      <w:r w:rsidR="00272F76">
        <w:fldChar w:fldCharType="separate"/>
      </w:r>
      <w:r w:rsidR="00C407F4">
        <w:rPr>
          <w:noProof/>
        </w:rPr>
        <w:t>2</w:t>
      </w:r>
      <w:r w:rsidR="00272F76">
        <w:rPr>
          <w:noProof/>
        </w:rPr>
        <w:fldChar w:fldCharType="end"/>
      </w:r>
      <w:bookmarkEnd w:id="431"/>
      <w:r w:rsidRPr="000D7F55">
        <w:t>. Res/Com Technology List Development Process</w:t>
      </w:r>
      <w:bookmarkEnd w:id="432"/>
      <w:bookmarkEnd w:id="433"/>
      <w:bookmarkEnd w:id="434"/>
      <w:bookmarkEnd w:id="435"/>
    </w:p>
    <w:p w14:paraId="40AC220D" w14:textId="77777777" w:rsidR="001326E6" w:rsidRPr="001326E6" w:rsidRDefault="001326E6" w:rsidP="001326E6">
      <w:r w:rsidRPr="001326E6">
        <w:rPr>
          <w:noProof/>
          <w:lang w:eastAsia="zh-CN"/>
        </w:rPr>
        <w:t xml:space="preserve"> </w:t>
      </w:r>
      <w:r w:rsidR="00D12F86">
        <w:rPr>
          <w:noProof/>
        </w:rPr>
        <w:drawing>
          <wp:inline distT="0" distB="0" distL="0" distR="0" wp14:anchorId="43E48842" wp14:editId="314C25BE">
            <wp:extent cx="5943600" cy="2388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388870"/>
                    </a:xfrm>
                    <a:prstGeom prst="rect">
                      <a:avLst/>
                    </a:prstGeom>
                  </pic:spPr>
                </pic:pic>
              </a:graphicData>
            </a:graphic>
          </wp:inline>
        </w:drawing>
      </w:r>
      <w:r w:rsidRPr="001326E6">
        <w:rPr>
          <w:noProof/>
          <w:lang w:eastAsia="zh-CN"/>
        </w:rPr>
        <w:t xml:space="preserve"> </w:t>
      </w:r>
    </w:p>
    <w:p w14:paraId="26A31C73" w14:textId="77777777" w:rsidR="001326E6" w:rsidRPr="001326E6" w:rsidRDefault="001326E6" w:rsidP="001326E6"/>
    <w:p w14:paraId="5A872571" w14:textId="77777777" w:rsidR="001326E6" w:rsidRPr="001326E6" w:rsidRDefault="001326E6" w:rsidP="001326E6"/>
    <w:p w14:paraId="0DB44CB3" w14:textId="22140CC9" w:rsidR="001326E6" w:rsidRPr="001326E6" w:rsidRDefault="001326E6" w:rsidP="001326E6">
      <w:r w:rsidRPr="001326E6">
        <w:t xml:space="preserve">The first step in the technology selection process included a review of multiple information/data sources, described earlier, to develop a comprehensive and universal list of technology groups for consideration in the study (referred to as the “Full” list in </w:t>
      </w:r>
      <w:r w:rsidR="00857F44" w:rsidRPr="003745E5">
        <w:fldChar w:fldCharType="begin"/>
      </w:r>
      <w:r w:rsidR="00857F44" w:rsidRPr="00857F44">
        <w:instrText xml:space="preserve"> REF _Ref481576161 \h </w:instrText>
      </w:r>
      <w:r w:rsidR="00857F44">
        <w:instrText xml:space="preserve"> \* MERGEFORMAT </w:instrText>
      </w:r>
      <w:r w:rsidR="00857F44" w:rsidRPr="003745E5">
        <w:fldChar w:fldCharType="separate"/>
      </w:r>
      <w:r w:rsidR="00C407F4" w:rsidRPr="000D7F55">
        <w:t xml:space="preserve">Figure </w:t>
      </w:r>
      <w:r w:rsidR="00C407F4">
        <w:t>3</w:t>
      </w:r>
      <w:r w:rsidR="00C407F4" w:rsidRPr="000D7F55">
        <w:noBreakHyphen/>
      </w:r>
      <w:r w:rsidR="00C407F4">
        <w:t>2</w:t>
      </w:r>
      <w:r w:rsidR="00857F44" w:rsidRPr="003745E5">
        <w:fldChar w:fldCharType="end"/>
      </w:r>
      <w:r w:rsidRPr="001326E6">
        <w:t xml:space="preserve">). Note that a </w:t>
      </w:r>
      <w:r w:rsidRPr="001326E6">
        <w:rPr>
          <w:i/>
        </w:rPr>
        <w:t>“technology group”,</w:t>
      </w:r>
      <w:r w:rsidRPr="001326E6">
        <w:t xml:space="preserve"> defined and referred to earlier in Section 2.1 of the report, includes multiple technologies with different efficiency levels that compete for stock replacement under a</w:t>
      </w:r>
      <w:r w:rsidR="00857F44">
        <w:t>n</w:t>
      </w:r>
      <w:r w:rsidRPr="001326E6">
        <w:t xml:space="preserve"> end</w:t>
      </w:r>
      <w:r w:rsidR="00857F44">
        <w:t xml:space="preserve"> </w:t>
      </w:r>
      <w:r w:rsidRPr="001326E6">
        <w:t>use. “Technology group” is also commonly referred to as “competition group”. For e.g., residential ACs with different efficiency levels (ranging from SEER 10 to SEER 21) are considered a single technology group termed “Residential Air Conditioners” under residential HVAC. The “full” list was developed based on a review of different sources, which primarily include available databases in EEstats</w:t>
      </w:r>
      <w:r w:rsidRPr="001326E6">
        <w:rPr>
          <w:vertAlign w:val="superscript"/>
        </w:rPr>
        <w:footnoteReference w:id="47"/>
      </w:r>
      <w:r w:rsidRPr="001326E6">
        <w:t>, program savings data from California IOUs</w:t>
      </w:r>
      <w:r w:rsidRPr="001326E6">
        <w:rPr>
          <w:vertAlign w:val="superscript"/>
        </w:rPr>
        <w:footnoteReference w:id="48"/>
      </w:r>
      <w:r w:rsidRPr="001326E6">
        <w:t xml:space="preserve">, utility work papers, emerging technology databases, and Navigant’s internal technology database of energy efficient technologies outside of this study. </w:t>
      </w:r>
    </w:p>
    <w:p w14:paraId="58EF310A" w14:textId="77777777" w:rsidR="001326E6" w:rsidRPr="001326E6" w:rsidRDefault="001326E6" w:rsidP="001326E6"/>
    <w:p w14:paraId="6B392772" w14:textId="0004DA65" w:rsidR="001326E6" w:rsidRPr="001326E6" w:rsidRDefault="001326E6" w:rsidP="001326E6">
      <w:r w:rsidRPr="001326E6">
        <w:t xml:space="preserve">The next step after developing the “full” list of technology groups was to parse it into two sets, a “selected” list and an “other reviewed” list, as depicted in </w:t>
      </w:r>
      <w:r w:rsidR="00857F44" w:rsidRPr="003745E5">
        <w:fldChar w:fldCharType="begin"/>
      </w:r>
      <w:r w:rsidR="00857F44" w:rsidRPr="00857F44">
        <w:instrText xml:space="preserve"> REF _Ref481576161 \h </w:instrText>
      </w:r>
      <w:r w:rsidR="00857F44">
        <w:instrText xml:space="preserve"> \* MERGEFORMAT </w:instrText>
      </w:r>
      <w:r w:rsidR="00857F44" w:rsidRPr="003745E5">
        <w:fldChar w:fldCharType="separate"/>
      </w:r>
      <w:r w:rsidR="00C407F4" w:rsidRPr="000D7F55">
        <w:t xml:space="preserve">Figure </w:t>
      </w:r>
      <w:r w:rsidR="00C407F4">
        <w:t>3</w:t>
      </w:r>
      <w:r w:rsidR="00C407F4" w:rsidRPr="000D7F55">
        <w:noBreakHyphen/>
      </w:r>
      <w:r w:rsidR="00C407F4">
        <w:t>2</w:t>
      </w:r>
      <w:r w:rsidR="00857F44" w:rsidRPr="003745E5">
        <w:fldChar w:fldCharType="end"/>
      </w:r>
      <w:r w:rsidRPr="001326E6">
        <w:t>. The “selected” list at this stage included representative technology groups from the California IOUs’ program portfolios that provide bulk of the savings</w:t>
      </w:r>
      <w:r w:rsidRPr="001326E6">
        <w:rPr>
          <w:vertAlign w:val="superscript"/>
        </w:rPr>
        <w:footnoteReference w:id="49"/>
      </w:r>
      <w:r w:rsidRPr="001326E6">
        <w:t xml:space="preserve">, new below-code technologies not considered previously, refreshed list of emerging </w:t>
      </w:r>
      <w:r w:rsidRPr="001326E6">
        <w:lastRenderedPageBreak/>
        <w:t xml:space="preserve">technologies, and relevant technologies included through Navigant’s benchmarking with other similar potential studies. Technology groups not included in the “selected” list were in the “other Reviewed” list. </w:t>
      </w:r>
    </w:p>
    <w:p w14:paraId="0AAB1FF4" w14:textId="77777777" w:rsidR="001326E6" w:rsidRPr="001326E6" w:rsidRDefault="001326E6" w:rsidP="001326E6"/>
    <w:p w14:paraId="61F57788" w14:textId="19EEC225" w:rsidR="001326E6" w:rsidRPr="001326E6" w:rsidRDefault="001326E6" w:rsidP="001326E6">
      <w:r w:rsidRPr="001326E6">
        <w:t>Navigant presented this list of “selected” and “other reviewed” technology groups for stakeholder review and feedback</w:t>
      </w:r>
      <w:r w:rsidR="00D12F86">
        <w:t>.</w:t>
      </w:r>
      <w:r w:rsidRPr="001326E6">
        <w:rPr>
          <w:vertAlign w:val="superscript"/>
        </w:rPr>
        <w:footnoteReference w:id="50"/>
      </w:r>
      <w:r w:rsidRPr="001326E6">
        <w:t xml:space="preserve"> </w:t>
      </w:r>
      <w:r w:rsidR="00D12F86">
        <w:t xml:space="preserve"> From stakeholder comments, the team </w:t>
      </w:r>
      <w:r w:rsidRPr="001326E6">
        <w:t xml:space="preserve">developed a </w:t>
      </w:r>
      <w:r w:rsidRPr="001326E6">
        <w:rPr>
          <w:b/>
        </w:rPr>
        <w:t>“</w:t>
      </w:r>
      <w:r w:rsidRPr="008337C9">
        <w:t>final</w:t>
      </w:r>
      <w:r w:rsidRPr="001326E6">
        <w:rPr>
          <w:b/>
        </w:rPr>
        <w:t>”</w:t>
      </w:r>
      <w:r w:rsidRPr="001326E6">
        <w:t xml:space="preserve"> list of technology groups that addressed stakeholder comments. This final list served as the starting point for developing the full list of individual technologies under each technology group. As discussed earlier</w:t>
      </w:r>
      <w:r w:rsidR="008F2AD6">
        <w:t xml:space="preserve"> in section </w:t>
      </w:r>
      <w:r w:rsidR="008F2AD6">
        <w:fldChar w:fldCharType="begin"/>
      </w:r>
      <w:r w:rsidR="008F2AD6">
        <w:instrText xml:space="preserve"> REF _Ref477347831 \n \h </w:instrText>
      </w:r>
      <w:r w:rsidR="008F2AD6">
        <w:fldChar w:fldCharType="separate"/>
      </w:r>
      <w:r w:rsidR="00C407F4">
        <w:t>2.1.1.2</w:t>
      </w:r>
      <w:r w:rsidR="008F2AD6">
        <w:fldChar w:fldCharType="end"/>
      </w:r>
      <w:r w:rsidRPr="001326E6">
        <w:t xml:space="preserve">, the individual technologies in each technology group represent “average </w:t>
      </w:r>
      <w:r w:rsidR="006807F5">
        <w:t>below code</w:t>
      </w:r>
      <w:r w:rsidRPr="001326E6">
        <w:t xml:space="preserve">”, “code” and “efficient” technologies that compete for stock replacement. </w:t>
      </w:r>
      <w:r w:rsidR="00D12F86" w:rsidRPr="00D12F86">
        <w:rPr>
          <w:highlight w:val="yellow"/>
        </w:rPr>
        <w:fldChar w:fldCharType="begin"/>
      </w:r>
      <w:r w:rsidR="00D12F86" w:rsidRPr="00D12F86">
        <w:instrText xml:space="preserve"> REF _Ref481651572 \h </w:instrText>
      </w:r>
      <w:r w:rsidR="00D12F86">
        <w:rPr>
          <w:highlight w:val="yellow"/>
        </w:rPr>
        <w:instrText xml:space="preserve"> \* MERGEFORMAT </w:instrText>
      </w:r>
      <w:r w:rsidR="00D12F86" w:rsidRPr="00D12F86">
        <w:rPr>
          <w:highlight w:val="yellow"/>
        </w:rPr>
      </w:r>
      <w:r w:rsidR="00D12F86" w:rsidRPr="00D12F86">
        <w:rPr>
          <w:highlight w:val="yellow"/>
        </w:rPr>
        <w:fldChar w:fldCharType="separate"/>
      </w:r>
      <w:r w:rsidR="00C407F4" w:rsidRPr="00D063E4">
        <w:t xml:space="preserve">Table </w:t>
      </w:r>
      <w:r w:rsidR="00C407F4">
        <w:t>3</w:t>
      </w:r>
      <w:r w:rsidR="00C407F4" w:rsidRPr="00D063E4">
        <w:noBreakHyphen/>
      </w:r>
      <w:r w:rsidR="00C407F4">
        <w:t>8</w:t>
      </w:r>
      <w:r w:rsidR="00D12F86" w:rsidRPr="00D12F86">
        <w:rPr>
          <w:highlight w:val="yellow"/>
        </w:rPr>
        <w:fldChar w:fldCharType="end"/>
      </w:r>
      <w:r w:rsidRPr="001326E6">
        <w:t xml:space="preserve"> below shows the number of technology groups and individual technologies characterized in the study, by end use for residential and commercial sectors. This includes technologies included under both fuel types, electric and gas.</w:t>
      </w:r>
      <w:r w:rsidRPr="001326E6">
        <w:rPr>
          <w:vertAlign w:val="superscript"/>
        </w:rPr>
        <w:footnoteReference w:id="51"/>
      </w:r>
      <w:r w:rsidRPr="001326E6">
        <w:t xml:space="preserve"> </w:t>
      </w:r>
    </w:p>
    <w:p w14:paraId="20F77679" w14:textId="77777777" w:rsidR="001326E6" w:rsidRPr="001326E6" w:rsidRDefault="001326E6" w:rsidP="001326E6"/>
    <w:p w14:paraId="5088C02B" w14:textId="77777777" w:rsidR="001326E6" w:rsidRPr="00D063E4" w:rsidRDefault="001326E6" w:rsidP="00D063E4">
      <w:pPr>
        <w:pStyle w:val="Caption"/>
      </w:pPr>
      <w:bookmarkStart w:id="436" w:name="_Ref481651572"/>
      <w:bookmarkStart w:id="437" w:name="_Toc482634216"/>
      <w:bookmarkStart w:id="438" w:name="_Toc484436955"/>
      <w:bookmarkStart w:id="439" w:name="_Toc485125666"/>
      <w:r w:rsidRPr="00D063E4">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8</w:t>
      </w:r>
      <w:r w:rsidR="00272F76">
        <w:rPr>
          <w:noProof/>
        </w:rPr>
        <w:fldChar w:fldCharType="end"/>
      </w:r>
      <w:bookmarkEnd w:id="436"/>
      <w:r w:rsidRPr="00D063E4">
        <w:t>.  Final List of Technology Groups (with Examples) and Individual Technologies</w:t>
      </w:r>
      <w:bookmarkEnd w:id="437"/>
      <w:bookmarkEnd w:id="438"/>
      <w:bookmarkEnd w:id="439"/>
    </w:p>
    <w:tbl>
      <w:tblPr>
        <w:tblStyle w:val="EnergyTable1"/>
        <w:tblW w:w="5000" w:type="pct"/>
        <w:tblLook w:val="04A0" w:firstRow="1" w:lastRow="0" w:firstColumn="1" w:lastColumn="0" w:noHBand="0" w:noVBand="1"/>
      </w:tblPr>
      <w:tblGrid>
        <w:gridCol w:w="1431"/>
        <w:gridCol w:w="1729"/>
        <w:gridCol w:w="3139"/>
        <w:gridCol w:w="1408"/>
        <w:gridCol w:w="1869"/>
      </w:tblGrid>
      <w:tr w:rsidR="001326E6" w:rsidRPr="00957936" w14:paraId="036C3838" w14:textId="77777777" w:rsidTr="00110120">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47" w:type="pct"/>
          </w:tcPr>
          <w:p w14:paraId="29412503" w14:textId="77777777" w:rsidR="001326E6" w:rsidRPr="00957936" w:rsidRDefault="001326E6" w:rsidP="00A330AB">
            <w:pPr>
              <w:keepNext/>
              <w:rPr>
                <w:rFonts w:ascii="Arial Narrow" w:hAnsi="Arial Narrow" w:cs="Arial"/>
                <w:sz w:val="18"/>
                <w:szCs w:val="18"/>
              </w:rPr>
            </w:pPr>
            <w:r w:rsidRPr="00957936">
              <w:rPr>
                <w:rFonts w:ascii="Arial Narrow" w:hAnsi="Arial Narrow" w:cs="Arial"/>
                <w:sz w:val="18"/>
                <w:szCs w:val="18"/>
              </w:rPr>
              <w:t>Sector</w:t>
            </w:r>
          </w:p>
        </w:tc>
        <w:tc>
          <w:tcPr>
            <w:tcW w:w="903" w:type="pct"/>
          </w:tcPr>
          <w:p w14:paraId="4335B370"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1639" w:type="pct"/>
          </w:tcPr>
          <w:p w14:paraId="7E31B73C"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Technology Group Examples</w:t>
            </w:r>
            <w:r w:rsidRPr="00957936">
              <w:rPr>
                <w:rFonts w:ascii="Arial Narrow" w:hAnsi="Arial Narrow" w:cs="Arial"/>
                <w:sz w:val="18"/>
                <w:szCs w:val="18"/>
                <w:vertAlign w:val="superscript"/>
              </w:rPr>
              <w:footnoteReference w:id="52"/>
            </w:r>
          </w:p>
        </w:tc>
        <w:tc>
          <w:tcPr>
            <w:tcW w:w="735" w:type="pct"/>
          </w:tcPr>
          <w:p w14:paraId="544F7A0C"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Number of Technology Groups </w:t>
            </w:r>
          </w:p>
        </w:tc>
        <w:tc>
          <w:tcPr>
            <w:tcW w:w="976" w:type="pct"/>
          </w:tcPr>
          <w:p w14:paraId="080A04F1"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Individual Technologies</w:t>
            </w:r>
            <w:r w:rsidRPr="00957936">
              <w:rPr>
                <w:rFonts w:ascii="Arial Narrow" w:hAnsi="Arial Narrow" w:cs="Arial"/>
                <w:sz w:val="18"/>
                <w:szCs w:val="18"/>
                <w:vertAlign w:val="superscript"/>
              </w:rPr>
              <w:footnoteReference w:id="53"/>
            </w:r>
          </w:p>
        </w:tc>
      </w:tr>
      <w:tr w:rsidR="001326E6" w:rsidRPr="00957936" w14:paraId="21889C6A" w14:textId="77777777" w:rsidTr="0011012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69B56554" w14:textId="77777777" w:rsidR="001326E6" w:rsidRPr="00957936" w:rsidRDefault="001326E6" w:rsidP="00A330AB">
            <w:pPr>
              <w:keepNext/>
              <w:rPr>
                <w:rFonts w:ascii="Arial Narrow" w:hAnsi="Arial Narrow" w:cs="Arial"/>
                <w:b/>
                <w:sz w:val="18"/>
                <w:szCs w:val="18"/>
              </w:rPr>
            </w:pPr>
            <w:r w:rsidRPr="00957936">
              <w:rPr>
                <w:rFonts w:ascii="Arial Narrow" w:hAnsi="Arial Narrow" w:cs="Arial"/>
                <w:b/>
                <w:sz w:val="18"/>
                <w:szCs w:val="18"/>
              </w:rPr>
              <w:t>Residential</w:t>
            </w:r>
          </w:p>
        </w:tc>
        <w:tc>
          <w:tcPr>
            <w:tcW w:w="903" w:type="pct"/>
          </w:tcPr>
          <w:p w14:paraId="6EFD2F10"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1639" w:type="pct"/>
          </w:tcPr>
          <w:p w14:paraId="02037A11"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Refrigerators, Pool Pumps, Clothes Dryers.</w:t>
            </w:r>
          </w:p>
        </w:tc>
        <w:tc>
          <w:tcPr>
            <w:tcW w:w="735" w:type="pct"/>
          </w:tcPr>
          <w:p w14:paraId="5A6E9E63"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13</w:t>
            </w:r>
          </w:p>
        </w:tc>
        <w:tc>
          <w:tcPr>
            <w:tcW w:w="976" w:type="pct"/>
          </w:tcPr>
          <w:p w14:paraId="60BF2F5B"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42</w:t>
            </w:r>
          </w:p>
        </w:tc>
      </w:tr>
      <w:tr w:rsidR="001326E6" w:rsidRPr="00957936" w14:paraId="3C1B4F80" w14:textId="77777777" w:rsidTr="0011012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10E546A2" w14:textId="77777777" w:rsidR="001326E6" w:rsidRPr="00957936" w:rsidRDefault="001326E6" w:rsidP="00A330AB">
            <w:pPr>
              <w:keepNext/>
              <w:rPr>
                <w:rFonts w:ascii="Arial Narrow" w:hAnsi="Arial Narrow" w:cs="Arial"/>
                <w:sz w:val="18"/>
                <w:szCs w:val="18"/>
              </w:rPr>
            </w:pPr>
          </w:p>
        </w:tc>
        <w:tc>
          <w:tcPr>
            <w:tcW w:w="903" w:type="pct"/>
          </w:tcPr>
          <w:p w14:paraId="46D36A33"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1639" w:type="pct"/>
          </w:tcPr>
          <w:p w14:paraId="379E0CF5"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Weatherization, Attic Duct Insulation, Windows.</w:t>
            </w:r>
          </w:p>
        </w:tc>
        <w:tc>
          <w:tcPr>
            <w:tcW w:w="735" w:type="pct"/>
          </w:tcPr>
          <w:p w14:paraId="4563D218"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3</w:t>
            </w:r>
          </w:p>
        </w:tc>
        <w:tc>
          <w:tcPr>
            <w:tcW w:w="976" w:type="pct"/>
          </w:tcPr>
          <w:p w14:paraId="217FBA50"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39</w:t>
            </w:r>
          </w:p>
        </w:tc>
      </w:tr>
      <w:tr w:rsidR="001326E6" w:rsidRPr="00957936" w14:paraId="6DDD22D9" w14:textId="77777777" w:rsidTr="0011012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47" w:type="pct"/>
            <w:vMerge/>
          </w:tcPr>
          <w:p w14:paraId="7EC5C36E" w14:textId="77777777" w:rsidR="001326E6" w:rsidRPr="00957936" w:rsidRDefault="001326E6" w:rsidP="00A330AB">
            <w:pPr>
              <w:keepNext/>
              <w:rPr>
                <w:rFonts w:ascii="Arial Narrow" w:hAnsi="Arial Narrow" w:cs="Arial"/>
                <w:sz w:val="18"/>
                <w:szCs w:val="18"/>
              </w:rPr>
            </w:pPr>
          </w:p>
        </w:tc>
        <w:tc>
          <w:tcPr>
            <w:tcW w:w="903" w:type="pct"/>
          </w:tcPr>
          <w:p w14:paraId="03E73C50"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1639" w:type="pct"/>
          </w:tcPr>
          <w:p w14:paraId="59018B86"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Air Conditioners, Heat Pumps, Ceiling Fans. </w:t>
            </w:r>
          </w:p>
        </w:tc>
        <w:tc>
          <w:tcPr>
            <w:tcW w:w="735" w:type="pct"/>
          </w:tcPr>
          <w:p w14:paraId="2B5271F1"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16</w:t>
            </w:r>
          </w:p>
        </w:tc>
        <w:tc>
          <w:tcPr>
            <w:tcW w:w="976" w:type="pct"/>
          </w:tcPr>
          <w:p w14:paraId="14E9F15C"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47</w:t>
            </w:r>
          </w:p>
        </w:tc>
      </w:tr>
      <w:tr w:rsidR="001326E6" w:rsidRPr="00957936" w14:paraId="0B90AA83" w14:textId="77777777" w:rsidTr="0011012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578EC329" w14:textId="77777777" w:rsidR="001326E6" w:rsidRPr="00957936" w:rsidRDefault="001326E6" w:rsidP="00A330AB">
            <w:pPr>
              <w:keepNext/>
              <w:rPr>
                <w:rFonts w:ascii="Arial Narrow" w:hAnsi="Arial Narrow" w:cs="Arial"/>
                <w:sz w:val="18"/>
                <w:szCs w:val="18"/>
              </w:rPr>
            </w:pPr>
          </w:p>
        </w:tc>
        <w:tc>
          <w:tcPr>
            <w:tcW w:w="903" w:type="pct"/>
          </w:tcPr>
          <w:p w14:paraId="1AE1DE21"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1639" w:type="pct"/>
          </w:tcPr>
          <w:p w14:paraId="6613507B"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Indoor Screw-in Lamps, Specialty Lamps, Linear Fixtures. </w:t>
            </w:r>
          </w:p>
        </w:tc>
        <w:tc>
          <w:tcPr>
            <w:tcW w:w="735" w:type="pct"/>
          </w:tcPr>
          <w:p w14:paraId="0E037D3E"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3</w:t>
            </w:r>
          </w:p>
        </w:tc>
        <w:tc>
          <w:tcPr>
            <w:tcW w:w="976" w:type="pct"/>
          </w:tcPr>
          <w:p w14:paraId="36E85EFC"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50</w:t>
            </w:r>
          </w:p>
        </w:tc>
      </w:tr>
      <w:tr w:rsidR="001326E6" w:rsidRPr="00957936" w14:paraId="333C59A3" w14:textId="77777777" w:rsidTr="0011012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47EA2993" w14:textId="77777777" w:rsidR="001326E6" w:rsidRPr="00957936" w:rsidRDefault="001326E6" w:rsidP="00A330AB">
            <w:pPr>
              <w:keepNext/>
              <w:rPr>
                <w:rFonts w:ascii="Arial Narrow" w:hAnsi="Arial Narrow" w:cs="Arial"/>
                <w:sz w:val="18"/>
                <w:szCs w:val="18"/>
              </w:rPr>
            </w:pPr>
          </w:p>
        </w:tc>
        <w:tc>
          <w:tcPr>
            <w:tcW w:w="903" w:type="pct"/>
          </w:tcPr>
          <w:p w14:paraId="7D49B8E7"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1639" w:type="pct"/>
          </w:tcPr>
          <w:p w14:paraId="10476138"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Electric Water Heaters, Faucet Aerators, Showerhead.</w:t>
            </w:r>
          </w:p>
        </w:tc>
        <w:tc>
          <w:tcPr>
            <w:tcW w:w="735" w:type="pct"/>
          </w:tcPr>
          <w:p w14:paraId="1D695905"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w:t>
            </w:r>
          </w:p>
        </w:tc>
        <w:tc>
          <w:tcPr>
            <w:tcW w:w="976" w:type="pct"/>
          </w:tcPr>
          <w:p w14:paraId="6D88C6B7"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23</w:t>
            </w:r>
          </w:p>
        </w:tc>
      </w:tr>
      <w:tr w:rsidR="001326E6" w:rsidRPr="00957936" w14:paraId="5494D427" w14:textId="77777777" w:rsidTr="00110120">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2D477F22" w14:textId="77777777" w:rsidR="001326E6" w:rsidRPr="00957936" w:rsidRDefault="001326E6" w:rsidP="00A330AB">
            <w:pPr>
              <w:keepNext/>
              <w:rPr>
                <w:rFonts w:ascii="Arial Narrow" w:hAnsi="Arial Narrow" w:cs="Arial"/>
                <w:sz w:val="18"/>
                <w:szCs w:val="18"/>
              </w:rPr>
            </w:pPr>
          </w:p>
        </w:tc>
        <w:tc>
          <w:tcPr>
            <w:tcW w:w="903" w:type="pct"/>
          </w:tcPr>
          <w:p w14:paraId="2AE508AE"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1639" w:type="pct"/>
          </w:tcPr>
          <w:p w14:paraId="2F8AC012"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p>
        </w:tc>
        <w:tc>
          <w:tcPr>
            <w:tcW w:w="735" w:type="pct"/>
          </w:tcPr>
          <w:p w14:paraId="78F7499A" w14:textId="77777777" w:rsidR="001326E6" w:rsidRPr="00957936" w:rsidDel="0064218F"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6</w:t>
            </w:r>
            <w:r w:rsidR="00D351A6">
              <w:rPr>
                <w:rFonts w:ascii="Arial Narrow" w:hAnsi="Arial Narrow" w:cs="Arial"/>
                <w:b/>
                <w:sz w:val="18"/>
                <w:szCs w:val="18"/>
              </w:rPr>
              <w:t>4</w:t>
            </w:r>
          </w:p>
        </w:tc>
        <w:tc>
          <w:tcPr>
            <w:tcW w:w="976" w:type="pct"/>
          </w:tcPr>
          <w:p w14:paraId="41CF9BB2"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20</w:t>
            </w:r>
            <w:r w:rsidR="00057D86">
              <w:rPr>
                <w:rFonts w:ascii="Arial Narrow" w:hAnsi="Arial Narrow" w:cs="Arial"/>
                <w:b/>
                <w:sz w:val="18"/>
                <w:szCs w:val="18"/>
              </w:rPr>
              <w:t>1</w:t>
            </w:r>
          </w:p>
        </w:tc>
      </w:tr>
      <w:tr w:rsidR="001326E6" w:rsidRPr="00957936" w14:paraId="6FB07F43" w14:textId="77777777" w:rsidTr="00110120">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6C9BC9DC" w14:textId="77777777" w:rsidR="001326E6" w:rsidRPr="00957936" w:rsidRDefault="001326E6" w:rsidP="00A330AB">
            <w:pPr>
              <w:keepNext/>
              <w:rPr>
                <w:rFonts w:ascii="Arial Narrow" w:hAnsi="Arial Narrow" w:cs="Arial"/>
                <w:b/>
                <w:sz w:val="18"/>
                <w:szCs w:val="18"/>
              </w:rPr>
            </w:pPr>
            <w:r w:rsidRPr="00957936">
              <w:rPr>
                <w:rFonts w:ascii="Arial Narrow" w:hAnsi="Arial Narrow" w:cs="Arial"/>
                <w:b/>
                <w:sz w:val="18"/>
                <w:szCs w:val="18"/>
              </w:rPr>
              <w:t>Commercial</w:t>
            </w:r>
          </w:p>
        </w:tc>
        <w:tc>
          <w:tcPr>
            <w:tcW w:w="903" w:type="pct"/>
          </w:tcPr>
          <w:p w14:paraId="2F9BFA21"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1639" w:type="pct"/>
          </w:tcPr>
          <w:p w14:paraId="0DD78B8C"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Power Strips, Servers, Vending Controls. </w:t>
            </w:r>
          </w:p>
        </w:tc>
        <w:tc>
          <w:tcPr>
            <w:tcW w:w="735" w:type="pct"/>
          </w:tcPr>
          <w:p w14:paraId="21113F3F"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4</w:t>
            </w:r>
          </w:p>
        </w:tc>
        <w:tc>
          <w:tcPr>
            <w:tcW w:w="976" w:type="pct"/>
          </w:tcPr>
          <w:p w14:paraId="2DB40F02"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w:t>
            </w:r>
            <w:r w:rsidR="00D351A6">
              <w:rPr>
                <w:rFonts w:ascii="Arial Narrow" w:hAnsi="Arial Narrow" w:cs="Arial"/>
                <w:sz w:val="18"/>
                <w:szCs w:val="18"/>
              </w:rPr>
              <w:t>3</w:t>
            </w:r>
          </w:p>
        </w:tc>
      </w:tr>
      <w:tr w:rsidR="001326E6" w:rsidRPr="00957936" w14:paraId="2A5A3890" w14:textId="77777777" w:rsidTr="0011012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610F2EBD" w14:textId="77777777" w:rsidR="001326E6" w:rsidRPr="00957936" w:rsidRDefault="001326E6" w:rsidP="00A330AB">
            <w:pPr>
              <w:keepNext/>
              <w:rPr>
                <w:rFonts w:ascii="Arial Narrow" w:hAnsi="Arial Narrow" w:cs="Arial"/>
                <w:sz w:val="18"/>
                <w:szCs w:val="18"/>
              </w:rPr>
            </w:pPr>
          </w:p>
        </w:tc>
        <w:tc>
          <w:tcPr>
            <w:tcW w:w="903" w:type="pct"/>
          </w:tcPr>
          <w:p w14:paraId="1E80FD2D"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1639" w:type="pct"/>
          </w:tcPr>
          <w:p w14:paraId="557D6C21"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Ceiling/Roof Insulation, Wall Insulation, Windows.</w:t>
            </w:r>
          </w:p>
        </w:tc>
        <w:tc>
          <w:tcPr>
            <w:tcW w:w="735" w:type="pct"/>
          </w:tcPr>
          <w:p w14:paraId="47AA2473"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w:t>
            </w:r>
          </w:p>
        </w:tc>
        <w:tc>
          <w:tcPr>
            <w:tcW w:w="976" w:type="pct"/>
          </w:tcPr>
          <w:p w14:paraId="65453048" w14:textId="77777777" w:rsidR="001326E6" w:rsidRPr="00957936" w:rsidRDefault="00057D8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19</w:t>
            </w:r>
          </w:p>
        </w:tc>
      </w:tr>
      <w:tr w:rsidR="001326E6" w:rsidRPr="00957936" w14:paraId="35E777AC" w14:textId="77777777" w:rsidTr="001101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6238B032" w14:textId="77777777" w:rsidR="001326E6" w:rsidRPr="00957936" w:rsidRDefault="001326E6" w:rsidP="00A330AB">
            <w:pPr>
              <w:keepNext/>
              <w:rPr>
                <w:rFonts w:ascii="Arial Narrow" w:hAnsi="Arial Narrow" w:cs="Arial"/>
                <w:sz w:val="18"/>
                <w:szCs w:val="18"/>
              </w:rPr>
            </w:pPr>
          </w:p>
        </w:tc>
        <w:tc>
          <w:tcPr>
            <w:tcW w:w="903" w:type="pct"/>
          </w:tcPr>
          <w:p w14:paraId="33CC5DBC"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Com. Refrigeration</w:t>
            </w:r>
          </w:p>
        </w:tc>
        <w:tc>
          <w:tcPr>
            <w:tcW w:w="1639" w:type="pct"/>
          </w:tcPr>
          <w:p w14:paraId="4234BA88"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Display Case Motors, Strip Curtains, Anti Sweat Heat Controls.</w:t>
            </w:r>
          </w:p>
        </w:tc>
        <w:tc>
          <w:tcPr>
            <w:tcW w:w="735" w:type="pct"/>
          </w:tcPr>
          <w:p w14:paraId="7BE4C6F3"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8</w:t>
            </w:r>
          </w:p>
        </w:tc>
        <w:tc>
          <w:tcPr>
            <w:tcW w:w="976" w:type="pct"/>
          </w:tcPr>
          <w:p w14:paraId="12B1466D"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19</w:t>
            </w:r>
          </w:p>
        </w:tc>
      </w:tr>
      <w:tr w:rsidR="001326E6" w:rsidRPr="00957936" w14:paraId="59B21A56" w14:textId="77777777" w:rsidTr="0011012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0BE6E48B" w14:textId="77777777" w:rsidR="001326E6" w:rsidRPr="00957936" w:rsidRDefault="001326E6" w:rsidP="00A330AB">
            <w:pPr>
              <w:keepNext/>
              <w:rPr>
                <w:rFonts w:ascii="Arial Narrow" w:hAnsi="Arial Narrow" w:cs="Arial"/>
                <w:sz w:val="18"/>
                <w:szCs w:val="18"/>
              </w:rPr>
            </w:pPr>
          </w:p>
        </w:tc>
        <w:tc>
          <w:tcPr>
            <w:tcW w:w="903" w:type="pct"/>
          </w:tcPr>
          <w:p w14:paraId="33DA60EB"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Data Center</w:t>
            </w:r>
          </w:p>
        </w:tc>
        <w:tc>
          <w:tcPr>
            <w:tcW w:w="1639" w:type="pct"/>
          </w:tcPr>
          <w:p w14:paraId="5BC4E898"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Server Virtualization, High efficiency UPS, CRAC upgrades.</w:t>
            </w:r>
          </w:p>
        </w:tc>
        <w:tc>
          <w:tcPr>
            <w:tcW w:w="735" w:type="pct"/>
          </w:tcPr>
          <w:p w14:paraId="2C1BE52A"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5</w:t>
            </w:r>
          </w:p>
        </w:tc>
        <w:tc>
          <w:tcPr>
            <w:tcW w:w="976" w:type="pct"/>
          </w:tcPr>
          <w:p w14:paraId="45333CD9"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10</w:t>
            </w:r>
          </w:p>
        </w:tc>
      </w:tr>
      <w:tr w:rsidR="001326E6" w:rsidRPr="00957936" w14:paraId="1C955160" w14:textId="77777777" w:rsidTr="0011012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20A9365A" w14:textId="77777777" w:rsidR="001326E6" w:rsidRPr="00957936" w:rsidRDefault="001326E6" w:rsidP="00A330AB">
            <w:pPr>
              <w:keepNext/>
              <w:rPr>
                <w:rFonts w:ascii="Arial Narrow" w:hAnsi="Arial Narrow" w:cs="Arial"/>
                <w:sz w:val="18"/>
                <w:szCs w:val="18"/>
              </w:rPr>
            </w:pPr>
          </w:p>
        </w:tc>
        <w:tc>
          <w:tcPr>
            <w:tcW w:w="903" w:type="pct"/>
          </w:tcPr>
          <w:p w14:paraId="1696DDC2"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Food Service</w:t>
            </w:r>
          </w:p>
        </w:tc>
        <w:tc>
          <w:tcPr>
            <w:tcW w:w="1639" w:type="pct"/>
          </w:tcPr>
          <w:p w14:paraId="34C624C2"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Electric Convention Ovens, DCV Exhaust Hood, Steamers.</w:t>
            </w:r>
          </w:p>
        </w:tc>
        <w:tc>
          <w:tcPr>
            <w:tcW w:w="735" w:type="pct"/>
          </w:tcPr>
          <w:p w14:paraId="307CF2AE"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c>
          <w:tcPr>
            <w:tcW w:w="976" w:type="pct"/>
          </w:tcPr>
          <w:p w14:paraId="4476CCA3"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14</w:t>
            </w:r>
          </w:p>
        </w:tc>
      </w:tr>
      <w:tr w:rsidR="001326E6" w:rsidRPr="00957936" w14:paraId="7E09F028" w14:textId="77777777" w:rsidTr="00110120">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747" w:type="pct"/>
            <w:vMerge/>
          </w:tcPr>
          <w:p w14:paraId="275F8048" w14:textId="77777777" w:rsidR="001326E6" w:rsidRPr="00957936" w:rsidRDefault="001326E6" w:rsidP="00A330AB">
            <w:pPr>
              <w:keepNext/>
              <w:rPr>
                <w:rFonts w:ascii="Arial Narrow" w:hAnsi="Arial Narrow" w:cs="Arial"/>
                <w:sz w:val="18"/>
                <w:szCs w:val="18"/>
              </w:rPr>
            </w:pPr>
          </w:p>
        </w:tc>
        <w:tc>
          <w:tcPr>
            <w:tcW w:w="903" w:type="pct"/>
          </w:tcPr>
          <w:p w14:paraId="15C90AAC"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1639" w:type="pct"/>
          </w:tcPr>
          <w:p w14:paraId="5CAB2B05"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Chillers, Split AC, Mini Split Heat Pumps.</w:t>
            </w:r>
          </w:p>
        </w:tc>
        <w:tc>
          <w:tcPr>
            <w:tcW w:w="735" w:type="pct"/>
          </w:tcPr>
          <w:p w14:paraId="2D9E440C"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3</w:t>
            </w:r>
          </w:p>
        </w:tc>
        <w:tc>
          <w:tcPr>
            <w:tcW w:w="976" w:type="pct"/>
          </w:tcPr>
          <w:p w14:paraId="2BA5430C" w14:textId="77777777" w:rsidR="001326E6" w:rsidRPr="00957936" w:rsidRDefault="00057D8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8</w:t>
            </w:r>
            <w:r w:rsidR="00D351A6">
              <w:rPr>
                <w:rFonts w:ascii="Arial Narrow" w:hAnsi="Arial Narrow" w:cs="Arial"/>
                <w:sz w:val="18"/>
                <w:szCs w:val="18"/>
              </w:rPr>
              <w:t>0</w:t>
            </w:r>
          </w:p>
        </w:tc>
      </w:tr>
      <w:tr w:rsidR="001326E6" w:rsidRPr="00957936" w14:paraId="1FED7739" w14:textId="77777777" w:rsidTr="001101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5E4F35B3" w14:textId="77777777" w:rsidR="001326E6" w:rsidRPr="00957936" w:rsidRDefault="001326E6" w:rsidP="00A330AB">
            <w:pPr>
              <w:keepNext/>
              <w:rPr>
                <w:rFonts w:ascii="Arial Narrow" w:hAnsi="Arial Narrow" w:cs="Arial"/>
                <w:sz w:val="18"/>
                <w:szCs w:val="18"/>
              </w:rPr>
            </w:pPr>
          </w:p>
        </w:tc>
        <w:tc>
          <w:tcPr>
            <w:tcW w:w="903" w:type="pct"/>
          </w:tcPr>
          <w:p w14:paraId="1FCC07F2"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1639" w:type="pct"/>
          </w:tcPr>
          <w:p w14:paraId="71598250"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High Bay Fixtures, Lighting Fixtures (Indoor and Outdoor), Indoor Reflector Lamps. </w:t>
            </w:r>
          </w:p>
        </w:tc>
        <w:tc>
          <w:tcPr>
            <w:tcW w:w="735" w:type="pct"/>
          </w:tcPr>
          <w:p w14:paraId="11E92822"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12</w:t>
            </w:r>
          </w:p>
        </w:tc>
        <w:tc>
          <w:tcPr>
            <w:tcW w:w="976" w:type="pct"/>
          </w:tcPr>
          <w:p w14:paraId="38B55793"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47</w:t>
            </w:r>
          </w:p>
        </w:tc>
      </w:tr>
      <w:tr w:rsidR="001326E6" w:rsidRPr="00957936" w14:paraId="035CA02D" w14:textId="77777777" w:rsidTr="00110120">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740390DB" w14:textId="77777777" w:rsidR="001326E6" w:rsidRPr="00957936" w:rsidRDefault="001326E6" w:rsidP="00A330AB">
            <w:pPr>
              <w:keepNext/>
              <w:rPr>
                <w:rFonts w:ascii="Arial Narrow" w:hAnsi="Arial Narrow" w:cs="Arial"/>
                <w:sz w:val="18"/>
                <w:szCs w:val="18"/>
              </w:rPr>
            </w:pPr>
          </w:p>
        </w:tc>
        <w:tc>
          <w:tcPr>
            <w:tcW w:w="903" w:type="pct"/>
          </w:tcPr>
          <w:p w14:paraId="47D928E1"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1639" w:type="pct"/>
          </w:tcPr>
          <w:p w14:paraId="71021B5F"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Electric Storage Water Heaters, Faucet Aerators, Showerhead.</w:t>
            </w:r>
          </w:p>
        </w:tc>
        <w:tc>
          <w:tcPr>
            <w:tcW w:w="735" w:type="pct"/>
          </w:tcPr>
          <w:p w14:paraId="78E11155"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3</w:t>
            </w:r>
          </w:p>
        </w:tc>
        <w:tc>
          <w:tcPr>
            <w:tcW w:w="976" w:type="pct"/>
          </w:tcPr>
          <w:p w14:paraId="6D62D39A"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12</w:t>
            </w:r>
          </w:p>
        </w:tc>
      </w:tr>
      <w:tr w:rsidR="001326E6" w:rsidRPr="00957936" w14:paraId="0DE63A43" w14:textId="77777777" w:rsidTr="0011012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1379A11D" w14:textId="77777777" w:rsidR="001326E6" w:rsidRPr="00957936" w:rsidRDefault="001326E6" w:rsidP="001326E6">
            <w:pPr>
              <w:rPr>
                <w:rFonts w:ascii="Arial Narrow" w:hAnsi="Arial Narrow" w:cs="Arial"/>
                <w:sz w:val="18"/>
                <w:szCs w:val="18"/>
              </w:rPr>
            </w:pPr>
          </w:p>
        </w:tc>
        <w:tc>
          <w:tcPr>
            <w:tcW w:w="903" w:type="pct"/>
          </w:tcPr>
          <w:p w14:paraId="3C2682F1"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1639" w:type="pct"/>
          </w:tcPr>
          <w:p w14:paraId="2C7A343D"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735" w:type="pct"/>
          </w:tcPr>
          <w:p w14:paraId="6732D615" w14:textId="77777777" w:rsidR="001326E6" w:rsidRPr="00957936" w:rsidRDefault="00D351A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Pr>
                <w:rFonts w:ascii="Arial Narrow" w:hAnsi="Arial Narrow" w:cs="Arial"/>
                <w:b/>
                <w:sz w:val="18"/>
                <w:szCs w:val="18"/>
              </w:rPr>
              <w:t>78</w:t>
            </w:r>
          </w:p>
        </w:tc>
        <w:tc>
          <w:tcPr>
            <w:tcW w:w="976" w:type="pct"/>
          </w:tcPr>
          <w:p w14:paraId="244BE03D" w14:textId="77777777" w:rsidR="001326E6" w:rsidRPr="00957936" w:rsidRDefault="00057D8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Pr>
                <w:rFonts w:ascii="Arial Narrow" w:hAnsi="Arial Narrow" w:cs="Arial"/>
                <w:b/>
                <w:sz w:val="18"/>
                <w:szCs w:val="18"/>
              </w:rPr>
              <w:t>2</w:t>
            </w:r>
            <w:r w:rsidR="00D351A6">
              <w:rPr>
                <w:rFonts w:ascii="Arial Narrow" w:hAnsi="Arial Narrow" w:cs="Arial"/>
                <w:b/>
                <w:sz w:val="18"/>
                <w:szCs w:val="18"/>
              </w:rPr>
              <w:t>44</w:t>
            </w:r>
          </w:p>
        </w:tc>
      </w:tr>
    </w:tbl>
    <w:p w14:paraId="5455D55C" w14:textId="77777777" w:rsidR="00870A2E" w:rsidRDefault="00870A2E" w:rsidP="006807F5">
      <w:pPr>
        <w:pStyle w:val="Heading3"/>
      </w:pPr>
      <w:bookmarkStart w:id="440" w:name="_Toc485126546"/>
      <w:r>
        <w:t>Comparison with Measure Characterization in the 2015 Study</w:t>
      </w:r>
      <w:bookmarkEnd w:id="440"/>
    </w:p>
    <w:p w14:paraId="7BE70D06" w14:textId="4A6E434E" w:rsidR="00190D7A" w:rsidRDefault="00190D7A" w:rsidP="009919B3">
      <w:r>
        <w:t>The</w:t>
      </w:r>
      <w:r w:rsidR="002061C5">
        <w:t xml:space="preserve"> technology-based characterization allows greater flexibility </w:t>
      </w:r>
      <w:r>
        <w:t xml:space="preserve">in characterization, this combined with our holistic refresh of the technology list, expands the number of </w:t>
      </w:r>
      <w:r w:rsidR="002061C5">
        <w:t>efficient technologies include</w:t>
      </w:r>
      <w:r w:rsidR="008610C3">
        <w:t>d</w:t>
      </w:r>
      <w:r w:rsidR="00CD7C85">
        <w:t xml:space="preserve"> </w:t>
      </w:r>
      <w:r>
        <w:t>in the 2018 study relative to the 2015 study. This comparison is</w:t>
      </w:r>
      <w:r w:rsidR="008610C3">
        <w:t xml:space="preserve"> shown in </w:t>
      </w:r>
      <w:r w:rsidR="008610C3">
        <w:fldChar w:fldCharType="begin"/>
      </w:r>
      <w:r w:rsidR="008610C3">
        <w:instrText xml:space="preserve"> REF _Ref482092538 \h </w:instrText>
      </w:r>
      <w:r w:rsidR="008610C3">
        <w:fldChar w:fldCharType="separate"/>
      </w:r>
      <w:r w:rsidR="00C407F4" w:rsidRPr="00D063E4">
        <w:t xml:space="preserve">Table </w:t>
      </w:r>
      <w:r w:rsidR="00C407F4">
        <w:rPr>
          <w:noProof/>
        </w:rPr>
        <w:t>3</w:t>
      </w:r>
      <w:r w:rsidR="00C407F4" w:rsidRPr="00D063E4">
        <w:noBreakHyphen/>
      </w:r>
      <w:r w:rsidR="00C407F4">
        <w:rPr>
          <w:noProof/>
        </w:rPr>
        <w:t>9</w:t>
      </w:r>
      <w:r w:rsidR="008610C3">
        <w:fldChar w:fldCharType="end"/>
      </w:r>
      <w:r w:rsidR="008610C3">
        <w:t xml:space="preserve">.  </w:t>
      </w:r>
      <w:r>
        <w:t xml:space="preserve">Several notable changes can be observed form the table: </w:t>
      </w:r>
    </w:p>
    <w:p w14:paraId="69EBA0E1" w14:textId="77777777" w:rsidR="00190D7A" w:rsidRDefault="00190D7A" w:rsidP="004E4E36">
      <w:pPr>
        <w:pStyle w:val="ListParagraph"/>
        <w:numPr>
          <w:ilvl w:val="0"/>
          <w:numId w:val="44"/>
        </w:numPr>
      </w:pPr>
      <w:r>
        <w:t xml:space="preserve">Increase in the number of HVAC technologies </w:t>
      </w:r>
    </w:p>
    <w:p w14:paraId="0F87C1C4" w14:textId="77777777" w:rsidR="00190D7A" w:rsidRDefault="00190D7A" w:rsidP="004E4E36">
      <w:pPr>
        <w:pStyle w:val="ListParagraph"/>
        <w:numPr>
          <w:ilvl w:val="0"/>
          <w:numId w:val="44"/>
        </w:numPr>
      </w:pPr>
      <w:r>
        <w:t xml:space="preserve">Increase in the number of building envelop technologies </w:t>
      </w:r>
    </w:p>
    <w:p w14:paraId="66213080" w14:textId="77777777" w:rsidR="00190D7A" w:rsidRDefault="00190D7A" w:rsidP="004E4E36">
      <w:pPr>
        <w:pStyle w:val="ListParagraph"/>
        <w:numPr>
          <w:ilvl w:val="0"/>
          <w:numId w:val="44"/>
        </w:numPr>
      </w:pPr>
      <w:r>
        <w:t xml:space="preserve">Increase in the number of Commercial Refrigeration technologies </w:t>
      </w:r>
    </w:p>
    <w:p w14:paraId="224E9676" w14:textId="77777777" w:rsidR="00190D7A" w:rsidRDefault="00190D7A" w:rsidP="004E4E36">
      <w:pPr>
        <w:pStyle w:val="ListParagraph"/>
        <w:numPr>
          <w:ilvl w:val="0"/>
          <w:numId w:val="44"/>
        </w:numPr>
      </w:pPr>
      <w:r>
        <w:lastRenderedPageBreak/>
        <w:t>Addition of a “Data Center” end use and technologies</w:t>
      </w:r>
    </w:p>
    <w:p w14:paraId="3BEEFF4A" w14:textId="77777777" w:rsidR="00190D7A" w:rsidRDefault="00190D7A" w:rsidP="004E4E36">
      <w:pPr>
        <w:pStyle w:val="ListParagraph"/>
        <w:numPr>
          <w:ilvl w:val="0"/>
          <w:numId w:val="44"/>
        </w:numPr>
      </w:pPr>
      <w:r>
        <w:t>Consolidation of “Service” and “Process Heat” end uses into HVAC</w:t>
      </w:r>
    </w:p>
    <w:p w14:paraId="5AC48C3A" w14:textId="77777777" w:rsidR="006C711D" w:rsidRPr="00190D7A" w:rsidRDefault="006C711D" w:rsidP="00190D7A"/>
    <w:p w14:paraId="41447ED0" w14:textId="77777777" w:rsidR="00BF5347" w:rsidRPr="00D063E4" w:rsidRDefault="00BF5347" w:rsidP="00D063E4">
      <w:pPr>
        <w:pStyle w:val="Caption"/>
      </w:pPr>
      <w:bookmarkStart w:id="441" w:name="_Ref482092538"/>
      <w:bookmarkStart w:id="442" w:name="_Toc482634217"/>
      <w:bookmarkStart w:id="443" w:name="_Toc484436956"/>
      <w:bookmarkStart w:id="444" w:name="_Toc485125667"/>
      <w:r w:rsidRPr="00D063E4">
        <w:t xml:space="preserve">Table </w:t>
      </w:r>
      <w:r w:rsidR="00272F76">
        <w:fldChar w:fldCharType="begin"/>
      </w:r>
      <w:r w:rsidR="00272F76">
        <w:instrText xml:space="preserve"> STYLER</w:instrText>
      </w:r>
      <w:r w:rsidR="00272F76">
        <w:instrText xml:space="preserve">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9</w:t>
      </w:r>
      <w:r w:rsidR="00272F76">
        <w:rPr>
          <w:noProof/>
        </w:rPr>
        <w:fldChar w:fldCharType="end"/>
      </w:r>
      <w:bookmarkEnd w:id="441"/>
      <w:r w:rsidRPr="00D063E4">
        <w:t>.  Comparison of Efficient Residential and Commercial Technologies in 2015 and 201</w:t>
      </w:r>
      <w:r w:rsidR="001E69E4" w:rsidRPr="00D063E4">
        <w:t>8</w:t>
      </w:r>
      <w:r w:rsidRPr="00D063E4">
        <w:t xml:space="preserve"> PG Study</w:t>
      </w:r>
      <w:bookmarkEnd w:id="442"/>
      <w:bookmarkEnd w:id="443"/>
      <w:bookmarkEnd w:id="444"/>
    </w:p>
    <w:tbl>
      <w:tblPr>
        <w:tblStyle w:val="EnergyTable1"/>
        <w:tblW w:w="4390" w:type="pct"/>
        <w:tblLook w:val="04A0" w:firstRow="1" w:lastRow="0" w:firstColumn="1" w:lastColumn="0" w:noHBand="0" w:noVBand="1"/>
      </w:tblPr>
      <w:tblGrid>
        <w:gridCol w:w="1253"/>
        <w:gridCol w:w="2830"/>
        <w:gridCol w:w="2230"/>
        <w:gridCol w:w="2095"/>
      </w:tblGrid>
      <w:tr w:rsidR="006C711D" w:rsidRPr="00957936" w14:paraId="580DB5DD" w14:textId="77777777" w:rsidTr="00110120">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45" w:type="pct"/>
          </w:tcPr>
          <w:p w14:paraId="7BC1C10F" w14:textId="77777777" w:rsidR="006C711D" w:rsidRPr="00957936" w:rsidRDefault="006C711D" w:rsidP="006C711D">
            <w:pPr>
              <w:rPr>
                <w:rFonts w:ascii="Arial Narrow" w:hAnsi="Arial Narrow" w:cs="Arial"/>
                <w:sz w:val="18"/>
                <w:szCs w:val="18"/>
              </w:rPr>
            </w:pPr>
            <w:r w:rsidRPr="00957936">
              <w:rPr>
                <w:rFonts w:ascii="Arial Narrow" w:hAnsi="Arial Narrow" w:cs="Arial"/>
                <w:sz w:val="18"/>
                <w:szCs w:val="18"/>
              </w:rPr>
              <w:t>Sector</w:t>
            </w:r>
          </w:p>
        </w:tc>
        <w:tc>
          <w:tcPr>
            <w:tcW w:w="1683" w:type="pct"/>
          </w:tcPr>
          <w:p w14:paraId="531851F0" w14:textId="77777777" w:rsidR="006C711D" w:rsidRPr="00957936" w:rsidRDefault="006C711D" w:rsidP="006C711D">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1326" w:type="pct"/>
          </w:tcPr>
          <w:p w14:paraId="670C36D5" w14:textId="77777777" w:rsidR="006C711D" w:rsidRPr="00957936" w:rsidRDefault="006C711D" w:rsidP="006C711D">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Efficien</w:t>
            </w:r>
            <w:r w:rsidR="00A652E5" w:rsidRPr="00957936">
              <w:rPr>
                <w:rFonts w:ascii="Arial Narrow" w:hAnsi="Arial Narrow" w:cs="Arial"/>
                <w:sz w:val="18"/>
                <w:szCs w:val="18"/>
              </w:rPr>
              <w:t>t</w:t>
            </w:r>
            <w:r w:rsidRPr="00957936">
              <w:rPr>
                <w:rFonts w:ascii="Arial Narrow" w:hAnsi="Arial Narrow" w:cs="Arial"/>
                <w:sz w:val="18"/>
                <w:szCs w:val="18"/>
              </w:rPr>
              <w:t xml:space="preserve"> Technologies in 2015 Study </w:t>
            </w:r>
          </w:p>
        </w:tc>
        <w:tc>
          <w:tcPr>
            <w:tcW w:w="1246" w:type="pct"/>
          </w:tcPr>
          <w:p w14:paraId="5AA070A1" w14:textId="77777777" w:rsidR="006C711D" w:rsidRPr="00957936" w:rsidRDefault="006C711D" w:rsidP="006C711D">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Efficien</w:t>
            </w:r>
            <w:r w:rsidR="00A652E5" w:rsidRPr="00957936">
              <w:rPr>
                <w:rFonts w:ascii="Arial Narrow" w:hAnsi="Arial Narrow" w:cs="Arial"/>
                <w:sz w:val="18"/>
                <w:szCs w:val="18"/>
              </w:rPr>
              <w:t xml:space="preserve">t </w:t>
            </w:r>
            <w:r w:rsidRPr="00957936">
              <w:rPr>
                <w:rFonts w:ascii="Arial Narrow" w:hAnsi="Arial Narrow" w:cs="Arial"/>
                <w:sz w:val="18"/>
                <w:szCs w:val="18"/>
              </w:rPr>
              <w:t>Technologies in 201</w:t>
            </w:r>
            <w:r w:rsidR="00EA1038" w:rsidRPr="00957936">
              <w:rPr>
                <w:rFonts w:ascii="Arial Narrow" w:hAnsi="Arial Narrow" w:cs="Arial"/>
                <w:sz w:val="18"/>
                <w:szCs w:val="18"/>
              </w:rPr>
              <w:t>8</w:t>
            </w:r>
            <w:r w:rsidRPr="00957936">
              <w:rPr>
                <w:rFonts w:ascii="Arial Narrow" w:hAnsi="Arial Narrow" w:cs="Arial"/>
                <w:sz w:val="18"/>
                <w:szCs w:val="18"/>
              </w:rPr>
              <w:t xml:space="preserve"> Study </w:t>
            </w:r>
          </w:p>
        </w:tc>
      </w:tr>
      <w:tr w:rsidR="006C711D" w:rsidRPr="00957936" w14:paraId="11B4945E" w14:textId="77777777" w:rsidTr="00110120">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745" w:type="pct"/>
            <w:vMerge w:val="restart"/>
          </w:tcPr>
          <w:p w14:paraId="2106D646" w14:textId="77777777" w:rsidR="006C711D" w:rsidRPr="00957936" w:rsidRDefault="006C711D" w:rsidP="006C711D">
            <w:pPr>
              <w:rPr>
                <w:rFonts w:ascii="Arial Narrow" w:hAnsi="Arial Narrow" w:cs="Arial"/>
                <w:b/>
                <w:sz w:val="18"/>
                <w:szCs w:val="18"/>
              </w:rPr>
            </w:pPr>
            <w:r w:rsidRPr="00957936">
              <w:rPr>
                <w:rFonts w:ascii="Arial Narrow" w:hAnsi="Arial Narrow" w:cs="Arial"/>
                <w:b/>
                <w:sz w:val="18"/>
                <w:szCs w:val="18"/>
              </w:rPr>
              <w:t>Residential</w:t>
            </w:r>
          </w:p>
        </w:tc>
        <w:tc>
          <w:tcPr>
            <w:tcW w:w="1683" w:type="pct"/>
          </w:tcPr>
          <w:p w14:paraId="1E56FFFE"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1326" w:type="pct"/>
          </w:tcPr>
          <w:p w14:paraId="0AA76E78"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18</w:t>
            </w:r>
          </w:p>
        </w:tc>
        <w:tc>
          <w:tcPr>
            <w:tcW w:w="1246" w:type="pct"/>
          </w:tcPr>
          <w:p w14:paraId="5445B81A"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22</w:t>
            </w:r>
          </w:p>
        </w:tc>
      </w:tr>
      <w:tr w:rsidR="006C711D" w:rsidRPr="00957936" w14:paraId="35AF6E3D" w14:textId="77777777" w:rsidTr="00110120">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45" w:type="pct"/>
            <w:vMerge/>
          </w:tcPr>
          <w:p w14:paraId="57AC823C" w14:textId="77777777" w:rsidR="006C711D" w:rsidRPr="00957936" w:rsidRDefault="006C711D" w:rsidP="006C711D">
            <w:pPr>
              <w:rPr>
                <w:rFonts w:ascii="Arial Narrow" w:hAnsi="Arial Narrow" w:cs="Arial"/>
                <w:sz w:val="18"/>
                <w:szCs w:val="18"/>
              </w:rPr>
            </w:pPr>
          </w:p>
        </w:tc>
        <w:tc>
          <w:tcPr>
            <w:tcW w:w="1683" w:type="pct"/>
          </w:tcPr>
          <w:p w14:paraId="100D1875"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1326" w:type="pct"/>
          </w:tcPr>
          <w:p w14:paraId="6170001E" w14:textId="77777777" w:rsidR="006C711D" w:rsidRPr="00957936"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1246" w:type="pct"/>
          </w:tcPr>
          <w:p w14:paraId="20C160E8"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4</w:t>
            </w:r>
          </w:p>
        </w:tc>
      </w:tr>
      <w:tr w:rsidR="006C711D" w:rsidRPr="00957936" w14:paraId="14D5138B" w14:textId="77777777" w:rsidTr="0011012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745" w:type="pct"/>
            <w:vMerge/>
          </w:tcPr>
          <w:p w14:paraId="2624D85A" w14:textId="77777777" w:rsidR="006C711D" w:rsidRPr="00957936" w:rsidRDefault="006C711D" w:rsidP="006C711D">
            <w:pPr>
              <w:rPr>
                <w:rFonts w:ascii="Arial Narrow" w:hAnsi="Arial Narrow" w:cs="Arial"/>
                <w:sz w:val="18"/>
                <w:szCs w:val="18"/>
              </w:rPr>
            </w:pPr>
          </w:p>
        </w:tc>
        <w:tc>
          <w:tcPr>
            <w:tcW w:w="1683" w:type="pct"/>
          </w:tcPr>
          <w:p w14:paraId="6E8CC564"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1326" w:type="pct"/>
          </w:tcPr>
          <w:p w14:paraId="297D7F39"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12</w:t>
            </w:r>
          </w:p>
        </w:tc>
        <w:tc>
          <w:tcPr>
            <w:tcW w:w="1246" w:type="pct"/>
          </w:tcPr>
          <w:p w14:paraId="4E8664C7"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6</w:t>
            </w:r>
          </w:p>
        </w:tc>
      </w:tr>
      <w:tr w:rsidR="006C711D" w:rsidRPr="00957936" w14:paraId="0B37BD41" w14:textId="77777777" w:rsidTr="00110120">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45" w:type="pct"/>
            <w:vMerge/>
          </w:tcPr>
          <w:p w14:paraId="4D5B6887" w14:textId="77777777" w:rsidR="006C711D" w:rsidRPr="00957936" w:rsidRDefault="006C711D" w:rsidP="006C711D">
            <w:pPr>
              <w:rPr>
                <w:rFonts w:ascii="Arial Narrow" w:hAnsi="Arial Narrow" w:cs="Arial"/>
                <w:sz w:val="18"/>
                <w:szCs w:val="18"/>
              </w:rPr>
            </w:pPr>
          </w:p>
        </w:tc>
        <w:tc>
          <w:tcPr>
            <w:tcW w:w="1683" w:type="pct"/>
          </w:tcPr>
          <w:p w14:paraId="46C5E340"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1326" w:type="pct"/>
          </w:tcPr>
          <w:p w14:paraId="30ABF0C8" w14:textId="77777777" w:rsidR="006C711D" w:rsidRPr="00957936"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29</w:t>
            </w:r>
          </w:p>
        </w:tc>
        <w:tc>
          <w:tcPr>
            <w:tcW w:w="1246" w:type="pct"/>
          </w:tcPr>
          <w:p w14:paraId="4F40FD06"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5</w:t>
            </w:r>
          </w:p>
        </w:tc>
      </w:tr>
      <w:tr w:rsidR="006C711D" w:rsidRPr="00957936" w14:paraId="108A1544" w14:textId="77777777" w:rsidTr="0011012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45" w:type="pct"/>
            <w:vMerge/>
          </w:tcPr>
          <w:p w14:paraId="74641391" w14:textId="77777777" w:rsidR="006C711D" w:rsidRPr="00957936" w:rsidRDefault="006C711D" w:rsidP="006C711D">
            <w:pPr>
              <w:rPr>
                <w:rFonts w:ascii="Arial Narrow" w:hAnsi="Arial Narrow" w:cs="Arial"/>
                <w:sz w:val="18"/>
                <w:szCs w:val="18"/>
              </w:rPr>
            </w:pPr>
          </w:p>
        </w:tc>
        <w:tc>
          <w:tcPr>
            <w:tcW w:w="1683" w:type="pct"/>
          </w:tcPr>
          <w:p w14:paraId="3E4FA147"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1326" w:type="pct"/>
          </w:tcPr>
          <w:p w14:paraId="0FEB0786"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w:t>
            </w:r>
          </w:p>
        </w:tc>
        <w:tc>
          <w:tcPr>
            <w:tcW w:w="1246" w:type="pct"/>
          </w:tcPr>
          <w:p w14:paraId="468C5447"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2</w:t>
            </w:r>
          </w:p>
        </w:tc>
      </w:tr>
      <w:tr w:rsidR="006C711D" w:rsidRPr="00957936" w14:paraId="5D1CA935" w14:textId="77777777" w:rsidTr="00110120">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45" w:type="pct"/>
            <w:vMerge/>
          </w:tcPr>
          <w:p w14:paraId="1C5E93A4" w14:textId="77777777" w:rsidR="006C711D" w:rsidRPr="00957936" w:rsidRDefault="006C711D" w:rsidP="006C711D">
            <w:pPr>
              <w:rPr>
                <w:rFonts w:ascii="Arial Narrow" w:hAnsi="Arial Narrow" w:cs="Arial"/>
                <w:sz w:val="18"/>
                <w:szCs w:val="18"/>
              </w:rPr>
            </w:pPr>
          </w:p>
        </w:tc>
        <w:tc>
          <w:tcPr>
            <w:tcW w:w="1683" w:type="pct"/>
          </w:tcPr>
          <w:p w14:paraId="7352CE6C"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1326" w:type="pct"/>
          </w:tcPr>
          <w:p w14:paraId="4AC5E8E4" w14:textId="77777777" w:rsidR="006C711D" w:rsidRPr="00957936" w:rsidDel="0064218F"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68</w:t>
            </w:r>
          </w:p>
        </w:tc>
        <w:tc>
          <w:tcPr>
            <w:tcW w:w="1246" w:type="pct"/>
          </w:tcPr>
          <w:p w14:paraId="25843CC9" w14:textId="77777777" w:rsidR="006C711D" w:rsidRPr="00957936" w:rsidRDefault="00D351A6"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99</w:t>
            </w:r>
          </w:p>
        </w:tc>
      </w:tr>
      <w:tr w:rsidR="006C711D" w:rsidRPr="00957936" w14:paraId="7FB15459" w14:textId="77777777" w:rsidTr="0011012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45" w:type="pct"/>
            <w:vMerge w:val="restart"/>
          </w:tcPr>
          <w:p w14:paraId="2F944D51" w14:textId="77777777" w:rsidR="006C711D" w:rsidRPr="00957936" w:rsidRDefault="006C711D" w:rsidP="006C711D">
            <w:pPr>
              <w:rPr>
                <w:rFonts w:ascii="Arial Narrow" w:hAnsi="Arial Narrow" w:cs="Arial"/>
                <w:b/>
                <w:sz w:val="18"/>
                <w:szCs w:val="18"/>
              </w:rPr>
            </w:pPr>
            <w:r w:rsidRPr="00957936">
              <w:rPr>
                <w:rFonts w:ascii="Arial Narrow" w:hAnsi="Arial Narrow" w:cs="Arial"/>
                <w:b/>
                <w:sz w:val="18"/>
                <w:szCs w:val="18"/>
              </w:rPr>
              <w:t>Commercial</w:t>
            </w:r>
          </w:p>
        </w:tc>
        <w:tc>
          <w:tcPr>
            <w:tcW w:w="1683" w:type="pct"/>
          </w:tcPr>
          <w:p w14:paraId="6766E7F4"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1326" w:type="pct"/>
          </w:tcPr>
          <w:p w14:paraId="71DD5913"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p>
        </w:tc>
        <w:tc>
          <w:tcPr>
            <w:tcW w:w="1246" w:type="pct"/>
          </w:tcPr>
          <w:p w14:paraId="53AF1B26"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2</w:t>
            </w:r>
          </w:p>
        </w:tc>
      </w:tr>
      <w:tr w:rsidR="006C711D" w:rsidRPr="00957936" w14:paraId="194EB807" w14:textId="77777777" w:rsidTr="00110120">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45" w:type="pct"/>
            <w:vMerge/>
          </w:tcPr>
          <w:p w14:paraId="50FDC87A" w14:textId="77777777" w:rsidR="006C711D" w:rsidRPr="00957936" w:rsidRDefault="006C711D" w:rsidP="006C711D">
            <w:pPr>
              <w:rPr>
                <w:rFonts w:ascii="Arial Narrow" w:hAnsi="Arial Narrow" w:cs="Arial"/>
                <w:sz w:val="18"/>
                <w:szCs w:val="18"/>
              </w:rPr>
            </w:pPr>
          </w:p>
        </w:tc>
        <w:tc>
          <w:tcPr>
            <w:tcW w:w="1683" w:type="pct"/>
          </w:tcPr>
          <w:p w14:paraId="3300CAC3"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1326" w:type="pct"/>
          </w:tcPr>
          <w:p w14:paraId="406F5788" w14:textId="77777777" w:rsidR="006C711D"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1246" w:type="pct"/>
          </w:tcPr>
          <w:p w14:paraId="0A7DDB32"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r>
      <w:tr w:rsidR="006C711D" w:rsidRPr="00957936" w14:paraId="0AD18261" w14:textId="77777777" w:rsidTr="0011012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45" w:type="pct"/>
            <w:vMerge/>
          </w:tcPr>
          <w:p w14:paraId="7BF6941E" w14:textId="77777777" w:rsidR="006C711D" w:rsidRPr="00957936" w:rsidRDefault="006C711D" w:rsidP="006C711D">
            <w:pPr>
              <w:rPr>
                <w:rFonts w:ascii="Arial Narrow" w:hAnsi="Arial Narrow" w:cs="Arial"/>
                <w:sz w:val="18"/>
                <w:szCs w:val="18"/>
              </w:rPr>
            </w:pPr>
          </w:p>
        </w:tc>
        <w:tc>
          <w:tcPr>
            <w:tcW w:w="1683" w:type="pct"/>
          </w:tcPr>
          <w:p w14:paraId="3D9D5037"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Com. Refrigeration</w:t>
            </w:r>
          </w:p>
        </w:tc>
        <w:tc>
          <w:tcPr>
            <w:tcW w:w="1326" w:type="pct"/>
          </w:tcPr>
          <w:p w14:paraId="571B17A2"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w:t>
            </w:r>
          </w:p>
        </w:tc>
        <w:tc>
          <w:tcPr>
            <w:tcW w:w="1246" w:type="pct"/>
          </w:tcPr>
          <w:p w14:paraId="456690E5"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0</w:t>
            </w:r>
          </w:p>
        </w:tc>
      </w:tr>
      <w:tr w:rsidR="006C711D" w:rsidRPr="00957936" w14:paraId="163A583F" w14:textId="77777777" w:rsidTr="00110120">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45" w:type="pct"/>
            <w:vMerge/>
          </w:tcPr>
          <w:p w14:paraId="228366E8" w14:textId="77777777" w:rsidR="006C711D" w:rsidRPr="00957936" w:rsidRDefault="006C711D" w:rsidP="006C711D">
            <w:pPr>
              <w:rPr>
                <w:rFonts w:ascii="Arial Narrow" w:hAnsi="Arial Narrow" w:cs="Arial"/>
                <w:sz w:val="18"/>
                <w:szCs w:val="18"/>
              </w:rPr>
            </w:pPr>
          </w:p>
        </w:tc>
        <w:tc>
          <w:tcPr>
            <w:tcW w:w="1683" w:type="pct"/>
          </w:tcPr>
          <w:p w14:paraId="260F9771"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Data Center</w:t>
            </w:r>
          </w:p>
        </w:tc>
        <w:tc>
          <w:tcPr>
            <w:tcW w:w="1326" w:type="pct"/>
          </w:tcPr>
          <w:p w14:paraId="3F3196A1" w14:textId="77777777" w:rsidR="006C711D" w:rsidRPr="00957936"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N/A</w:t>
            </w:r>
          </w:p>
        </w:tc>
        <w:tc>
          <w:tcPr>
            <w:tcW w:w="1246" w:type="pct"/>
          </w:tcPr>
          <w:p w14:paraId="6C6C6A63" w14:textId="77777777" w:rsidR="006C711D" w:rsidRPr="00957936" w:rsidRDefault="00D351A6"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5</w:t>
            </w:r>
          </w:p>
        </w:tc>
      </w:tr>
      <w:tr w:rsidR="006C711D" w:rsidRPr="00957936" w14:paraId="6ABF6BB8" w14:textId="77777777" w:rsidTr="0011012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45" w:type="pct"/>
            <w:vMerge/>
          </w:tcPr>
          <w:p w14:paraId="57581B2A" w14:textId="77777777" w:rsidR="006C711D" w:rsidRPr="00957936" w:rsidRDefault="006C711D" w:rsidP="006C711D">
            <w:pPr>
              <w:rPr>
                <w:rFonts w:ascii="Arial Narrow" w:hAnsi="Arial Narrow" w:cs="Arial"/>
                <w:sz w:val="18"/>
                <w:szCs w:val="18"/>
              </w:rPr>
            </w:pPr>
          </w:p>
        </w:tc>
        <w:tc>
          <w:tcPr>
            <w:tcW w:w="1683" w:type="pct"/>
          </w:tcPr>
          <w:p w14:paraId="6A16EF86"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Food Service</w:t>
            </w:r>
          </w:p>
        </w:tc>
        <w:tc>
          <w:tcPr>
            <w:tcW w:w="1326" w:type="pct"/>
          </w:tcPr>
          <w:p w14:paraId="0CEFDCA5"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c>
          <w:tcPr>
            <w:tcW w:w="1246" w:type="pct"/>
          </w:tcPr>
          <w:p w14:paraId="68F06E2C"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r>
      <w:tr w:rsidR="006C711D" w:rsidRPr="00957936" w14:paraId="19FD9E7B" w14:textId="77777777" w:rsidTr="00110120">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45" w:type="pct"/>
            <w:vMerge/>
          </w:tcPr>
          <w:p w14:paraId="4C945499" w14:textId="77777777" w:rsidR="006C711D" w:rsidRPr="00957936" w:rsidRDefault="006C711D" w:rsidP="006C711D">
            <w:pPr>
              <w:rPr>
                <w:rFonts w:ascii="Arial Narrow" w:hAnsi="Arial Narrow" w:cs="Arial"/>
                <w:sz w:val="18"/>
                <w:szCs w:val="18"/>
              </w:rPr>
            </w:pPr>
          </w:p>
        </w:tc>
        <w:tc>
          <w:tcPr>
            <w:tcW w:w="1683" w:type="pct"/>
          </w:tcPr>
          <w:p w14:paraId="717E5ADB"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1326" w:type="pct"/>
          </w:tcPr>
          <w:p w14:paraId="17706545" w14:textId="77777777" w:rsidR="006C711D"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25</w:t>
            </w:r>
          </w:p>
        </w:tc>
        <w:tc>
          <w:tcPr>
            <w:tcW w:w="1246" w:type="pct"/>
          </w:tcPr>
          <w:p w14:paraId="4DE9B626"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r w:rsidR="00D351A6">
              <w:rPr>
                <w:rFonts w:ascii="Arial Narrow" w:hAnsi="Arial Narrow" w:cs="Arial"/>
                <w:sz w:val="18"/>
                <w:szCs w:val="18"/>
              </w:rPr>
              <w:t>4</w:t>
            </w:r>
          </w:p>
        </w:tc>
      </w:tr>
      <w:tr w:rsidR="006C711D" w:rsidRPr="00957936" w14:paraId="45683DB3" w14:textId="77777777" w:rsidTr="0011012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45" w:type="pct"/>
            <w:vMerge/>
          </w:tcPr>
          <w:p w14:paraId="31B5A3E2" w14:textId="77777777" w:rsidR="006C711D" w:rsidRPr="00957936" w:rsidRDefault="006C711D" w:rsidP="006C711D">
            <w:pPr>
              <w:rPr>
                <w:rFonts w:ascii="Arial Narrow" w:hAnsi="Arial Narrow" w:cs="Arial"/>
                <w:sz w:val="18"/>
                <w:szCs w:val="18"/>
              </w:rPr>
            </w:pPr>
          </w:p>
        </w:tc>
        <w:tc>
          <w:tcPr>
            <w:tcW w:w="1683" w:type="pct"/>
          </w:tcPr>
          <w:p w14:paraId="205CEEB8"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1326" w:type="pct"/>
          </w:tcPr>
          <w:p w14:paraId="283EC59D"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27</w:t>
            </w:r>
          </w:p>
        </w:tc>
        <w:tc>
          <w:tcPr>
            <w:tcW w:w="1246" w:type="pct"/>
          </w:tcPr>
          <w:p w14:paraId="0B2FD76E"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26</w:t>
            </w:r>
          </w:p>
        </w:tc>
      </w:tr>
      <w:tr w:rsidR="00A6197B" w:rsidRPr="00957936" w14:paraId="29CAB099" w14:textId="77777777" w:rsidTr="00110120">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45" w:type="pct"/>
            <w:vMerge/>
          </w:tcPr>
          <w:p w14:paraId="4B13D258" w14:textId="77777777" w:rsidR="00A6197B" w:rsidRPr="00957936" w:rsidRDefault="00A6197B" w:rsidP="006C711D">
            <w:pPr>
              <w:rPr>
                <w:rFonts w:ascii="Arial Narrow" w:hAnsi="Arial Narrow" w:cs="Arial"/>
                <w:sz w:val="18"/>
                <w:szCs w:val="18"/>
              </w:rPr>
            </w:pPr>
          </w:p>
        </w:tc>
        <w:tc>
          <w:tcPr>
            <w:tcW w:w="1683" w:type="pct"/>
          </w:tcPr>
          <w:p w14:paraId="52795D66" w14:textId="77777777" w:rsidR="00A6197B"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ProcHeat</w:t>
            </w:r>
          </w:p>
        </w:tc>
        <w:tc>
          <w:tcPr>
            <w:tcW w:w="1326" w:type="pct"/>
          </w:tcPr>
          <w:p w14:paraId="1500ED52" w14:textId="77777777" w:rsidR="00A6197B"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1246" w:type="pct"/>
          </w:tcPr>
          <w:p w14:paraId="5F9D1F68" w14:textId="77777777" w:rsidR="00A6197B"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N/A</w:t>
            </w:r>
          </w:p>
        </w:tc>
      </w:tr>
      <w:tr w:rsidR="00A6197B" w:rsidRPr="00957936" w14:paraId="0D7907BC" w14:textId="77777777" w:rsidTr="0011012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45" w:type="pct"/>
            <w:vMerge/>
          </w:tcPr>
          <w:p w14:paraId="5FE5B2EC" w14:textId="77777777" w:rsidR="00A6197B" w:rsidRPr="00957936" w:rsidRDefault="00A6197B" w:rsidP="006C711D">
            <w:pPr>
              <w:rPr>
                <w:rFonts w:ascii="Arial Narrow" w:hAnsi="Arial Narrow" w:cs="Arial"/>
                <w:sz w:val="18"/>
                <w:szCs w:val="18"/>
              </w:rPr>
            </w:pPr>
          </w:p>
        </w:tc>
        <w:tc>
          <w:tcPr>
            <w:tcW w:w="1683" w:type="pct"/>
          </w:tcPr>
          <w:p w14:paraId="0A0E03AB" w14:textId="77777777" w:rsidR="00A6197B"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Service</w:t>
            </w:r>
          </w:p>
        </w:tc>
        <w:tc>
          <w:tcPr>
            <w:tcW w:w="1326" w:type="pct"/>
          </w:tcPr>
          <w:p w14:paraId="56AF7B3B" w14:textId="77777777" w:rsidR="00A6197B"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p>
        </w:tc>
        <w:tc>
          <w:tcPr>
            <w:tcW w:w="1246" w:type="pct"/>
          </w:tcPr>
          <w:p w14:paraId="2517648C" w14:textId="77777777" w:rsidR="00A6197B"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N/A</w:t>
            </w:r>
          </w:p>
        </w:tc>
      </w:tr>
      <w:tr w:rsidR="006C711D" w:rsidRPr="00957936" w14:paraId="6B9781C6" w14:textId="77777777" w:rsidTr="00110120">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45" w:type="pct"/>
            <w:vMerge/>
          </w:tcPr>
          <w:p w14:paraId="772A6599" w14:textId="77777777" w:rsidR="006C711D" w:rsidRPr="00957936" w:rsidRDefault="006C711D" w:rsidP="006C711D">
            <w:pPr>
              <w:rPr>
                <w:rFonts w:ascii="Arial Narrow" w:hAnsi="Arial Narrow" w:cs="Arial"/>
                <w:sz w:val="18"/>
                <w:szCs w:val="18"/>
              </w:rPr>
            </w:pPr>
          </w:p>
        </w:tc>
        <w:tc>
          <w:tcPr>
            <w:tcW w:w="1683" w:type="pct"/>
          </w:tcPr>
          <w:p w14:paraId="3088A887"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1326" w:type="pct"/>
          </w:tcPr>
          <w:p w14:paraId="05B605F5" w14:textId="77777777" w:rsidR="006C711D"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9</w:t>
            </w:r>
          </w:p>
        </w:tc>
        <w:tc>
          <w:tcPr>
            <w:tcW w:w="1246" w:type="pct"/>
          </w:tcPr>
          <w:p w14:paraId="330F4359" w14:textId="77777777" w:rsidR="006C711D" w:rsidRPr="00957936" w:rsidRDefault="00D351A6"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7</w:t>
            </w:r>
          </w:p>
        </w:tc>
      </w:tr>
      <w:tr w:rsidR="006C711D" w:rsidRPr="00957936" w14:paraId="75A637E1" w14:textId="77777777" w:rsidTr="0011012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45" w:type="pct"/>
            <w:vMerge/>
          </w:tcPr>
          <w:p w14:paraId="2E5A7DF8" w14:textId="77777777" w:rsidR="006C711D" w:rsidRPr="00957936" w:rsidRDefault="006C711D" w:rsidP="006C711D">
            <w:pPr>
              <w:rPr>
                <w:rFonts w:ascii="Arial Narrow" w:hAnsi="Arial Narrow" w:cs="Arial"/>
                <w:sz w:val="18"/>
                <w:szCs w:val="18"/>
              </w:rPr>
            </w:pPr>
          </w:p>
        </w:tc>
        <w:tc>
          <w:tcPr>
            <w:tcW w:w="1683" w:type="pct"/>
          </w:tcPr>
          <w:p w14:paraId="609F6271"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1326" w:type="pct"/>
          </w:tcPr>
          <w:p w14:paraId="5D90709A"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85</w:t>
            </w:r>
          </w:p>
        </w:tc>
        <w:tc>
          <w:tcPr>
            <w:tcW w:w="1246" w:type="pct"/>
          </w:tcPr>
          <w:p w14:paraId="093C9ED6"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136</w:t>
            </w:r>
          </w:p>
        </w:tc>
      </w:tr>
    </w:tbl>
    <w:p w14:paraId="04BA9F2A" w14:textId="77777777" w:rsidR="006C711D" w:rsidRPr="001E69E4" w:rsidRDefault="006C711D" w:rsidP="001E69E4"/>
    <w:p w14:paraId="0678BB72" w14:textId="77777777" w:rsidR="00136E84" w:rsidRPr="00E62B2A" w:rsidRDefault="00136E84" w:rsidP="001E69E4"/>
    <w:p w14:paraId="60BBA5D5" w14:textId="74E98554" w:rsidR="00870A2E" w:rsidRDefault="008610C3" w:rsidP="001E69E4">
      <w:r>
        <w:t>The technology-based characterization allows for the i</w:t>
      </w:r>
      <w:r w:rsidR="00870A2E">
        <w:t xml:space="preserve">nclusion of below-code </w:t>
      </w:r>
      <w:r w:rsidR="001E69E4">
        <w:t>technologies (and thus to-code savings)</w:t>
      </w:r>
      <w:r>
        <w:t>.  In</w:t>
      </w:r>
      <w:r w:rsidR="006A152F">
        <w:t xml:space="preserve"> the</w:t>
      </w:r>
      <w:r w:rsidR="001E69E4">
        <w:t xml:space="preserve"> new</w:t>
      </w:r>
      <w:r w:rsidR="006A152F">
        <w:t xml:space="preserve"> technology list</w:t>
      </w:r>
      <w:r>
        <w:t xml:space="preserve">, Navigant defined the average </w:t>
      </w:r>
      <w:r w:rsidR="006807F5">
        <w:t>below code</w:t>
      </w:r>
      <w:r>
        <w:t xml:space="preserve"> efficiency level for technology groups</w:t>
      </w:r>
      <w:r w:rsidR="001E69E4">
        <w:t xml:space="preserve"> where appropriate. </w:t>
      </w:r>
      <w:r w:rsidR="00CD7C85">
        <w:t xml:space="preserve"> </w:t>
      </w:r>
      <w:r w:rsidR="001E69E4">
        <w:t xml:space="preserve">Such technologies are flagged as “Accelerated Replacement” and are summarized in </w:t>
      </w:r>
      <w:r w:rsidR="001E69E4">
        <w:fldChar w:fldCharType="begin"/>
      </w:r>
      <w:r w:rsidR="001E69E4">
        <w:instrText xml:space="preserve"> REF _Ref482344758 \h </w:instrText>
      </w:r>
      <w:r w:rsidR="001E69E4">
        <w:fldChar w:fldCharType="separate"/>
      </w:r>
      <w:r w:rsidR="00C407F4" w:rsidRPr="00D063E4">
        <w:t xml:space="preserve">Table </w:t>
      </w:r>
      <w:r w:rsidR="00C407F4">
        <w:rPr>
          <w:noProof/>
        </w:rPr>
        <w:t>3</w:t>
      </w:r>
      <w:r w:rsidR="00C407F4" w:rsidRPr="00D063E4">
        <w:noBreakHyphen/>
      </w:r>
      <w:r w:rsidR="00C407F4">
        <w:rPr>
          <w:noProof/>
        </w:rPr>
        <w:t>10</w:t>
      </w:r>
      <w:r w:rsidR="001E69E4">
        <w:fldChar w:fldCharType="end"/>
      </w:r>
      <w:r w:rsidR="001E69E4">
        <w:t xml:space="preserve"> below. </w:t>
      </w:r>
    </w:p>
    <w:p w14:paraId="19D5B6AC" w14:textId="77777777" w:rsidR="00A652E5" w:rsidRPr="001E69E4" w:rsidRDefault="00A652E5" w:rsidP="00A652E5">
      <w:pPr>
        <w:rPr>
          <w:b/>
        </w:rPr>
      </w:pPr>
    </w:p>
    <w:p w14:paraId="36CD933E" w14:textId="77777777" w:rsidR="00BF5347" w:rsidRPr="00D063E4" w:rsidRDefault="00BF5347" w:rsidP="00D063E4">
      <w:pPr>
        <w:pStyle w:val="Caption"/>
      </w:pPr>
      <w:bookmarkStart w:id="445" w:name="_Ref482344758"/>
      <w:bookmarkStart w:id="446" w:name="_Toc482634218"/>
      <w:bookmarkStart w:id="447" w:name="_Toc484436957"/>
      <w:bookmarkStart w:id="448" w:name="_Toc485125668"/>
      <w:r w:rsidRPr="00D063E4">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10</w:t>
      </w:r>
      <w:r w:rsidR="00272F76">
        <w:rPr>
          <w:noProof/>
        </w:rPr>
        <w:fldChar w:fldCharType="end"/>
      </w:r>
      <w:bookmarkEnd w:id="445"/>
      <w:r w:rsidRPr="00D063E4">
        <w:t xml:space="preserve">. Residential and Commercial </w:t>
      </w:r>
      <w:r w:rsidR="001E69E4" w:rsidRPr="00D063E4">
        <w:t>Accelerated Replacement</w:t>
      </w:r>
      <w:r w:rsidRPr="00D063E4">
        <w:t xml:space="preserve"> Technolog</w:t>
      </w:r>
      <w:bookmarkEnd w:id="446"/>
      <w:bookmarkEnd w:id="447"/>
      <w:r w:rsidR="00355E35">
        <w:t>y Groups</w:t>
      </w:r>
      <w:bookmarkEnd w:id="448"/>
      <w:r w:rsidRPr="00D063E4">
        <w:t xml:space="preserve"> </w:t>
      </w:r>
    </w:p>
    <w:tbl>
      <w:tblPr>
        <w:tblStyle w:val="EnergyTable1"/>
        <w:tblW w:w="4037" w:type="pct"/>
        <w:tblLook w:val="04A0" w:firstRow="1" w:lastRow="0" w:firstColumn="1" w:lastColumn="0" w:noHBand="0" w:noVBand="1"/>
      </w:tblPr>
      <w:tblGrid>
        <w:gridCol w:w="1841"/>
        <w:gridCol w:w="2487"/>
        <w:gridCol w:w="3404"/>
      </w:tblGrid>
      <w:tr w:rsidR="006C711D" w:rsidRPr="00957936" w14:paraId="7E7C5849" w14:textId="77777777" w:rsidTr="00D351A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91" w:type="pct"/>
          </w:tcPr>
          <w:p w14:paraId="07967231" w14:textId="77777777" w:rsidR="006C711D" w:rsidRPr="00957936" w:rsidRDefault="006C711D" w:rsidP="00A330AB">
            <w:pPr>
              <w:keepNext/>
              <w:rPr>
                <w:rFonts w:ascii="Arial Narrow" w:hAnsi="Arial Narrow" w:cs="Arial"/>
                <w:sz w:val="18"/>
                <w:szCs w:val="18"/>
              </w:rPr>
            </w:pPr>
            <w:r w:rsidRPr="00957936">
              <w:rPr>
                <w:rFonts w:ascii="Arial Narrow" w:hAnsi="Arial Narrow" w:cs="Arial"/>
                <w:sz w:val="18"/>
                <w:szCs w:val="18"/>
              </w:rPr>
              <w:t>Sector</w:t>
            </w:r>
          </w:p>
        </w:tc>
        <w:tc>
          <w:tcPr>
            <w:tcW w:w="1608" w:type="pct"/>
          </w:tcPr>
          <w:p w14:paraId="31A76BE9" w14:textId="77777777" w:rsidR="006C711D" w:rsidRPr="00957936" w:rsidRDefault="006C711D"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2201" w:type="pct"/>
          </w:tcPr>
          <w:p w14:paraId="7EE3A6A1" w14:textId="77777777" w:rsidR="006C711D" w:rsidRPr="00957936" w:rsidRDefault="006C711D"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Technolog</w:t>
            </w:r>
            <w:r w:rsidR="00355E35">
              <w:rPr>
                <w:rFonts w:ascii="Arial Narrow" w:hAnsi="Arial Narrow" w:cs="Arial"/>
                <w:sz w:val="18"/>
                <w:szCs w:val="18"/>
              </w:rPr>
              <w:t>y Groups</w:t>
            </w:r>
            <w:r w:rsidRPr="00957936">
              <w:rPr>
                <w:rFonts w:ascii="Arial Narrow" w:hAnsi="Arial Narrow" w:cs="Arial"/>
                <w:sz w:val="18"/>
                <w:szCs w:val="18"/>
              </w:rPr>
              <w:t xml:space="preserve"> Characterized as </w:t>
            </w:r>
            <w:r w:rsidR="001E69E4" w:rsidRPr="00957936">
              <w:rPr>
                <w:rFonts w:ascii="Arial Narrow" w:hAnsi="Arial Narrow" w:cs="Arial"/>
                <w:sz w:val="18"/>
                <w:szCs w:val="18"/>
              </w:rPr>
              <w:t>Accelerated Replacement</w:t>
            </w:r>
            <w:r w:rsidRPr="00957936">
              <w:rPr>
                <w:rFonts w:ascii="Arial Narrow" w:hAnsi="Arial Narrow" w:cs="Arial"/>
                <w:sz w:val="18"/>
                <w:szCs w:val="18"/>
              </w:rPr>
              <w:t xml:space="preserve"> </w:t>
            </w:r>
          </w:p>
        </w:tc>
      </w:tr>
      <w:tr w:rsidR="006C711D" w:rsidRPr="00957936" w14:paraId="6B7ED9C3" w14:textId="77777777" w:rsidTr="00D351A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91" w:type="pct"/>
            <w:vMerge w:val="restart"/>
          </w:tcPr>
          <w:p w14:paraId="0353D4A5" w14:textId="77777777" w:rsidR="006C711D" w:rsidRPr="00957936" w:rsidRDefault="001E69E4" w:rsidP="00A330AB">
            <w:pPr>
              <w:keepNext/>
              <w:rPr>
                <w:rFonts w:ascii="Arial Narrow" w:hAnsi="Arial Narrow" w:cs="Arial"/>
                <w:b/>
                <w:sz w:val="18"/>
                <w:szCs w:val="18"/>
              </w:rPr>
            </w:pPr>
            <w:r w:rsidRPr="00957936">
              <w:rPr>
                <w:rFonts w:ascii="Arial Narrow" w:hAnsi="Arial Narrow" w:cs="Arial"/>
                <w:b/>
                <w:sz w:val="18"/>
                <w:szCs w:val="18"/>
              </w:rPr>
              <w:t xml:space="preserve">Residential </w:t>
            </w:r>
          </w:p>
        </w:tc>
        <w:tc>
          <w:tcPr>
            <w:tcW w:w="1608" w:type="pct"/>
          </w:tcPr>
          <w:p w14:paraId="4211759D" w14:textId="77777777" w:rsidR="006C711D" w:rsidRPr="00957936" w:rsidRDefault="006C711D"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2201" w:type="pct"/>
          </w:tcPr>
          <w:p w14:paraId="32D9E04E" w14:textId="77777777" w:rsidR="006C711D" w:rsidRPr="00957936" w:rsidRDefault="00355E35"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w:t>
            </w:r>
          </w:p>
        </w:tc>
      </w:tr>
      <w:tr w:rsidR="006C711D" w:rsidRPr="00957936" w14:paraId="49FAA463" w14:textId="77777777" w:rsidTr="00D351A6">
        <w:trPr>
          <w:cnfStyle w:val="000000010000" w:firstRow="0" w:lastRow="0" w:firstColumn="0" w:lastColumn="0" w:oddVBand="0" w:evenVBand="0" w:oddHBand="0" w:evenHBand="1"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191" w:type="pct"/>
            <w:vMerge/>
          </w:tcPr>
          <w:p w14:paraId="7C750E57" w14:textId="77777777" w:rsidR="006C711D" w:rsidRPr="00957936" w:rsidRDefault="006C711D" w:rsidP="00A330AB">
            <w:pPr>
              <w:keepNext/>
              <w:rPr>
                <w:rFonts w:ascii="Arial Narrow" w:hAnsi="Arial Narrow" w:cs="Arial"/>
                <w:sz w:val="18"/>
                <w:szCs w:val="18"/>
              </w:rPr>
            </w:pPr>
          </w:p>
        </w:tc>
        <w:tc>
          <w:tcPr>
            <w:tcW w:w="1608" w:type="pct"/>
          </w:tcPr>
          <w:p w14:paraId="31B40D3A" w14:textId="77777777" w:rsidR="006C711D" w:rsidRPr="00957936" w:rsidRDefault="006C711D"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2201" w:type="pct"/>
          </w:tcPr>
          <w:p w14:paraId="636C3A04" w14:textId="77777777" w:rsidR="006C711D" w:rsidRPr="00957936" w:rsidRDefault="00355E35"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6</w:t>
            </w:r>
          </w:p>
        </w:tc>
      </w:tr>
      <w:tr w:rsidR="006C711D" w:rsidRPr="00957936" w14:paraId="6719700F" w14:textId="77777777" w:rsidTr="00D351A6">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191" w:type="pct"/>
            <w:vMerge/>
          </w:tcPr>
          <w:p w14:paraId="2F814A40" w14:textId="77777777" w:rsidR="006C711D" w:rsidRPr="00957936" w:rsidRDefault="006C711D" w:rsidP="00A330AB">
            <w:pPr>
              <w:keepNext/>
              <w:rPr>
                <w:rFonts w:ascii="Arial Narrow" w:hAnsi="Arial Narrow" w:cs="Arial"/>
                <w:sz w:val="18"/>
                <w:szCs w:val="18"/>
              </w:rPr>
            </w:pPr>
          </w:p>
        </w:tc>
        <w:tc>
          <w:tcPr>
            <w:tcW w:w="1608" w:type="pct"/>
          </w:tcPr>
          <w:p w14:paraId="0E0A3C64" w14:textId="77777777" w:rsidR="006C711D"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Lighting</w:t>
            </w:r>
          </w:p>
        </w:tc>
        <w:tc>
          <w:tcPr>
            <w:tcW w:w="2201" w:type="pct"/>
          </w:tcPr>
          <w:p w14:paraId="39BB7237" w14:textId="77777777" w:rsidR="006C711D" w:rsidRPr="00957936" w:rsidRDefault="00355E35"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w:t>
            </w:r>
          </w:p>
        </w:tc>
      </w:tr>
      <w:tr w:rsidR="00D351A6" w:rsidRPr="00957936" w14:paraId="3FBB66C4" w14:textId="77777777" w:rsidTr="00D351A6">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191" w:type="pct"/>
            <w:vMerge/>
          </w:tcPr>
          <w:p w14:paraId="55ECE59C" w14:textId="77777777" w:rsidR="00D351A6" w:rsidRPr="00957936" w:rsidRDefault="00D351A6" w:rsidP="00D351A6">
            <w:pPr>
              <w:keepNext/>
              <w:rPr>
                <w:rFonts w:ascii="Arial Narrow" w:hAnsi="Arial Narrow" w:cs="Arial"/>
                <w:sz w:val="18"/>
                <w:szCs w:val="18"/>
              </w:rPr>
            </w:pPr>
          </w:p>
        </w:tc>
        <w:tc>
          <w:tcPr>
            <w:tcW w:w="1608" w:type="pct"/>
          </w:tcPr>
          <w:p w14:paraId="7C317CAB" w14:textId="77777777" w:rsidR="00D351A6" w:rsidRPr="00957936" w:rsidRDefault="00D351A6"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2201" w:type="pct"/>
          </w:tcPr>
          <w:p w14:paraId="118894A6" w14:textId="77777777" w:rsidR="00D351A6" w:rsidRPr="00957936" w:rsidDel="0064218F" w:rsidRDefault="00355E35"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10</w:t>
            </w:r>
          </w:p>
        </w:tc>
      </w:tr>
      <w:tr w:rsidR="00D351A6" w:rsidRPr="00957936" w14:paraId="5340B2C7" w14:textId="77777777" w:rsidTr="00D351A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91" w:type="pct"/>
            <w:vMerge/>
          </w:tcPr>
          <w:p w14:paraId="13624B77" w14:textId="77777777" w:rsidR="00D351A6" w:rsidRPr="00957936" w:rsidRDefault="00D351A6" w:rsidP="00D351A6">
            <w:pPr>
              <w:keepNext/>
              <w:rPr>
                <w:rFonts w:ascii="Arial Narrow" w:hAnsi="Arial Narrow" w:cs="Arial"/>
                <w:sz w:val="18"/>
                <w:szCs w:val="18"/>
              </w:rPr>
            </w:pPr>
          </w:p>
        </w:tc>
        <w:tc>
          <w:tcPr>
            <w:tcW w:w="1608" w:type="pct"/>
          </w:tcPr>
          <w:p w14:paraId="3CF5DB0A" w14:textId="77777777" w:rsidR="00D351A6" w:rsidRPr="00957936" w:rsidRDefault="00355E35"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Data Center</w:t>
            </w:r>
          </w:p>
        </w:tc>
        <w:tc>
          <w:tcPr>
            <w:tcW w:w="2201" w:type="pct"/>
          </w:tcPr>
          <w:p w14:paraId="3EE0DB0F" w14:textId="77777777" w:rsidR="00D351A6" w:rsidRPr="00957936" w:rsidRDefault="00355E35"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D351A6" w:rsidRPr="00957936" w14:paraId="5A0C20A4" w14:textId="77777777" w:rsidTr="00D351A6">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191" w:type="pct"/>
            <w:vMerge/>
          </w:tcPr>
          <w:p w14:paraId="74175E72" w14:textId="77777777" w:rsidR="00D351A6" w:rsidRPr="00957936" w:rsidRDefault="00D351A6" w:rsidP="00D351A6">
            <w:pPr>
              <w:keepNext/>
              <w:rPr>
                <w:rFonts w:ascii="Arial Narrow" w:hAnsi="Arial Narrow" w:cs="Arial"/>
                <w:sz w:val="18"/>
                <w:szCs w:val="18"/>
              </w:rPr>
            </w:pPr>
          </w:p>
        </w:tc>
        <w:tc>
          <w:tcPr>
            <w:tcW w:w="1608" w:type="pct"/>
          </w:tcPr>
          <w:p w14:paraId="3F8F39AB" w14:textId="77777777" w:rsidR="00D351A6" w:rsidRPr="00957936" w:rsidRDefault="00D351A6"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2201" w:type="pct"/>
          </w:tcPr>
          <w:p w14:paraId="74A43181" w14:textId="77777777" w:rsidR="00D351A6" w:rsidRPr="00957936" w:rsidRDefault="00355E35"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9</w:t>
            </w:r>
          </w:p>
        </w:tc>
      </w:tr>
      <w:tr w:rsidR="00D351A6" w:rsidRPr="00957936" w14:paraId="6AA0F990" w14:textId="77777777" w:rsidTr="00D351A6">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191" w:type="pct"/>
            <w:vMerge/>
          </w:tcPr>
          <w:p w14:paraId="1E4D1A4F" w14:textId="77777777" w:rsidR="00D351A6" w:rsidRPr="00957936" w:rsidRDefault="00D351A6" w:rsidP="00D351A6">
            <w:pPr>
              <w:keepNext/>
              <w:rPr>
                <w:rFonts w:ascii="Arial Narrow" w:hAnsi="Arial Narrow" w:cs="Arial"/>
                <w:sz w:val="18"/>
                <w:szCs w:val="18"/>
              </w:rPr>
            </w:pPr>
          </w:p>
        </w:tc>
        <w:tc>
          <w:tcPr>
            <w:tcW w:w="1608" w:type="pct"/>
          </w:tcPr>
          <w:p w14:paraId="0EF6FD4D" w14:textId="77777777" w:rsidR="00D351A6" w:rsidRPr="00957936" w:rsidRDefault="00D351A6"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2201" w:type="pct"/>
          </w:tcPr>
          <w:p w14:paraId="34603A15" w14:textId="77777777" w:rsidR="00D351A6" w:rsidRPr="00957936" w:rsidRDefault="00355E35"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w:t>
            </w:r>
          </w:p>
        </w:tc>
      </w:tr>
      <w:tr w:rsidR="00D351A6" w:rsidRPr="00957936" w14:paraId="646E7B08" w14:textId="77777777" w:rsidTr="00D351A6">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191" w:type="pct"/>
            <w:vMerge/>
          </w:tcPr>
          <w:p w14:paraId="3C930385" w14:textId="77777777" w:rsidR="00D351A6" w:rsidRPr="00957936" w:rsidRDefault="00D351A6" w:rsidP="00D351A6">
            <w:pPr>
              <w:rPr>
                <w:rFonts w:ascii="Arial Narrow" w:hAnsi="Arial Narrow" w:cs="Arial"/>
                <w:sz w:val="18"/>
                <w:szCs w:val="18"/>
              </w:rPr>
            </w:pPr>
          </w:p>
        </w:tc>
        <w:tc>
          <w:tcPr>
            <w:tcW w:w="1608" w:type="pct"/>
          </w:tcPr>
          <w:p w14:paraId="6EFAE8F8" w14:textId="77777777" w:rsidR="00D351A6" w:rsidRPr="00957936" w:rsidRDefault="00D351A6" w:rsidP="00D351A6">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2201" w:type="pct"/>
          </w:tcPr>
          <w:p w14:paraId="2AC86243" w14:textId="77777777" w:rsidR="00D351A6" w:rsidRPr="00957936" w:rsidRDefault="00355E35" w:rsidP="00D351A6">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13</w:t>
            </w:r>
          </w:p>
        </w:tc>
      </w:tr>
    </w:tbl>
    <w:p w14:paraId="7D72C1D0" w14:textId="77777777" w:rsidR="001326E6" w:rsidRPr="006807F5" w:rsidRDefault="001326E6" w:rsidP="006807F5">
      <w:pPr>
        <w:pStyle w:val="Heading2"/>
      </w:pPr>
      <w:bookmarkStart w:id="449" w:name="_Toc485126547"/>
      <w:r w:rsidRPr="00D351A6">
        <w:rPr>
          <w:rStyle w:val="Heading3Char"/>
          <w:rFonts w:ascii="Arial Bold" w:hAnsi="Arial Bold"/>
          <w:b/>
          <w:bCs/>
          <w:i w:val="0"/>
          <w:sz w:val="26"/>
        </w:rPr>
        <w:t>Technology</w:t>
      </w:r>
      <w:r w:rsidRPr="00D351A6">
        <w:rPr>
          <w:i/>
        </w:rPr>
        <w:t xml:space="preserve"> </w:t>
      </w:r>
      <w:r w:rsidRPr="006807F5">
        <w:t>Characterization</w:t>
      </w:r>
      <w:bookmarkEnd w:id="449"/>
    </w:p>
    <w:p w14:paraId="36823596" w14:textId="49377D5F" w:rsidR="00D063E4" w:rsidRDefault="001326E6" w:rsidP="001326E6">
      <w:r w:rsidRPr="001326E6">
        <w:t xml:space="preserve">Characterization of the selected technologies involves developing </w:t>
      </w:r>
      <w:r w:rsidR="005918F5">
        <w:t xml:space="preserve">various </w:t>
      </w:r>
      <w:r w:rsidRPr="001326E6">
        <w:t>inputs for each technology</w:t>
      </w:r>
      <w:r w:rsidR="005918F5">
        <w:t xml:space="preserve"> that are necessary for calculation of potential</w:t>
      </w:r>
      <w:r w:rsidRPr="001326E6">
        <w:t xml:space="preserve">. </w:t>
      </w:r>
      <w:r w:rsidR="00870F2A" w:rsidRPr="00490F81">
        <w:fldChar w:fldCharType="begin"/>
      </w:r>
      <w:r w:rsidR="00870F2A" w:rsidRPr="00870F2A">
        <w:instrText xml:space="preserve"> REF _Ref481652266 \h </w:instrText>
      </w:r>
      <w:r w:rsidR="00870F2A">
        <w:instrText xml:space="preserve"> \* MERGEFORMAT </w:instrText>
      </w:r>
      <w:r w:rsidR="00870F2A" w:rsidRPr="00490F81">
        <w:fldChar w:fldCharType="separate"/>
      </w:r>
      <w:r w:rsidR="00C407F4" w:rsidRPr="00D063E4">
        <w:t xml:space="preserve">Table </w:t>
      </w:r>
      <w:r w:rsidR="00C407F4">
        <w:t>3</w:t>
      </w:r>
      <w:r w:rsidR="00C407F4" w:rsidRPr="00D063E4">
        <w:noBreakHyphen/>
      </w:r>
      <w:r w:rsidR="00C407F4">
        <w:t>11</w:t>
      </w:r>
      <w:r w:rsidR="00870F2A" w:rsidRPr="00490F81">
        <w:fldChar w:fldCharType="end"/>
      </w:r>
      <w:r w:rsidR="00870F2A">
        <w:t xml:space="preserve"> </w:t>
      </w:r>
      <w:r w:rsidRPr="001326E6">
        <w:t>below summarizes the key items for characterization of technologies with brief descriptions</w:t>
      </w:r>
      <w:r w:rsidR="005918F5">
        <w:t xml:space="preserve">. </w:t>
      </w:r>
    </w:p>
    <w:p w14:paraId="3C4E7A0F" w14:textId="77777777" w:rsidR="00D063E4" w:rsidRDefault="00D063E4">
      <w:pPr>
        <w:spacing w:line="240" w:lineRule="auto"/>
      </w:pPr>
      <w:r>
        <w:br w:type="page"/>
      </w:r>
    </w:p>
    <w:p w14:paraId="29AD5EA1" w14:textId="77777777" w:rsidR="001326E6" w:rsidRPr="00D063E4" w:rsidRDefault="001326E6" w:rsidP="00D063E4">
      <w:pPr>
        <w:pStyle w:val="Caption"/>
      </w:pPr>
      <w:bookmarkStart w:id="450" w:name="_Ref481652266"/>
      <w:bookmarkStart w:id="451" w:name="_Toc482634219"/>
      <w:bookmarkStart w:id="452" w:name="_Toc484436958"/>
      <w:bookmarkStart w:id="453" w:name="_Toc485125669"/>
      <w:r w:rsidRPr="00D063E4">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11</w:t>
      </w:r>
      <w:r w:rsidR="00272F76">
        <w:rPr>
          <w:noProof/>
        </w:rPr>
        <w:fldChar w:fldCharType="end"/>
      </w:r>
      <w:bookmarkEnd w:id="450"/>
      <w:r w:rsidRPr="00D063E4">
        <w:t>. Key Fields for Measure Characterization with Brief Descriptions</w:t>
      </w:r>
      <w:bookmarkEnd w:id="451"/>
      <w:bookmarkEnd w:id="452"/>
      <w:bookmarkEnd w:id="453"/>
    </w:p>
    <w:tbl>
      <w:tblPr>
        <w:tblStyle w:val="EnergyTable1"/>
        <w:tblW w:w="8734" w:type="dxa"/>
        <w:tblLook w:val="04A0" w:firstRow="1" w:lastRow="0" w:firstColumn="1" w:lastColumn="0" w:noHBand="0" w:noVBand="1"/>
      </w:tblPr>
      <w:tblGrid>
        <w:gridCol w:w="2181"/>
        <w:gridCol w:w="6553"/>
      </w:tblGrid>
      <w:tr w:rsidR="001326E6" w:rsidRPr="00957936" w14:paraId="5AFF31C7" w14:textId="77777777" w:rsidTr="00110120">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2181" w:type="dxa"/>
          </w:tcPr>
          <w:p w14:paraId="7B13FD68"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Items </w:t>
            </w:r>
          </w:p>
        </w:tc>
        <w:tc>
          <w:tcPr>
            <w:tcW w:w="6553" w:type="dxa"/>
          </w:tcPr>
          <w:p w14:paraId="48ED8474"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Brief Description</w:t>
            </w:r>
          </w:p>
        </w:tc>
      </w:tr>
      <w:tr w:rsidR="001326E6" w:rsidRPr="00957936" w14:paraId="6CD9F5A4" w14:textId="77777777" w:rsidTr="00110120">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2181" w:type="dxa"/>
          </w:tcPr>
          <w:p w14:paraId="0B257EC1"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Technology Description</w:t>
            </w:r>
          </w:p>
        </w:tc>
        <w:tc>
          <w:tcPr>
            <w:tcW w:w="6553" w:type="dxa"/>
          </w:tcPr>
          <w:p w14:paraId="387C7553" w14:textId="77777777" w:rsidR="001326E6" w:rsidRPr="00957936" w:rsidRDefault="001326E6" w:rsidP="00D11E06">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19ADC85F"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Sector</w:t>
            </w:r>
          </w:p>
          <w:p w14:paraId="3AECA879"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End Use </w:t>
            </w:r>
          </w:p>
          <w:p w14:paraId="2407FA22"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Fuel Type </w:t>
            </w:r>
          </w:p>
          <w:p w14:paraId="6113AB76"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Climate Zone </w:t>
            </w:r>
          </w:p>
          <w:p w14:paraId="4AA5C826"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Segment/Building Type</w:t>
            </w:r>
          </w:p>
          <w:p w14:paraId="54FC446D"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Replacement type </w:t>
            </w:r>
          </w:p>
        </w:tc>
      </w:tr>
      <w:tr w:rsidR="001326E6" w:rsidRPr="00957936" w14:paraId="027DC45C" w14:textId="77777777" w:rsidTr="00110120">
        <w:trPr>
          <w:cnfStyle w:val="000000010000" w:firstRow="0" w:lastRow="0" w:firstColumn="0" w:lastColumn="0" w:oddVBand="0" w:evenVBand="0" w:oddHBand="0" w:evenHBand="1"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181" w:type="dxa"/>
          </w:tcPr>
          <w:p w14:paraId="00B191F0"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Energy Use</w:t>
            </w:r>
          </w:p>
        </w:tc>
        <w:tc>
          <w:tcPr>
            <w:tcW w:w="6553" w:type="dxa"/>
          </w:tcPr>
          <w:p w14:paraId="37385351" w14:textId="77777777" w:rsidR="001326E6" w:rsidRPr="00957936" w:rsidRDefault="001326E6" w:rsidP="00D11E06">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06E12DEF"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Energy use </w:t>
            </w:r>
            <w:r w:rsidR="008F2AD6" w:rsidRPr="00957936">
              <w:rPr>
                <w:rFonts w:ascii="Arial Narrow" w:hAnsi="Arial Narrow"/>
                <w:sz w:val="18"/>
                <w:szCs w:val="18"/>
              </w:rPr>
              <w:t>(electric and gas)</w:t>
            </w:r>
          </w:p>
          <w:p w14:paraId="07ABF129"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Coincident Peak Demand </w:t>
            </w:r>
          </w:p>
          <w:p w14:paraId="6A4F625F"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Interactive Effects</w:t>
            </w:r>
          </w:p>
        </w:tc>
      </w:tr>
      <w:tr w:rsidR="001326E6" w:rsidRPr="00957936" w14:paraId="0FD9CC4F" w14:textId="77777777" w:rsidTr="00110120">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2181" w:type="dxa"/>
          </w:tcPr>
          <w:p w14:paraId="2DE2BBD7"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Technology Costs</w:t>
            </w:r>
          </w:p>
        </w:tc>
        <w:tc>
          <w:tcPr>
            <w:tcW w:w="6553" w:type="dxa"/>
          </w:tcPr>
          <w:p w14:paraId="6E4CE658" w14:textId="77777777" w:rsidR="001326E6" w:rsidRPr="00957936" w:rsidRDefault="001326E6" w:rsidP="00D11E06">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172DBA81"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Equipment Cost</w:t>
            </w:r>
          </w:p>
          <w:p w14:paraId="50589624"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Repair Cost (for </w:t>
            </w:r>
            <w:r w:rsidR="008F2AD6" w:rsidRPr="00957936">
              <w:rPr>
                <w:rFonts w:ascii="Arial Narrow" w:hAnsi="Arial Narrow"/>
                <w:sz w:val="18"/>
                <w:szCs w:val="18"/>
              </w:rPr>
              <w:t>accelerated replacement</w:t>
            </w:r>
            <w:r w:rsidRPr="00957936">
              <w:rPr>
                <w:rFonts w:ascii="Arial Narrow" w:hAnsi="Arial Narrow"/>
                <w:sz w:val="18"/>
                <w:szCs w:val="18"/>
              </w:rPr>
              <w:t xml:space="preserve"> technologies). </w:t>
            </w:r>
          </w:p>
          <w:p w14:paraId="7184D484"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Installation Cost</w:t>
            </w:r>
          </w:p>
        </w:tc>
      </w:tr>
      <w:tr w:rsidR="001326E6" w:rsidRPr="00957936" w14:paraId="5D503B5E" w14:textId="77777777" w:rsidTr="00110120">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181" w:type="dxa"/>
          </w:tcPr>
          <w:p w14:paraId="317FAC05"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Market Information</w:t>
            </w:r>
          </w:p>
        </w:tc>
        <w:tc>
          <w:tcPr>
            <w:tcW w:w="6553" w:type="dxa"/>
          </w:tcPr>
          <w:p w14:paraId="09F713F0" w14:textId="77777777" w:rsidR="001326E6" w:rsidRPr="00957936" w:rsidRDefault="001326E6" w:rsidP="00D11E06">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66C482AD"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Applicability by Segment/Building Type</w:t>
            </w:r>
          </w:p>
          <w:p w14:paraId="1BD6124C"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Density associated with the Technology Group</w:t>
            </w:r>
          </w:p>
          <w:p w14:paraId="7E88B337"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Saturation for Individual Technologies</w:t>
            </w:r>
          </w:p>
        </w:tc>
      </w:tr>
      <w:tr w:rsidR="001326E6" w:rsidRPr="00957936" w14:paraId="1C1B28A5" w14:textId="77777777" w:rsidTr="00110120">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181" w:type="dxa"/>
          </w:tcPr>
          <w:p w14:paraId="6A025EAF"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Other Items</w:t>
            </w:r>
          </w:p>
        </w:tc>
        <w:tc>
          <w:tcPr>
            <w:tcW w:w="6553" w:type="dxa"/>
          </w:tcPr>
          <w:p w14:paraId="77F76219" w14:textId="77777777" w:rsidR="001326E6" w:rsidRPr="00957936" w:rsidRDefault="001326E6" w:rsidP="00D11E06">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Includes the following:</w:t>
            </w:r>
          </w:p>
          <w:p w14:paraId="687B42F4"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Technology lifetime (EUL and RUL), </w:t>
            </w:r>
          </w:p>
          <w:p w14:paraId="5BC47DCE"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Net-to-Gross (NTG) ratio</w:t>
            </w:r>
          </w:p>
        </w:tc>
      </w:tr>
    </w:tbl>
    <w:p w14:paraId="58F30F7E" w14:textId="77777777" w:rsidR="001326E6" w:rsidRPr="001326E6" w:rsidRDefault="001326E6" w:rsidP="001326E6"/>
    <w:p w14:paraId="7FA62E89" w14:textId="77777777" w:rsidR="001326E6" w:rsidRPr="001326E6" w:rsidRDefault="001326E6" w:rsidP="001326E6">
      <w:r w:rsidRPr="001326E6">
        <w:t>The following sub-sections describe in detail how the energy use, costs, market information and other relevant fields were developed and the associated hierarchical list of data sources for this information.</w:t>
      </w:r>
    </w:p>
    <w:p w14:paraId="25542ED7" w14:textId="77777777" w:rsidR="001326E6" w:rsidRPr="001326E6" w:rsidRDefault="001326E6" w:rsidP="00A330AB">
      <w:pPr>
        <w:pStyle w:val="Heading3"/>
      </w:pPr>
      <w:bookmarkStart w:id="454" w:name="_Toc485126548"/>
      <w:r w:rsidRPr="001326E6">
        <w:t>Energy Use</w:t>
      </w:r>
      <w:bookmarkEnd w:id="454"/>
    </w:p>
    <w:p w14:paraId="2995A554" w14:textId="77777777" w:rsidR="001326E6" w:rsidRDefault="001326E6" w:rsidP="001326E6">
      <w:r w:rsidRPr="001326E6">
        <w:t xml:space="preserve">Energy use is a key input for technology characterization. The technology-based approach followed in this study implies that we need to specify the absolute energy use associated with “average </w:t>
      </w:r>
      <w:r w:rsidR="006807F5">
        <w:t>below code</w:t>
      </w:r>
      <w:r w:rsidRPr="001326E6">
        <w:t xml:space="preserve">”, “code” and “efficient” technologies. </w:t>
      </w:r>
    </w:p>
    <w:p w14:paraId="6CF45C55" w14:textId="77777777" w:rsidR="008F2AD6" w:rsidRPr="001326E6" w:rsidRDefault="008F2AD6" w:rsidP="001326E6"/>
    <w:p w14:paraId="75871A64" w14:textId="77777777" w:rsidR="001326E6" w:rsidRPr="001326E6" w:rsidRDefault="001326E6" w:rsidP="001326E6">
      <w:r w:rsidRPr="001326E6">
        <w:t>This study utilizes the findings from the CPUC AB802</w:t>
      </w:r>
      <w:r w:rsidR="008F2AD6">
        <w:t xml:space="preserve"> Technical Analysis</w:t>
      </w:r>
      <w:r w:rsidRPr="001326E6">
        <w:t xml:space="preserve"> study to define below-code baseline (referred to as “average </w:t>
      </w:r>
      <w:r w:rsidR="006807F5">
        <w:t>below code</w:t>
      </w:r>
      <w:r w:rsidRPr="001326E6">
        <w:t>”) vs. defining code technology as the baseline, which is common practice for many potential studies</w:t>
      </w:r>
      <w:r w:rsidR="008F2AD6">
        <w:t xml:space="preserve"> (including prior CPUC potential</w:t>
      </w:r>
      <w:r w:rsidR="00287043">
        <w:t xml:space="preserve"> studies).</w:t>
      </w:r>
      <w:r w:rsidRPr="001326E6">
        <w:t xml:space="preserve">  The below-code baseline of a given measure is the average efficiency level of older units that are not up to code and have not been replaced.  These units have the option of being upgraded to the code/standard or to the efficient or above-code efficiency level.</w:t>
      </w:r>
    </w:p>
    <w:p w14:paraId="5B0C75B9" w14:textId="77777777" w:rsidR="001326E6" w:rsidRPr="001326E6" w:rsidRDefault="001326E6" w:rsidP="001326E6"/>
    <w:p w14:paraId="080D1CBE" w14:textId="77777777" w:rsidR="001326E6" w:rsidRPr="001326E6" w:rsidRDefault="001326E6" w:rsidP="001326E6">
      <w:r w:rsidRPr="001326E6">
        <w:t xml:space="preserve">Unit energy use is specified in kWh for electric technologies, and in therms for gas-fueled technologies.  Electric technologies also require the characterization of coincident peak demand.  For dual-fuel technologies that can achieve both electric and gas savings, such as insulation, both metrics are calculated. Additionally, some technologies will have interactive effects.  An example is energy efficient lighting, which produce less waste heat than incandescent bulbs and thus have additional HVAC </w:t>
      </w:r>
      <w:r w:rsidRPr="001326E6">
        <w:lastRenderedPageBreak/>
        <w:t>consumption associated with it.  The technology characterization template requires these interactive effects to be included.</w:t>
      </w:r>
    </w:p>
    <w:p w14:paraId="7A145307" w14:textId="77777777" w:rsidR="001326E6" w:rsidRPr="001326E6" w:rsidRDefault="001326E6" w:rsidP="001326E6"/>
    <w:p w14:paraId="78C2219C" w14:textId="23F94A94" w:rsidR="001326E6" w:rsidRPr="001326E6" w:rsidRDefault="00870F2A" w:rsidP="001326E6">
      <w:r w:rsidRPr="001C1CDC">
        <w:rPr>
          <w:highlight w:val="yellow"/>
        </w:rPr>
        <w:fldChar w:fldCharType="begin"/>
      </w:r>
      <w:r w:rsidRPr="00870F2A">
        <w:rPr>
          <w:highlight w:val="yellow"/>
        </w:rPr>
        <w:instrText xml:space="preserve"> REF _Ref481652355 \h </w:instrText>
      </w:r>
      <w:r>
        <w:rPr>
          <w:highlight w:val="yellow"/>
        </w:rPr>
        <w:instrText xml:space="preserve"> \* MERGEFORMAT </w:instrText>
      </w:r>
      <w:r w:rsidRPr="001C1CDC">
        <w:rPr>
          <w:highlight w:val="yellow"/>
        </w:rPr>
      </w:r>
      <w:r w:rsidRPr="001C1CDC">
        <w:rPr>
          <w:highlight w:val="yellow"/>
        </w:rPr>
        <w:fldChar w:fldCharType="separate"/>
      </w:r>
      <w:r w:rsidR="00C407F4" w:rsidRPr="00D063E4">
        <w:t xml:space="preserve">Table </w:t>
      </w:r>
      <w:r w:rsidR="00C407F4">
        <w:t>3</w:t>
      </w:r>
      <w:r w:rsidR="00C407F4" w:rsidRPr="00D063E4">
        <w:noBreakHyphen/>
      </w:r>
      <w:r w:rsidR="00C407F4">
        <w:t>12</w:t>
      </w:r>
      <w:r w:rsidRPr="001C1CDC">
        <w:rPr>
          <w:highlight w:val="yellow"/>
        </w:rPr>
        <w:fldChar w:fldCharType="end"/>
      </w:r>
      <w:r w:rsidR="001326E6" w:rsidRPr="001326E6">
        <w:t xml:space="preserve"> below lists the data sources for energy use (in hierarchical order) with brief descriptions of the sources. </w:t>
      </w:r>
    </w:p>
    <w:p w14:paraId="4A90576E" w14:textId="77777777" w:rsidR="001326E6" w:rsidRPr="001326E6" w:rsidRDefault="001326E6" w:rsidP="001326E6"/>
    <w:p w14:paraId="1E76F73F" w14:textId="77777777" w:rsidR="001326E6" w:rsidRPr="00D063E4" w:rsidRDefault="001326E6" w:rsidP="00D063E4">
      <w:pPr>
        <w:pStyle w:val="Caption"/>
      </w:pPr>
      <w:bookmarkStart w:id="455" w:name="_Ref481652355"/>
      <w:bookmarkStart w:id="456" w:name="_Toc482634220"/>
      <w:bookmarkStart w:id="457" w:name="_Toc484436959"/>
      <w:bookmarkStart w:id="458" w:name="_Toc485125670"/>
      <w:r w:rsidRPr="00D063E4">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12</w:t>
      </w:r>
      <w:r w:rsidR="00272F76">
        <w:rPr>
          <w:noProof/>
        </w:rPr>
        <w:fldChar w:fldCharType="end"/>
      </w:r>
      <w:bookmarkEnd w:id="455"/>
      <w:r w:rsidRPr="00D063E4">
        <w:t>.  Hierarchy of Data Sources for Energy Use Information</w:t>
      </w:r>
      <w:bookmarkEnd w:id="456"/>
      <w:bookmarkEnd w:id="457"/>
      <w:bookmarkEnd w:id="458"/>
    </w:p>
    <w:tbl>
      <w:tblPr>
        <w:tblStyle w:val="EnergyTable1"/>
        <w:tblW w:w="5000" w:type="pct"/>
        <w:tblLook w:val="0420" w:firstRow="1" w:lastRow="0" w:firstColumn="0" w:lastColumn="0" w:noHBand="0" w:noVBand="1"/>
      </w:tblPr>
      <w:tblGrid>
        <w:gridCol w:w="924"/>
        <w:gridCol w:w="2067"/>
        <w:gridCol w:w="4279"/>
        <w:gridCol w:w="1404"/>
        <w:gridCol w:w="902"/>
      </w:tblGrid>
      <w:tr w:rsidR="001326E6" w:rsidRPr="00957936" w14:paraId="1890A98D" w14:textId="77777777" w:rsidTr="00110120">
        <w:trPr>
          <w:cnfStyle w:val="100000000000" w:firstRow="1" w:lastRow="0" w:firstColumn="0" w:lastColumn="0" w:oddVBand="0" w:evenVBand="0" w:oddHBand="0" w:evenHBand="0" w:firstRowFirstColumn="0" w:firstRowLastColumn="0" w:lastRowFirstColumn="0" w:lastRowLastColumn="0"/>
          <w:trHeight w:val="290"/>
          <w:tblHeader/>
        </w:trPr>
        <w:tc>
          <w:tcPr>
            <w:tcW w:w="482" w:type="pct"/>
            <w:hideMark/>
          </w:tcPr>
          <w:p w14:paraId="54F7EF06"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Priority</w:t>
            </w:r>
          </w:p>
        </w:tc>
        <w:tc>
          <w:tcPr>
            <w:tcW w:w="1079" w:type="pct"/>
            <w:hideMark/>
          </w:tcPr>
          <w:p w14:paraId="4699896E"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Energy Consumption Source Name</w:t>
            </w:r>
          </w:p>
        </w:tc>
        <w:tc>
          <w:tcPr>
            <w:tcW w:w="2234" w:type="pct"/>
            <w:hideMark/>
          </w:tcPr>
          <w:p w14:paraId="0B3A090C"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Description</w:t>
            </w:r>
          </w:p>
        </w:tc>
        <w:tc>
          <w:tcPr>
            <w:tcW w:w="733" w:type="pct"/>
            <w:hideMark/>
          </w:tcPr>
          <w:p w14:paraId="4C79BACB"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Author</w:t>
            </w:r>
          </w:p>
        </w:tc>
        <w:tc>
          <w:tcPr>
            <w:tcW w:w="471" w:type="pct"/>
            <w:hideMark/>
          </w:tcPr>
          <w:p w14:paraId="74FFE8BE"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Year</w:t>
            </w:r>
          </w:p>
        </w:tc>
      </w:tr>
      <w:tr w:rsidR="001326E6" w:rsidRPr="00957936" w14:paraId="4750DB8A" w14:textId="77777777" w:rsidTr="00110120">
        <w:trPr>
          <w:cnfStyle w:val="000000100000" w:firstRow="0" w:lastRow="0" w:firstColumn="0" w:lastColumn="0" w:oddVBand="0" w:evenVBand="0" w:oddHBand="1" w:evenHBand="0" w:firstRowFirstColumn="0" w:firstRowLastColumn="0" w:lastRowFirstColumn="0" w:lastRowLastColumn="0"/>
          <w:trHeight w:val="483"/>
        </w:trPr>
        <w:tc>
          <w:tcPr>
            <w:tcW w:w="482" w:type="pct"/>
            <w:hideMark/>
          </w:tcPr>
          <w:p w14:paraId="00C548B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1</w:t>
            </w:r>
          </w:p>
        </w:tc>
        <w:tc>
          <w:tcPr>
            <w:tcW w:w="1079" w:type="pct"/>
            <w:hideMark/>
          </w:tcPr>
          <w:p w14:paraId="2B823FD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DEER (Database of Energy Efficient Resources)</w:t>
            </w:r>
          </w:p>
        </w:tc>
        <w:tc>
          <w:tcPr>
            <w:tcW w:w="2234" w:type="pct"/>
            <w:hideMark/>
          </w:tcPr>
          <w:p w14:paraId="3ED7BB8D"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used information from 2017/2018 DEER updates for obtaining energy use and coincident peal demand for technologies, wherever available. </w:t>
            </w:r>
          </w:p>
          <w:p w14:paraId="7542E82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Lighting energy use was calculated using the lighting calculator tool available at DEER. </w:t>
            </w:r>
          </w:p>
        </w:tc>
        <w:tc>
          <w:tcPr>
            <w:tcW w:w="733" w:type="pct"/>
            <w:hideMark/>
          </w:tcPr>
          <w:p w14:paraId="22D0ECB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CPUC</w:t>
            </w:r>
          </w:p>
        </w:tc>
        <w:tc>
          <w:tcPr>
            <w:tcW w:w="471" w:type="pct"/>
            <w:hideMark/>
          </w:tcPr>
          <w:p w14:paraId="4417277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2016</w:t>
            </w:r>
          </w:p>
        </w:tc>
      </w:tr>
      <w:tr w:rsidR="001326E6" w:rsidRPr="00957936" w14:paraId="0D05E70F" w14:textId="77777777" w:rsidTr="00110120">
        <w:trPr>
          <w:cnfStyle w:val="000000010000" w:firstRow="0" w:lastRow="0" w:firstColumn="0" w:lastColumn="0" w:oddVBand="0" w:evenVBand="0" w:oddHBand="0" w:evenHBand="1" w:firstRowFirstColumn="0" w:firstRowLastColumn="0" w:lastRowFirstColumn="0" w:lastRowLastColumn="0"/>
          <w:trHeight w:val="483"/>
        </w:trPr>
        <w:tc>
          <w:tcPr>
            <w:tcW w:w="482" w:type="pct"/>
            <w:hideMark/>
          </w:tcPr>
          <w:p w14:paraId="04030D8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w:t>
            </w:r>
          </w:p>
        </w:tc>
        <w:tc>
          <w:tcPr>
            <w:tcW w:w="1079" w:type="pct"/>
            <w:hideMark/>
          </w:tcPr>
          <w:p w14:paraId="042AF06E"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Non-DEER Ex Ante Database</w:t>
            </w:r>
          </w:p>
        </w:tc>
        <w:tc>
          <w:tcPr>
            <w:tcW w:w="2234" w:type="pct"/>
            <w:hideMark/>
          </w:tcPr>
          <w:p w14:paraId="7E564D27" w14:textId="52340573"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referred to the Non-DEER ex ante database, available from </w:t>
            </w:r>
            <w:r w:rsidR="000A3F3A">
              <w:rPr>
                <w:rFonts w:ascii="Arial Narrow" w:hAnsi="Arial Narrow" w:cs="Arial"/>
                <w:sz w:val="18"/>
                <w:szCs w:val="18"/>
              </w:rPr>
              <w:t>Commission staff,</w:t>
            </w:r>
            <w:r w:rsidRPr="00957936">
              <w:rPr>
                <w:rFonts w:ascii="Arial Narrow" w:hAnsi="Arial Narrow" w:cs="Arial"/>
                <w:sz w:val="18"/>
                <w:szCs w:val="18"/>
              </w:rPr>
              <w:t xml:space="preserve"> for characterizing technologies that were not included in DEER. </w:t>
            </w:r>
          </w:p>
        </w:tc>
        <w:tc>
          <w:tcPr>
            <w:tcW w:w="733" w:type="pct"/>
            <w:hideMark/>
          </w:tcPr>
          <w:p w14:paraId="4FDABCEA"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CPUC</w:t>
            </w:r>
          </w:p>
        </w:tc>
        <w:tc>
          <w:tcPr>
            <w:tcW w:w="471" w:type="pct"/>
            <w:hideMark/>
          </w:tcPr>
          <w:p w14:paraId="158E3EA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2016</w:t>
            </w:r>
          </w:p>
        </w:tc>
      </w:tr>
      <w:tr w:rsidR="001326E6" w:rsidRPr="00957936" w14:paraId="2D65E436" w14:textId="77777777" w:rsidTr="00110120">
        <w:trPr>
          <w:cnfStyle w:val="000000100000" w:firstRow="0" w:lastRow="0" w:firstColumn="0" w:lastColumn="0" w:oddVBand="0" w:evenVBand="0" w:oddHBand="1" w:evenHBand="0" w:firstRowFirstColumn="0" w:firstRowLastColumn="0" w:lastRowFirstColumn="0" w:lastRowLastColumn="0"/>
          <w:trHeight w:val="1084"/>
        </w:trPr>
        <w:tc>
          <w:tcPr>
            <w:tcW w:w="482" w:type="pct"/>
            <w:hideMark/>
          </w:tcPr>
          <w:p w14:paraId="367DD6E2"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3</w:t>
            </w:r>
          </w:p>
        </w:tc>
        <w:tc>
          <w:tcPr>
            <w:tcW w:w="1079" w:type="pct"/>
            <w:hideMark/>
          </w:tcPr>
          <w:p w14:paraId="14A96AEE"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IOU Workpapers [with CPUC Disposition]</w:t>
            </w:r>
          </w:p>
        </w:tc>
        <w:tc>
          <w:tcPr>
            <w:tcW w:w="2234" w:type="pct"/>
            <w:hideMark/>
          </w:tcPr>
          <w:p w14:paraId="4277E33C"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referred to the inventory of workpapers published by the California IOUs and referred to </w:t>
            </w:r>
            <w:r w:rsidRPr="00957936">
              <w:rPr>
                <w:rFonts w:ascii="Arial Narrow" w:hAnsi="Arial Narrow" w:cs="Arial"/>
                <w:b/>
                <w:sz w:val="18"/>
                <w:szCs w:val="18"/>
              </w:rPr>
              <w:t>approved workpapers</w:t>
            </w:r>
            <w:r w:rsidRPr="00957936">
              <w:rPr>
                <w:rFonts w:ascii="Arial Narrow" w:hAnsi="Arial Narrow" w:cs="Arial"/>
                <w:sz w:val="18"/>
                <w:szCs w:val="18"/>
              </w:rPr>
              <w:t xml:space="preserve"> for technology characterization, wherever applicable.  </w:t>
            </w:r>
          </w:p>
        </w:tc>
        <w:tc>
          <w:tcPr>
            <w:tcW w:w="733" w:type="pct"/>
            <w:hideMark/>
          </w:tcPr>
          <w:p w14:paraId="0C55462C"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California IOUs</w:t>
            </w:r>
          </w:p>
        </w:tc>
        <w:tc>
          <w:tcPr>
            <w:tcW w:w="471" w:type="pct"/>
            <w:hideMark/>
          </w:tcPr>
          <w:p w14:paraId="3E71C38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Various</w:t>
            </w:r>
          </w:p>
        </w:tc>
      </w:tr>
      <w:tr w:rsidR="001326E6" w:rsidRPr="00957936" w14:paraId="7CB451C7" w14:textId="77777777" w:rsidTr="00110120">
        <w:trPr>
          <w:cnfStyle w:val="000000010000" w:firstRow="0" w:lastRow="0" w:firstColumn="0" w:lastColumn="0" w:oddVBand="0" w:evenVBand="0" w:oddHBand="0" w:evenHBand="1" w:firstRowFirstColumn="0" w:firstRowLastColumn="0" w:lastRowFirstColumn="0" w:lastRowLastColumn="0"/>
          <w:trHeight w:val="483"/>
        </w:trPr>
        <w:tc>
          <w:tcPr>
            <w:tcW w:w="482" w:type="pct"/>
          </w:tcPr>
          <w:p w14:paraId="38F0B5D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4</w:t>
            </w:r>
          </w:p>
        </w:tc>
        <w:tc>
          <w:tcPr>
            <w:tcW w:w="1079" w:type="pct"/>
          </w:tcPr>
          <w:p w14:paraId="057E061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CMUA TRM</w:t>
            </w:r>
          </w:p>
        </w:tc>
        <w:tc>
          <w:tcPr>
            <w:tcW w:w="2234" w:type="pct"/>
          </w:tcPr>
          <w:p w14:paraId="4EBBED7B"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referred to the CMUA TRM for energy use information for applicable technologies. </w:t>
            </w:r>
          </w:p>
        </w:tc>
        <w:tc>
          <w:tcPr>
            <w:tcW w:w="733" w:type="pct"/>
          </w:tcPr>
          <w:p w14:paraId="1A9254B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Cal TF</w:t>
            </w:r>
          </w:p>
        </w:tc>
        <w:tc>
          <w:tcPr>
            <w:tcW w:w="471" w:type="pct"/>
          </w:tcPr>
          <w:p w14:paraId="7AC89977"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2015</w:t>
            </w:r>
          </w:p>
        </w:tc>
      </w:tr>
      <w:tr w:rsidR="001326E6" w:rsidRPr="00957936" w14:paraId="19590774" w14:textId="77777777" w:rsidTr="00110120">
        <w:trPr>
          <w:cnfStyle w:val="000000100000" w:firstRow="0" w:lastRow="0" w:firstColumn="0" w:lastColumn="0" w:oddVBand="0" w:evenVBand="0" w:oddHBand="1" w:evenHBand="0" w:firstRowFirstColumn="0" w:firstRowLastColumn="0" w:lastRowFirstColumn="0" w:lastRowLastColumn="0"/>
          <w:trHeight w:val="483"/>
        </w:trPr>
        <w:tc>
          <w:tcPr>
            <w:tcW w:w="482" w:type="pct"/>
            <w:hideMark/>
          </w:tcPr>
          <w:p w14:paraId="2CB240B2"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5</w:t>
            </w:r>
          </w:p>
        </w:tc>
        <w:tc>
          <w:tcPr>
            <w:tcW w:w="1079" w:type="pct"/>
            <w:hideMark/>
          </w:tcPr>
          <w:p w14:paraId="4D68BAD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CA IOU Emerging Technology Reports</w:t>
            </w:r>
          </w:p>
        </w:tc>
        <w:tc>
          <w:tcPr>
            <w:tcW w:w="2234" w:type="pct"/>
            <w:hideMark/>
          </w:tcPr>
          <w:p w14:paraId="45D3A8B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Navigant reviewed and researched project/technology reports from the ETCC—a collaborative forum with IOUs and leading member organizations for characterization of emerging technologies.</w:t>
            </w:r>
          </w:p>
        </w:tc>
        <w:tc>
          <w:tcPr>
            <w:tcW w:w="733" w:type="pct"/>
            <w:hideMark/>
          </w:tcPr>
          <w:p w14:paraId="63FC1E37"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Emerging Technology Coordinating Council (ETCC); IOUs</w:t>
            </w:r>
          </w:p>
        </w:tc>
        <w:tc>
          <w:tcPr>
            <w:tcW w:w="471" w:type="pct"/>
            <w:hideMark/>
          </w:tcPr>
          <w:p w14:paraId="5A20047D"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Various</w:t>
            </w:r>
          </w:p>
        </w:tc>
      </w:tr>
      <w:tr w:rsidR="001326E6" w:rsidRPr="00957936" w14:paraId="4156EBCA" w14:textId="77777777" w:rsidTr="00110120">
        <w:trPr>
          <w:cnfStyle w:val="000000010000" w:firstRow="0" w:lastRow="0" w:firstColumn="0" w:lastColumn="0" w:oddVBand="0" w:evenVBand="0" w:oddHBand="0" w:evenHBand="1" w:firstRowFirstColumn="0" w:firstRowLastColumn="0" w:lastRowFirstColumn="0" w:lastRowLastColumn="0"/>
          <w:trHeight w:val="483"/>
        </w:trPr>
        <w:tc>
          <w:tcPr>
            <w:tcW w:w="482" w:type="pct"/>
            <w:hideMark/>
          </w:tcPr>
          <w:p w14:paraId="077FB10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6</w:t>
            </w:r>
          </w:p>
        </w:tc>
        <w:tc>
          <w:tcPr>
            <w:tcW w:w="1079" w:type="pct"/>
            <w:hideMark/>
          </w:tcPr>
          <w:p w14:paraId="48B722B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IOU Program Data</w:t>
            </w:r>
          </w:p>
        </w:tc>
        <w:tc>
          <w:tcPr>
            <w:tcW w:w="2234" w:type="pct"/>
            <w:hideMark/>
          </w:tcPr>
          <w:p w14:paraId="34BCE4FC"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Navigant referred to the 2016 EEStats database</w:t>
            </w:r>
            <w:r w:rsidRPr="00957936">
              <w:rPr>
                <w:rFonts w:ascii="Arial Narrow" w:hAnsi="Arial Narrow" w:cs="Arial"/>
                <w:sz w:val="18"/>
                <w:szCs w:val="18"/>
                <w:vertAlign w:val="superscript"/>
              </w:rPr>
              <w:footnoteReference w:id="54"/>
            </w:r>
            <w:r w:rsidRPr="00957936">
              <w:rPr>
                <w:rFonts w:ascii="Arial Narrow" w:hAnsi="Arial Narrow" w:cs="Arial"/>
                <w:sz w:val="18"/>
                <w:szCs w:val="18"/>
              </w:rPr>
              <w:t xml:space="preserve"> and 2014-Q12016 program savings</w:t>
            </w:r>
            <w:r w:rsidRPr="00957936">
              <w:rPr>
                <w:rFonts w:ascii="Arial Narrow" w:hAnsi="Arial Narrow" w:cs="Arial"/>
                <w:sz w:val="18"/>
                <w:szCs w:val="18"/>
                <w:vertAlign w:val="superscript"/>
              </w:rPr>
              <w:footnoteReference w:id="55"/>
            </w:r>
            <w:r w:rsidRPr="00957936">
              <w:rPr>
                <w:rFonts w:ascii="Arial Narrow" w:hAnsi="Arial Narrow" w:cs="Arial"/>
                <w:sz w:val="18"/>
                <w:szCs w:val="18"/>
              </w:rPr>
              <w:t xml:space="preserve"> database from CA IOUs, in case energy use information was not available from the above-listed sources.  </w:t>
            </w:r>
          </w:p>
        </w:tc>
        <w:tc>
          <w:tcPr>
            <w:tcW w:w="733" w:type="pct"/>
            <w:hideMark/>
          </w:tcPr>
          <w:p w14:paraId="4DA96B17"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CPUC, IOUs</w:t>
            </w:r>
          </w:p>
        </w:tc>
        <w:tc>
          <w:tcPr>
            <w:tcW w:w="471" w:type="pct"/>
            <w:hideMark/>
          </w:tcPr>
          <w:p w14:paraId="777E3F7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2014-2016</w:t>
            </w:r>
          </w:p>
        </w:tc>
      </w:tr>
      <w:tr w:rsidR="001326E6" w:rsidRPr="00957936" w14:paraId="70C16249" w14:textId="77777777" w:rsidTr="00110120">
        <w:trPr>
          <w:cnfStyle w:val="000000100000" w:firstRow="0" w:lastRow="0" w:firstColumn="0" w:lastColumn="0" w:oddVBand="0" w:evenVBand="0" w:oddHBand="1" w:evenHBand="0" w:firstRowFirstColumn="0" w:firstRowLastColumn="0" w:lastRowFirstColumn="0" w:lastRowLastColumn="0"/>
          <w:trHeight w:val="942"/>
        </w:trPr>
        <w:tc>
          <w:tcPr>
            <w:tcW w:w="482" w:type="pct"/>
            <w:vMerge w:val="restart"/>
            <w:hideMark/>
          </w:tcPr>
          <w:p w14:paraId="3EA0799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7</w:t>
            </w:r>
          </w:p>
        </w:tc>
        <w:tc>
          <w:tcPr>
            <w:tcW w:w="1079" w:type="pct"/>
            <w:hideMark/>
          </w:tcPr>
          <w:p w14:paraId="2D64EA66"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Non-California source examples:</w:t>
            </w:r>
          </w:p>
          <w:p w14:paraId="13811769" w14:textId="77777777" w:rsidR="001326E6" w:rsidRPr="00957936" w:rsidRDefault="001326E6" w:rsidP="004E4E36">
            <w:pPr>
              <w:numPr>
                <w:ilvl w:val="0"/>
                <w:numId w:val="25"/>
              </w:numPr>
              <w:jc w:val="left"/>
              <w:rPr>
                <w:rFonts w:ascii="Arial Narrow" w:hAnsi="Arial Narrow" w:cs="Arial"/>
                <w:sz w:val="18"/>
                <w:szCs w:val="18"/>
              </w:rPr>
            </w:pPr>
            <w:r w:rsidRPr="00957936">
              <w:rPr>
                <w:rFonts w:ascii="Arial Narrow" w:hAnsi="Arial Narrow" w:cs="Arial"/>
                <w:sz w:val="18"/>
                <w:szCs w:val="18"/>
              </w:rPr>
              <w:t>Regional Technical Forum (RTF) Database</w:t>
            </w:r>
          </w:p>
        </w:tc>
        <w:tc>
          <w:tcPr>
            <w:tcW w:w="2234" w:type="pct"/>
            <w:hideMark/>
          </w:tcPr>
          <w:p w14:paraId="5A6BCE2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In cases where CA-specific sources were not available for energy use information, Navigant referred to the following sources: </w:t>
            </w:r>
          </w:p>
          <w:p w14:paraId="74D0215A" w14:textId="77777777" w:rsidR="001326E6" w:rsidRPr="00957936" w:rsidRDefault="001326E6" w:rsidP="004E4E36">
            <w:pPr>
              <w:numPr>
                <w:ilvl w:val="0"/>
                <w:numId w:val="35"/>
              </w:numPr>
              <w:spacing w:before="120"/>
              <w:rPr>
                <w:rFonts w:ascii="Arial Narrow" w:hAnsi="Arial Narrow" w:cs="Arial"/>
                <w:sz w:val="18"/>
                <w:szCs w:val="18"/>
              </w:rPr>
            </w:pPr>
            <w:r w:rsidRPr="00957936">
              <w:rPr>
                <w:rFonts w:ascii="Arial Narrow" w:hAnsi="Arial Narrow" w:cs="Arial"/>
                <w:sz w:val="18"/>
                <w:szCs w:val="18"/>
              </w:rPr>
              <w:t>Measure-level savings data from evaluated programs in the Pacific Northwest region, available through the RTF.</w:t>
            </w:r>
          </w:p>
        </w:tc>
        <w:tc>
          <w:tcPr>
            <w:tcW w:w="733" w:type="pct"/>
            <w:hideMark/>
          </w:tcPr>
          <w:p w14:paraId="6F9C7792" w14:textId="77777777" w:rsidR="001326E6" w:rsidRPr="00957936" w:rsidRDefault="001326E6" w:rsidP="001326E6">
            <w:pPr>
              <w:rPr>
                <w:rFonts w:ascii="Arial Narrow" w:hAnsi="Arial Narrow" w:cs="Arial"/>
                <w:sz w:val="18"/>
                <w:szCs w:val="18"/>
              </w:rPr>
            </w:pPr>
          </w:p>
          <w:p w14:paraId="60A4223C" w14:textId="77777777" w:rsidR="001326E6" w:rsidRPr="00957936" w:rsidRDefault="001326E6" w:rsidP="001326E6">
            <w:pPr>
              <w:rPr>
                <w:rFonts w:ascii="Arial Narrow" w:hAnsi="Arial Narrow" w:cs="Arial"/>
                <w:sz w:val="18"/>
                <w:szCs w:val="18"/>
              </w:rPr>
            </w:pPr>
          </w:p>
          <w:p w14:paraId="13C23DED"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Northwest Power and Conservation Council (NPCC)</w:t>
            </w:r>
          </w:p>
        </w:tc>
        <w:tc>
          <w:tcPr>
            <w:tcW w:w="471" w:type="pct"/>
            <w:hideMark/>
          </w:tcPr>
          <w:p w14:paraId="1DCE76AE" w14:textId="77777777" w:rsidR="001326E6" w:rsidRPr="00957936" w:rsidRDefault="001326E6" w:rsidP="001326E6">
            <w:pPr>
              <w:rPr>
                <w:rFonts w:ascii="Arial Narrow" w:hAnsi="Arial Narrow" w:cs="Arial"/>
                <w:sz w:val="18"/>
                <w:szCs w:val="18"/>
              </w:rPr>
            </w:pPr>
          </w:p>
          <w:p w14:paraId="14ABB2ED" w14:textId="77777777" w:rsidR="001326E6" w:rsidRPr="00957936" w:rsidRDefault="001326E6" w:rsidP="001326E6">
            <w:pPr>
              <w:rPr>
                <w:rFonts w:ascii="Arial Narrow" w:hAnsi="Arial Narrow" w:cs="Arial"/>
                <w:sz w:val="18"/>
                <w:szCs w:val="18"/>
              </w:rPr>
            </w:pPr>
          </w:p>
          <w:p w14:paraId="19FBED0A"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2015</w:t>
            </w:r>
          </w:p>
        </w:tc>
      </w:tr>
      <w:tr w:rsidR="001326E6" w:rsidRPr="00957936" w14:paraId="7456136F" w14:textId="77777777" w:rsidTr="00110120">
        <w:trPr>
          <w:cnfStyle w:val="000000010000" w:firstRow="0" w:lastRow="0" w:firstColumn="0" w:lastColumn="0" w:oddVBand="0" w:evenVBand="0" w:oddHBand="0" w:evenHBand="1" w:firstRowFirstColumn="0" w:firstRowLastColumn="0" w:lastRowFirstColumn="0" w:lastRowLastColumn="0"/>
          <w:trHeight w:val="1084"/>
        </w:trPr>
        <w:tc>
          <w:tcPr>
            <w:tcW w:w="482" w:type="pct"/>
            <w:vMerge/>
            <w:hideMark/>
          </w:tcPr>
          <w:p w14:paraId="45E47990" w14:textId="77777777" w:rsidR="001326E6" w:rsidRPr="00957936" w:rsidRDefault="001326E6" w:rsidP="001326E6">
            <w:pPr>
              <w:rPr>
                <w:rFonts w:ascii="Arial Narrow" w:hAnsi="Arial Narrow" w:cs="Arial"/>
                <w:sz w:val="18"/>
                <w:szCs w:val="18"/>
              </w:rPr>
            </w:pPr>
          </w:p>
        </w:tc>
        <w:tc>
          <w:tcPr>
            <w:tcW w:w="1079" w:type="pct"/>
            <w:hideMark/>
          </w:tcPr>
          <w:p w14:paraId="69186AA4" w14:textId="77777777" w:rsidR="001326E6" w:rsidRPr="00957936" w:rsidRDefault="001326E6" w:rsidP="004E4E36">
            <w:pPr>
              <w:numPr>
                <w:ilvl w:val="0"/>
                <w:numId w:val="26"/>
              </w:numPr>
              <w:jc w:val="left"/>
              <w:rPr>
                <w:rFonts w:ascii="Arial Narrow" w:hAnsi="Arial Narrow" w:cs="Arial"/>
                <w:sz w:val="18"/>
                <w:szCs w:val="18"/>
              </w:rPr>
            </w:pPr>
            <w:r w:rsidRPr="00957936">
              <w:rPr>
                <w:rFonts w:ascii="Arial Narrow" w:hAnsi="Arial Narrow" w:cs="Arial"/>
                <w:sz w:val="18"/>
                <w:szCs w:val="18"/>
              </w:rPr>
              <w:t>Navigant Potential Study Database</w:t>
            </w:r>
          </w:p>
        </w:tc>
        <w:tc>
          <w:tcPr>
            <w:tcW w:w="2234" w:type="pct"/>
            <w:hideMark/>
          </w:tcPr>
          <w:p w14:paraId="68C013E8" w14:textId="77777777" w:rsidR="001326E6" w:rsidRPr="00957936" w:rsidRDefault="001326E6" w:rsidP="004E4E36">
            <w:pPr>
              <w:numPr>
                <w:ilvl w:val="0"/>
                <w:numId w:val="34"/>
              </w:numPr>
              <w:spacing w:before="120"/>
              <w:rPr>
                <w:rFonts w:ascii="Arial Narrow" w:hAnsi="Arial Narrow" w:cs="Arial"/>
                <w:sz w:val="18"/>
                <w:szCs w:val="18"/>
              </w:rPr>
            </w:pPr>
            <w:r w:rsidRPr="00957936">
              <w:rPr>
                <w:rFonts w:ascii="Arial Narrow" w:hAnsi="Arial Narrow" w:cs="Arial"/>
                <w:sz w:val="18"/>
                <w:szCs w:val="18"/>
              </w:rPr>
              <w:t>Navigant’s archive of characterized measure savings from potential studies and projects with other utilities.</w:t>
            </w:r>
          </w:p>
        </w:tc>
        <w:tc>
          <w:tcPr>
            <w:tcW w:w="733" w:type="pct"/>
            <w:hideMark/>
          </w:tcPr>
          <w:p w14:paraId="2BC88E9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Navigant</w:t>
            </w:r>
          </w:p>
        </w:tc>
        <w:tc>
          <w:tcPr>
            <w:tcW w:w="471" w:type="pct"/>
            <w:hideMark/>
          </w:tcPr>
          <w:p w14:paraId="4811F7A3"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2015-2016</w:t>
            </w:r>
          </w:p>
        </w:tc>
      </w:tr>
    </w:tbl>
    <w:p w14:paraId="253486C2" w14:textId="77777777" w:rsidR="001326E6" w:rsidRPr="001326E6" w:rsidRDefault="001326E6" w:rsidP="00A330AB">
      <w:pPr>
        <w:pStyle w:val="Heading3"/>
      </w:pPr>
      <w:bookmarkStart w:id="459" w:name="_Toc485126549"/>
      <w:r w:rsidRPr="001326E6">
        <w:lastRenderedPageBreak/>
        <w:t>Technology Costs</w:t>
      </w:r>
      <w:bookmarkEnd w:id="459"/>
      <w:r w:rsidRPr="001326E6">
        <w:t xml:space="preserve"> </w:t>
      </w:r>
    </w:p>
    <w:p w14:paraId="6B2276A6" w14:textId="53BA8115" w:rsidR="001326E6" w:rsidRPr="001326E6" w:rsidRDefault="001326E6" w:rsidP="001326E6">
      <w:r w:rsidRPr="001326E6">
        <w:t>The measure characterization database requires specification of equipment costs, labor costs for installation and repair costs for “</w:t>
      </w:r>
      <w:r w:rsidR="008F2AD6">
        <w:t>accelerated replacement</w:t>
      </w:r>
      <w:r w:rsidRPr="001326E6">
        <w:t>” technologies. Information on technology costs were primarily sourced from the California Measure Cost Study, published by Itron in 2012. Some of the other cost data sources are the same as those li</w:t>
      </w:r>
      <w:r w:rsidR="004D5A3E">
        <w:t xml:space="preserve">sted earlier under energy use. </w:t>
      </w:r>
      <w:r w:rsidR="00870F2A" w:rsidRPr="001C1CDC">
        <w:rPr>
          <w:highlight w:val="yellow"/>
        </w:rPr>
        <w:fldChar w:fldCharType="begin"/>
      </w:r>
      <w:r w:rsidR="00870F2A" w:rsidRPr="00870F2A">
        <w:rPr>
          <w:highlight w:val="yellow"/>
        </w:rPr>
        <w:instrText xml:space="preserve"> REF _Ref481652582 \h </w:instrText>
      </w:r>
      <w:r w:rsidR="00870F2A">
        <w:rPr>
          <w:highlight w:val="yellow"/>
        </w:rPr>
        <w:instrText xml:space="preserve"> \* MERGEFORMAT </w:instrText>
      </w:r>
      <w:r w:rsidR="00870F2A" w:rsidRPr="001C1CDC">
        <w:rPr>
          <w:highlight w:val="yellow"/>
        </w:rPr>
      </w:r>
      <w:r w:rsidR="00870F2A" w:rsidRPr="001C1CDC">
        <w:rPr>
          <w:highlight w:val="yellow"/>
        </w:rPr>
        <w:fldChar w:fldCharType="separate"/>
      </w:r>
      <w:r w:rsidR="00C407F4" w:rsidRPr="00D063E4">
        <w:t xml:space="preserve">Table </w:t>
      </w:r>
      <w:r w:rsidR="00C407F4">
        <w:t>3</w:t>
      </w:r>
      <w:r w:rsidR="00C407F4" w:rsidRPr="00D063E4">
        <w:noBreakHyphen/>
      </w:r>
      <w:r w:rsidR="00C407F4">
        <w:t>13</w:t>
      </w:r>
      <w:r w:rsidR="00870F2A" w:rsidRPr="001C1CDC">
        <w:rPr>
          <w:highlight w:val="yellow"/>
        </w:rPr>
        <w:fldChar w:fldCharType="end"/>
      </w:r>
      <w:r w:rsidRPr="00490F81">
        <w:t xml:space="preserve"> </w:t>
      </w:r>
      <w:r w:rsidRPr="001326E6">
        <w:t xml:space="preserve">below summarizes the data sources used for technology costs. </w:t>
      </w:r>
    </w:p>
    <w:p w14:paraId="242EA4A9" w14:textId="77777777" w:rsidR="001326E6" w:rsidRPr="001326E6" w:rsidRDefault="001326E6" w:rsidP="001326E6"/>
    <w:p w14:paraId="2C6F9FAB" w14:textId="77777777" w:rsidR="001326E6" w:rsidRPr="00D063E4" w:rsidRDefault="001326E6" w:rsidP="00D063E4">
      <w:pPr>
        <w:pStyle w:val="Caption"/>
      </w:pPr>
      <w:bookmarkStart w:id="460" w:name="_Ref481652582"/>
      <w:bookmarkStart w:id="461" w:name="_Toc482634221"/>
      <w:bookmarkStart w:id="462" w:name="_Toc484436960"/>
      <w:bookmarkStart w:id="463" w:name="_Toc485125671"/>
      <w:r w:rsidRPr="00D063E4">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13</w:t>
      </w:r>
      <w:r w:rsidR="00272F76">
        <w:rPr>
          <w:noProof/>
        </w:rPr>
        <w:fldChar w:fldCharType="end"/>
      </w:r>
      <w:bookmarkEnd w:id="460"/>
      <w:r w:rsidRPr="00D063E4">
        <w:t>.  Hierarchy of Data Sources for Technology Cost Information</w:t>
      </w:r>
      <w:bookmarkEnd w:id="461"/>
      <w:bookmarkEnd w:id="462"/>
      <w:bookmarkEnd w:id="463"/>
      <w:r w:rsidRPr="00D063E4">
        <w:t xml:space="preserve"> </w:t>
      </w:r>
    </w:p>
    <w:tbl>
      <w:tblPr>
        <w:tblStyle w:val="EnergyTable1"/>
        <w:tblW w:w="9281" w:type="dxa"/>
        <w:tblLook w:val="0420" w:firstRow="1" w:lastRow="0" w:firstColumn="0" w:lastColumn="0" w:noHBand="0" w:noVBand="1"/>
      </w:tblPr>
      <w:tblGrid>
        <w:gridCol w:w="1092"/>
        <w:gridCol w:w="2001"/>
        <w:gridCol w:w="3202"/>
        <w:gridCol w:w="1415"/>
        <w:gridCol w:w="1571"/>
      </w:tblGrid>
      <w:tr w:rsidR="001326E6" w:rsidRPr="00957936" w14:paraId="1F9961E9" w14:textId="77777777" w:rsidTr="00110120">
        <w:trPr>
          <w:cnfStyle w:val="100000000000" w:firstRow="1" w:lastRow="0" w:firstColumn="0" w:lastColumn="0" w:oddVBand="0" w:evenVBand="0" w:oddHBand="0" w:evenHBand="0" w:firstRowFirstColumn="0" w:firstRowLastColumn="0" w:lastRowFirstColumn="0" w:lastRowLastColumn="0"/>
          <w:trHeight w:val="494"/>
          <w:tblHeader/>
        </w:trPr>
        <w:tc>
          <w:tcPr>
            <w:tcW w:w="1092" w:type="dxa"/>
            <w:hideMark/>
          </w:tcPr>
          <w:p w14:paraId="514D2668"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Priority</w:t>
            </w:r>
          </w:p>
        </w:tc>
        <w:tc>
          <w:tcPr>
            <w:tcW w:w="2001" w:type="dxa"/>
            <w:hideMark/>
          </w:tcPr>
          <w:p w14:paraId="17C741F8"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Cost Source Name</w:t>
            </w:r>
          </w:p>
        </w:tc>
        <w:tc>
          <w:tcPr>
            <w:tcW w:w="3202" w:type="dxa"/>
            <w:hideMark/>
          </w:tcPr>
          <w:p w14:paraId="523A86EF"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Description</w:t>
            </w:r>
          </w:p>
        </w:tc>
        <w:tc>
          <w:tcPr>
            <w:tcW w:w="1415" w:type="dxa"/>
            <w:hideMark/>
          </w:tcPr>
          <w:p w14:paraId="2A574F60"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Author</w:t>
            </w:r>
          </w:p>
        </w:tc>
        <w:tc>
          <w:tcPr>
            <w:tcW w:w="1571" w:type="dxa"/>
            <w:hideMark/>
          </w:tcPr>
          <w:p w14:paraId="728CD377"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Year</w:t>
            </w:r>
          </w:p>
        </w:tc>
      </w:tr>
      <w:tr w:rsidR="001326E6" w:rsidRPr="00957936" w14:paraId="14933514" w14:textId="77777777" w:rsidTr="00110120">
        <w:trPr>
          <w:cnfStyle w:val="000000100000" w:firstRow="0" w:lastRow="0" w:firstColumn="0" w:lastColumn="0" w:oddVBand="0" w:evenVBand="0" w:oddHBand="1" w:evenHBand="0" w:firstRowFirstColumn="0" w:firstRowLastColumn="0" w:lastRowFirstColumn="0" w:lastRowLastColumn="0"/>
          <w:trHeight w:val="439"/>
        </w:trPr>
        <w:tc>
          <w:tcPr>
            <w:tcW w:w="1092" w:type="dxa"/>
            <w:hideMark/>
          </w:tcPr>
          <w:p w14:paraId="5A4DEDDA"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1</w:t>
            </w:r>
          </w:p>
        </w:tc>
        <w:tc>
          <w:tcPr>
            <w:tcW w:w="2001" w:type="dxa"/>
            <w:hideMark/>
          </w:tcPr>
          <w:p w14:paraId="7AAAA599"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CA Measure Cost Study</w:t>
            </w:r>
          </w:p>
        </w:tc>
        <w:tc>
          <w:tcPr>
            <w:tcW w:w="3202" w:type="dxa"/>
            <w:hideMark/>
          </w:tcPr>
          <w:p w14:paraId="7F9FE3E0"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This served as the primary surce of information for equipment and installation costs. </w:t>
            </w:r>
          </w:p>
        </w:tc>
        <w:tc>
          <w:tcPr>
            <w:tcW w:w="1415" w:type="dxa"/>
            <w:hideMark/>
          </w:tcPr>
          <w:p w14:paraId="33F60DF9"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Itron</w:t>
            </w:r>
          </w:p>
        </w:tc>
        <w:tc>
          <w:tcPr>
            <w:tcW w:w="1571" w:type="dxa"/>
            <w:hideMark/>
          </w:tcPr>
          <w:p w14:paraId="0182DE34"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2012</w:t>
            </w:r>
          </w:p>
        </w:tc>
      </w:tr>
      <w:tr w:rsidR="001326E6" w:rsidRPr="00957936" w14:paraId="7AC462D9" w14:textId="77777777" w:rsidTr="00110120">
        <w:trPr>
          <w:cnfStyle w:val="000000010000" w:firstRow="0" w:lastRow="0" w:firstColumn="0" w:lastColumn="0" w:oddVBand="0" w:evenVBand="0" w:oddHBand="0" w:evenHBand="1" w:firstRowFirstColumn="0" w:firstRowLastColumn="0" w:lastRowFirstColumn="0" w:lastRowLastColumn="0"/>
          <w:trHeight w:val="439"/>
        </w:trPr>
        <w:tc>
          <w:tcPr>
            <w:tcW w:w="1092" w:type="dxa"/>
            <w:hideMark/>
          </w:tcPr>
          <w:p w14:paraId="6E67FEFB"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w:t>
            </w:r>
          </w:p>
        </w:tc>
        <w:tc>
          <w:tcPr>
            <w:tcW w:w="2001" w:type="dxa"/>
            <w:hideMark/>
          </w:tcPr>
          <w:p w14:paraId="26ADC9CD"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DEER</w:t>
            </w:r>
          </w:p>
        </w:tc>
        <w:tc>
          <w:tcPr>
            <w:tcW w:w="3202" w:type="dxa"/>
            <w:hideMark/>
          </w:tcPr>
          <w:p w14:paraId="74237AD6"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Navigant used information from 2017/2018 DEER updates for obtaining equipment and labor costs for technologies, wherever available.</w:t>
            </w:r>
          </w:p>
        </w:tc>
        <w:tc>
          <w:tcPr>
            <w:tcW w:w="1415" w:type="dxa"/>
            <w:hideMark/>
          </w:tcPr>
          <w:p w14:paraId="102C5AE2"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CPUC</w:t>
            </w:r>
          </w:p>
        </w:tc>
        <w:tc>
          <w:tcPr>
            <w:tcW w:w="1571" w:type="dxa"/>
            <w:hideMark/>
          </w:tcPr>
          <w:p w14:paraId="10A73C63"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2016</w:t>
            </w:r>
          </w:p>
        </w:tc>
      </w:tr>
      <w:tr w:rsidR="001326E6" w:rsidRPr="00957936" w14:paraId="3443634C" w14:textId="77777777" w:rsidTr="00110120">
        <w:trPr>
          <w:cnfStyle w:val="000000100000" w:firstRow="0" w:lastRow="0" w:firstColumn="0" w:lastColumn="0" w:oddVBand="0" w:evenVBand="0" w:oddHBand="1" w:evenHBand="0" w:firstRowFirstColumn="0" w:firstRowLastColumn="0" w:lastRowFirstColumn="0" w:lastRowLastColumn="0"/>
          <w:trHeight w:val="439"/>
        </w:trPr>
        <w:tc>
          <w:tcPr>
            <w:tcW w:w="1092" w:type="dxa"/>
            <w:hideMark/>
          </w:tcPr>
          <w:p w14:paraId="5B112A92"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3</w:t>
            </w:r>
          </w:p>
        </w:tc>
        <w:tc>
          <w:tcPr>
            <w:tcW w:w="2001" w:type="dxa"/>
            <w:hideMark/>
          </w:tcPr>
          <w:p w14:paraId="3C9B1A1A"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IOU Workpaper [with CPUC Disposition]</w:t>
            </w:r>
          </w:p>
        </w:tc>
        <w:tc>
          <w:tcPr>
            <w:tcW w:w="3202" w:type="dxa"/>
            <w:hideMark/>
          </w:tcPr>
          <w:p w14:paraId="254522FA"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Navigant obtained equipment and labor costs from </w:t>
            </w:r>
            <w:r w:rsidRPr="00957936">
              <w:rPr>
                <w:rFonts w:ascii="Arial Narrow" w:hAnsi="Arial Narrow"/>
                <w:b/>
                <w:sz w:val="18"/>
                <w:szCs w:val="18"/>
              </w:rPr>
              <w:t>approved CA IOU workpapers</w:t>
            </w:r>
            <w:r w:rsidRPr="00957936">
              <w:rPr>
                <w:rFonts w:ascii="Arial Narrow" w:hAnsi="Arial Narrow"/>
                <w:sz w:val="18"/>
                <w:szCs w:val="18"/>
              </w:rPr>
              <w:t xml:space="preserve">, in cases where the Navigant team referred to these workpapers for obtaining energy use information.  </w:t>
            </w:r>
          </w:p>
        </w:tc>
        <w:tc>
          <w:tcPr>
            <w:tcW w:w="1415" w:type="dxa"/>
            <w:hideMark/>
          </w:tcPr>
          <w:p w14:paraId="685B87E4"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Calfornia IOUs</w:t>
            </w:r>
          </w:p>
        </w:tc>
        <w:tc>
          <w:tcPr>
            <w:tcW w:w="1571" w:type="dxa"/>
            <w:hideMark/>
          </w:tcPr>
          <w:p w14:paraId="1A792314"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Various</w:t>
            </w:r>
          </w:p>
        </w:tc>
      </w:tr>
      <w:tr w:rsidR="001326E6" w:rsidRPr="00957936" w14:paraId="0B130E64" w14:textId="77777777" w:rsidTr="00110120">
        <w:trPr>
          <w:cnfStyle w:val="000000010000" w:firstRow="0" w:lastRow="0" w:firstColumn="0" w:lastColumn="0" w:oddVBand="0" w:evenVBand="0" w:oddHBand="0" w:evenHBand="1" w:firstRowFirstColumn="0" w:firstRowLastColumn="0" w:lastRowFirstColumn="0" w:lastRowLastColumn="0"/>
          <w:trHeight w:val="439"/>
        </w:trPr>
        <w:tc>
          <w:tcPr>
            <w:tcW w:w="1092" w:type="dxa"/>
          </w:tcPr>
          <w:p w14:paraId="18453AD2"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4</w:t>
            </w:r>
          </w:p>
        </w:tc>
        <w:tc>
          <w:tcPr>
            <w:tcW w:w="2001" w:type="dxa"/>
          </w:tcPr>
          <w:p w14:paraId="32EE4675"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CMUA TRM</w:t>
            </w:r>
          </w:p>
        </w:tc>
        <w:tc>
          <w:tcPr>
            <w:tcW w:w="3202" w:type="dxa"/>
          </w:tcPr>
          <w:p w14:paraId="7A11CADF"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Navigant obtained equipment and labor costs from the CMUA TRM, in cases where the Navigant team referred to the CMUA TRM for obtaining energy use information.  </w:t>
            </w:r>
          </w:p>
        </w:tc>
        <w:tc>
          <w:tcPr>
            <w:tcW w:w="1415" w:type="dxa"/>
          </w:tcPr>
          <w:p w14:paraId="17A0BB16"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Cal TF</w:t>
            </w:r>
          </w:p>
        </w:tc>
        <w:tc>
          <w:tcPr>
            <w:tcW w:w="1571" w:type="dxa"/>
          </w:tcPr>
          <w:p w14:paraId="0C35E807"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2015</w:t>
            </w:r>
          </w:p>
        </w:tc>
      </w:tr>
      <w:tr w:rsidR="001326E6" w:rsidRPr="00957936" w14:paraId="42484E45" w14:textId="77777777" w:rsidTr="00110120">
        <w:trPr>
          <w:cnfStyle w:val="000000100000" w:firstRow="0" w:lastRow="0" w:firstColumn="0" w:lastColumn="0" w:oddVBand="0" w:evenVBand="0" w:oddHBand="1" w:evenHBand="0" w:firstRowFirstColumn="0" w:firstRowLastColumn="0" w:lastRowFirstColumn="0" w:lastRowLastColumn="0"/>
          <w:trHeight w:val="439"/>
        </w:trPr>
        <w:tc>
          <w:tcPr>
            <w:tcW w:w="1092" w:type="dxa"/>
          </w:tcPr>
          <w:p w14:paraId="751BCE7E"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5</w:t>
            </w:r>
          </w:p>
        </w:tc>
        <w:tc>
          <w:tcPr>
            <w:tcW w:w="2001" w:type="dxa"/>
          </w:tcPr>
          <w:p w14:paraId="46CDB282"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CA IOU Emerging Technology Reports</w:t>
            </w:r>
          </w:p>
        </w:tc>
        <w:tc>
          <w:tcPr>
            <w:tcW w:w="3202" w:type="dxa"/>
          </w:tcPr>
          <w:p w14:paraId="5C45ED15"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 xml:space="preserve">Navigant obtained cost information on emerging technologies from ETCC technology reports, wherever available. </w:t>
            </w:r>
          </w:p>
        </w:tc>
        <w:tc>
          <w:tcPr>
            <w:tcW w:w="1415" w:type="dxa"/>
          </w:tcPr>
          <w:p w14:paraId="01A51FE4"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Emerging Technology Coordinating Council (ETCC); IOUs</w:t>
            </w:r>
          </w:p>
        </w:tc>
        <w:tc>
          <w:tcPr>
            <w:tcW w:w="1571" w:type="dxa"/>
          </w:tcPr>
          <w:p w14:paraId="36C51877"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Various</w:t>
            </w:r>
          </w:p>
        </w:tc>
      </w:tr>
      <w:tr w:rsidR="001326E6" w:rsidRPr="00957936" w14:paraId="454F5697" w14:textId="77777777" w:rsidTr="00110120">
        <w:trPr>
          <w:cnfStyle w:val="000000010000" w:firstRow="0" w:lastRow="0" w:firstColumn="0" w:lastColumn="0" w:oddVBand="0" w:evenVBand="0" w:oddHBand="0" w:evenHBand="1" w:firstRowFirstColumn="0" w:firstRowLastColumn="0" w:lastRowFirstColumn="0" w:lastRowLastColumn="0"/>
          <w:trHeight w:val="439"/>
        </w:trPr>
        <w:tc>
          <w:tcPr>
            <w:tcW w:w="1092" w:type="dxa"/>
            <w:hideMark/>
          </w:tcPr>
          <w:p w14:paraId="6AEF857B" w14:textId="77777777" w:rsidR="001326E6" w:rsidRPr="00957936" w:rsidRDefault="00870F2A" w:rsidP="001326E6">
            <w:pPr>
              <w:rPr>
                <w:rFonts w:ascii="Arial Narrow" w:hAnsi="Arial Narrow"/>
                <w:sz w:val="18"/>
                <w:szCs w:val="18"/>
              </w:rPr>
            </w:pPr>
            <w:r w:rsidRPr="00957936">
              <w:rPr>
                <w:rFonts w:ascii="Arial Narrow" w:hAnsi="Arial Narrow"/>
                <w:sz w:val="18"/>
                <w:szCs w:val="18"/>
              </w:rPr>
              <w:t>6</w:t>
            </w:r>
          </w:p>
        </w:tc>
        <w:tc>
          <w:tcPr>
            <w:tcW w:w="2001" w:type="dxa"/>
            <w:hideMark/>
          </w:tcPr>
          <w:p w14:paraId="01E0A66A" w14:textId="77777777" w:rsidR="001326E6" w:rsidRPr="00957936" w:rsidRDefault="001326E6" w:rsidP="00D11E06">
            <w:pPr>
              <w:jc w:val="left"/>
              <w:rPr>
                <w:rFonts w:ascii="Arial Narrow" w:hAnsi="Arial Narrow"/>
                <w:sz w:val="18"/>
                <w:szCs w:val="18"/>
              </w:rPr>
            </w:pPr>
            <w:r w:rsidRPr="00957936">
              <w:rPr>
                <w:rFonts w:ascii="Arial Narrow" w:hAnsi="Arial Narrow"/>
                <w:sz w:val="18"/>
                <w:szCs w:val="18"/>
              </w:rPr>
              <w:t xml:space="preserve">Non-California source examples: </w:t>
            </w:r>
          </w:p>
          <w:p w14:paraId="225CE52F" w14:textId="77777777" w:rsidR="001326E6" w:rsidRPr="00957936" w:rsidRDefault="001326E6" w:rsidP="004E4E36">
            <w:pPr>
              <w:numPr>
                <w:ilvl w:val="0"/>
                <w:numId w:val="27"/>
              </w:numPr>
              <w:tabs>
                <w:tab w:val="clear" w:pos="720"/>
                <w:tab w:val="num" w:pos="360"/>
              </w:tabs>
              <w:ind w:left="360"/>
              <w:jc w:val="left"/>
              <w:rPr>
                <w:rFonts w:ascii="Arial Narrow" w:hAnsi="Arial Narrow"/>
                <w:sz w:val="18"/>
                <w:szCs w:val="18"/>
              </w:rPr>
            </w:pPr>
            <w:r w:rsidRPr="00957936">
              <w:rPr>
                <w:rFonts w:ascii="Arial Narrow" w:hAnsi="Arial Narrow"/>
                <w:sz w:val="18"/>
                <w:szCs w:val="18"/>
              </w:rPr>
              <w:t>Energy Savings Forecast of Solid-State Lighting in General Illumination Applications</w:t>
            </w:r>
            <w:r w:rsidRPr="00957936">
              <w:rPr>
                <w:rFonts w:ascii="Arial Narrow" w:hAnsi="Arial Narrow"/>
                <w:sz w:val="18"/>
                <w:szCs w:val="18"/>
                <w:vertAlign w:val="superscript"/>
              </w:rPr>
              <w:footnoteReference w:id="56"/>
            </w:r>
          </w:p>
          <w:p w14:paraId="60D10A26" w14:textId="77777777" w:rsidR="001326E6" w:rsidRPr="00957936" w:rsidRDefault="001326E6" w:rsidP="004E4E36">
            <w:pPr>
              <w:numPr>
                <w:ilvl w:val="0"/>
                <w:numId w:val="27"/>
              </w:numPr>
              <w:tabs>
                <w:tab w:val="clear" w:pos="720"/>
                <w:tab w:val="num" w:pos="360"/>
              </w:tabs>
              <w:ind w:left="360"/>
              <w:jc w:val="left"/>
              <w:rPr>
                <w:rFonts w:ascii="Arial Narrow" w:hAnsi="Arial Narrow"/>
                <w:sz w:val="18"/>
                <w:szCs w:val="18"/>
              </w:rPr>
            </w:pPr>
            <w:r w:rsidRPr="00957936">
              <w:rPr>
                <w:rFonts w:ascii="Arial Narrow" w:hAnsi="Arial Narrow"/>
                <w:sz w:val="18"/>
                <w:szCs w:val="18"/>
              </w:rPr>
              <w:t>Navigant Potential Study Database</w:t>
            </w:r>
          </w:p>
        </w:tc>
        <w:tc>
          <w:tcPr>
            <w:tcW w:w="3202" w:type="dxa"/>
            <w:hideMark/>
          </w:tcPr>
          <w:p w14:paraId="4E7F4EFC"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For lighting technologies, Navigant referred to a DOE report authore</w:t>
            </w:r>
            <w:r w:rsidR="004D5A3E" w:rsidRPr="00957936">
              <w:rPr>
                <w:rFonts w:ascii="Arial Narrow" w:hAnsi="Arial Narrow"/>
                <w:sz w:val="18"/>
                <w:szCs w:val="18"/>
              </w:rPr>
              <w:t>d by Navigant for LED cost data (see discussion following table)</w:t>
            </w:r>
          </w:p>
          <w:p w14:paraId="05060B11"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In cases where no California-specific source was available for costs, Navigant referred to the company’s internal database of energy efficient technologies for available cost information.</w:t>
            </w:r>
          </w:p>
        </w:tc>
        <w:tc>
          <w:tcPr>
            <w:tcW w:w="1415" w:type="dxa"/>
            <w:hideMark/>
          </w:tcPr>
          <w:p w14:paraId="53E345C5"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DOE</w:t>
            </w:r>
          </w:p>
          <w:p w14:paraId="50F8720E" w14:textId="77777777" w:rsidR="001326E6" w:rsidRPr="00957936" w:rsidRDefault="001326E6" w:rsidP="001326E6">
            <w:pPr>
              <w:rPr>
                <w:rFonts w:ascii="Arial Narrow" w:hAnsi="Arial Narrow"/>
                <w:sz w:val="18"/>
                <w:szCs w:val="18"/>
              </w:rPr>
            </w:pPr>
          </w:p>
          <w:p w14:paraId="663C549B" w14:textId="77777777" w:rsidR="001326E6" w:rsidRPr="00957936" w:rsidRDefault="001326E6" w:rsidP="001326E6">
            <w:pPr>
              <w:rPr>
                <w:rFonts w:ascii="Arial Narrow" w:hAnsi="Arial Narrow"/>
                <w:sz w:val="18"/>
                <w:szCs w:val="18"/>
              </w:rPr>
            </w:pPr>
          </w:p>
          <w:p w14:paraId="3386B020"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Navigant</w:t>
            </w:r>
          </w:p>
          <w:p w14:paraId="511F9217" w14:textId="77777777" w:rsidR="001326E6" w:rsidRPr="00957936" w:rsidRDefault="001326E6" w:rsidP="001326E6">
            <w:pPr>
              <w:rPr>
                <w:rFonts w:ascii="Arial Narrow" w:hAnsi="Arial Narrow"/>
                <w:sz w:val="18"/>
                <w:szCs w:val="18"/>
              </w:rPr>
            </w:pPr>
          </w:p>
          <w:p w14:paraId="43346DB9" w14:textId="77777777" w:rsidR="001326E6" w:rsidRPr="00957936" w:rsidRDefault="001326E6" w:rsidP="001326E6">
            <w:pPr>
              <w:rPr>
                <w:rFonts w:ascii="Arial Narrow" w:hAnsi="Arial Narrow"/>
                <w:sz w:val="18"/>
                <w:szCs w:val="18"/>
              </w:rPr>
            </w:pPr>
          </w:p>
          <w:p w14:paraId="4D62253A" w14:textId="77777777" w:rsidR="001326E6" w:rsidRPr="00957936" w:rsidRDefault="001326E6" w:rsidP="001326E6">
            <w:pPr>
              <w:rPr>
                <w:rFonts w:ascii="Arial Narrow" w:hAnsi="Arial Narrow"/>
                <w:sz w:val="18"/>
                <w:szCs w:val="18"/>
              </w:rPr>
            </w:pPr>
          </w:p>
        </w:tc>
        <w:tc>
          <w:tcPr>
            <w:tcW w:w="1571" w:type="dxa"/>
            <w:hideMark/>
          </w:tcPr>
          <w:p w14:paraId="493B05CD"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2016</w:t>
            </w:r>
          </w:p>
          <w:p w14:paraId="785A5A3E" w14:textId="77777777" w:rsidR="001326E6" w:rsidRPr="00957936" w:rsidRDefault="001326E6" w:rsidP="001326E6">
            <w:pPr>
              <w:rPr>
                <w:rFonts w:ascii="Arial Narrow" w:hAnsi="Arial Narrow"/>
                <w:sz w:val="18"/>
                <w:szCs w:val="18"/>
              </w:rPr>
            </w:pPr>
          </w:p>
          <w:p w14:paraId="3D44F562" w14:textId="77777777" w:rsidR="001326E6" w:rsidRPr="00957936" w:rsidRDefault="001326E6" w:rsidP="001326E6">
            <w:pPr>
              <w:rPr>
                <w:rFonts w:ascii="Arial Narrow" w:hAnsi="Arial Narrow"/>
                <w:sz w:val="18"/>
                <w:szCs w:val="18"/>
              </w:rPr>
            </w:pPr>
          </w:p>
          <w:p w14:paraId="198689FE"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2015-2016</w:t>
            </w:r>
          </w:p>
          <w:p w14:paraId="5968A37F" w14:textId="77777777" w:rsidR="001326E6" w:rsidRPr="00957936" w:rsidRDefault="001326E6" w:rsidP="001326E6">
            <w:pPr>
              <w:rPr>
                <w:rFonts w:ascii="Arial Narrow" w:hAnsi="Arial Narrow"/>
                <w:sz w:val="18"/>
                <w:szCs w:val="18"/>
              </w:rPr>
            </w:pPr>
          </w:p>
          <w:p w14:paraId="1E553141" w14:textId="77777777" w:rsidR="001326E6" w:rsidRPr="00957936" w:rsidRDefault="001326E6" w:rsidP="001326E6">
            <w:pPr>
              <w:rPr>
                <w:rFonts w:ascii="Arial Narrow" w:hAnsi="Arial Narrow"/>
                <w:sz w:val="18"/>
                <w:szCs w:val="18"/>
              </w:rPr>
            </w:pPr>
          </w:p>
        </w:tc>
      </w:tr>
    </w:tbl>
    <w:p w14:paraId="0FB9BFBE" w14:textId="77777777" w:rsidR="004D5A3E" w:rsidRDefault="004D5A3E" w:rsidP="004D5A3E">
      <w:pPr>
        <w:rPr>
          <w:b/>
          <w:bCs/>
          <w:i/>
          <w:iCs/>
          <w:color w:val="555759"/>
          <w:kern w:val="28"/>
          <w:szCs w:val="20"/>
        </w:rPr>
      </w:pPr>
    </w:p>
    <w:p w14:paraId="63FD8A2D" w14:textId="77777777" w:rsidR="004D5A3E" w:rsidRDefault="004D5A3E" w:rsidP="004D5A3E"/>
    <w:p w14:paraId="10AADC5B" w14:textId="1FE94996" w:rsidR="004D5A3E" w:rsidRDefault="004D5A3E" w:rsidP="004D5A3E">
      <w:r w:rsidRPr="001326E6">
        <w:lastRenderedPageBreak/>
        <w:t xml:space="preserve">Navigant referred to </w:t>
      </w:r>
      <w:r>
        <w:t xml:space="preserve">forecast from the </w:t>
      </w:r>
      <w:r w:rsidRPr="001326E6">
        <w:t xml:space="preserve">DOE </w:t>
      </w:r>
      <w:r>
        <w:t>to obtain LED costs.</w:t>
      </w:r>
      <w:r w:rsidRPr="001326E6">
        <w:rPr>
          <w:vertAlign w:val="superscript"/>
        </w:rPr>
        <w:footnoteReference w:id="57"/>
      </w:r>
      <w:r w:rsidRPr="001326E6">
        <w:t xml:space="preserve"> This was done to incorporate cost projections into the model while maintaining consistency across years. Navigant used efficacy (lm/W) and price per kilo-lumen ($/klm) projections to determine current and future costs for LEDs. </w:t>
      </w:r>
      <w:r>
        <w:fldChar w:fldCharType="begin"/>
      </w:r>
      <w:r>
        <w:instrText xml:space="preserve"> REF _Ref482093253 \h </w:instrText>
      </w:r>
      <w:r>
        <w:fldChar w:fldCharType="separate"/>
      </w:r>
      <w:r w:rsidR="00C407F4" w:rsidRPr="004D5A3E">
        <w:t xml:space="preserve">Figure </w:t>
      </w:r>
      <w:r w:rsidR="00C407F4">
        <w:rPr>
          <w:noProof/>
        </w:rPr>
        <w:t>3</w:t>
      </w:r>
      <w:r w:rsidR="00C407F4">
        <w:noBreakHyphen/>
      </w:r>
      <w:r w:rsidR="00C407F4">
        <w:rPr>
          <w:noProof/>
        </w:rPr>
        <w:t>3</w:t>
      </w:r>
      <w:r>
        <w:fldChar w:fldCharType="end"/>
      </w:r>
      <w:r>
        <w:t xml:space="preserve"> and </w:t>
      </w:r>
      <w:r>
        <w:fldChar w:fldCharType="begin"/>
      </w:r>
      <w:r>
        <w:instrText xml:space="preserve"> REF _Ref482093265 \h </w:instrText>
      </w:r>
      <w:r>
        <w:fldChar w:fldCharType="separate"/>
      </w:r>
      <w:r w:rsidR="00C407F4" w:rsidRPr="004D5A3E">
        <w:t xml:space="preserve">Figure </w:t>
      </w:r>
      <w:r w:rsidR="00C407F4">
        <w:rPr>
          <w:noProof/>
        </w:rPr>
        <w:t>3</w:t>
      </w:r>
      <w:r w:rsidR="00C407F4">
        <w:noBreakHyphen/>
      </w:r>
      <w:r w:rsidR="00C407F4">
        <w:rPr>
          <w:noProof/>
        </w:rPr>
        <w:t>4</w:t>
      </w:r>
      <w:r>
        <w:fldChar w:fldCharType="end"/>
      </w:r>
      <w:r>
        <w:t xml:space="preserve"> below graphs the projected efficacy and costs of different lamp types of LEDs, respectively, through 2030.</w:t>
      </w:r>
    </w:p>
    <w:p w14:paraId="05D45A24" w14:textId="77777777" w:rsidR="004D5A3E" w:rsidRPr="001326E6" w:rsidRDefault="004D5A3E" w:rsidP="004D5A3E"/>
    <w:p w14:paraId="3E92CAB4" w14:textId="77777777" w:rsidR="004D5A3E" w:rsidRPr="004D5A3E" w:rsidRDefault="004D5A3E" w:rsidP="004D5A3E">
      <w:pPr>
        <w:pStyle w:val="Caption"/>
      </w:pPr>
      <w:bookmarkStart w:id="464" w:name="_Ref482093253"/>
      <w:bookmarkStart w:id="465" w:name="_Toc482634249"/>
      <w:bookmarkStart w:id="466" w:name="_Toc482626457"/>
      <w:bookmarkStart w:id="467" w:name="_Toc484437001"/>
      <w:bookmarkStart w:id="468" w:name="_Toc485125511"/>
      <w:r w:rsidRPr="004D5A3E">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3</w:t>
      </w:r>
      <w:r w:rsidR="00272F76">
        <w:rPr>
          <w:noProof/>
        </w:rPr>
        <w:fldChar w:fldCharType="end"/>
      </w:r>
      <w:bookmarkEnd w:id="464"/>
      <w:r w:rsidRPr="004D5A3E">
        <w:t>. Projected LED Technology Improvements, 2013-2030</w:t>
      </w:r>
      <w:bookmarkEnd w:id="465"/>
      <w:bookmarkEnd w:id="466"/>
      <w:bookmarkEnd w:id="467"/>
      <w:bookmarkEnd w:id="468"/>
    </w:p>
    <w:p w14:paraId="20773B00" w14:textId="77777777" w:rsidR="004D5A3E" w:rsidRPr="004D5A3E" w:rsidRDefault="004D5A3E" w:rsidP="004D5A3E">
      <w:pPr>
        <w:jc w:val="center"/>
      </w:pPr>
      <w:r w:rsidRPr="004D5A3E">
        <w:rPr>
          <w:noProof/>
        </w:rPr>
        <w:drawing>
          <wp:inline distT="0" distB="0" distL="0" distR="0" wp14:anchorId="5150B4BA" wp14:editId="20322115">
            <wp:extent cx="4902956" cy="31644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8812" cy="3168232"/>
                    </a:xfrm>
                    <a:prstGeom prst="rect">
                      <a:avLst/>
                    </a:prstGeom>
                    <a:noFill/>
                  </pic:spPr>
                </pic:pic>
              </a:graphicData>
            </a:graphic>
          </wp:inline>
        </w:drawing>
      </w:r>
    </w:p>
    <w:p w14:paraId="191F4026" w14:textId="77777777" w:rsidR="004D5A3E" w:rsidRPr="004D5A3E" w:rsidRDefault="004D5A3E" w:rsidP="004D5A3E"/>
    <w:p w14:paraId="5EECC0C7" w14:textId="77777777" w:rsidR="004D5A3E" w:rsidRPr="00360FD1" w:rsidRDefault="004D5A3E" w:rsidP="004D5A3E">
      <w:pPr>
        <w:pStyle w:val="Caption"/>
      </w:pPr>
      <w:bookmarkStart w:id="469" w:name="_Ref482093265"/>
      <w:bookmarkStart w:id="470" w:name="_Toc482634250"/>
      <w:bookmarkStart w:id="471" w:name="_Toc482626458"/>
      <w:bookmarkStart w:id="472" w:name="_Toc484437002"/>
      <w:bookmarkStart w:id="473" w:name="_Toc485125512"/>
      <w:r w:rsidRPr="004D5A3E">
        <w:lastRenderedPageBreak/>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4</w:t>
      </w:r>
      <w:r w:rsidR="00272F76">
        <w:rPr>
          <w:noProof/>
        </w:rPr>
        <w:fldChar w:fldCharType="end"/>
      </w:r>
      <w:bookmarkEnd w:id="469"/>
      <w:r w:rsidRPr="004D5A3E">
        <w:t>. Projected LED Cost Reduction Profiles, 2013-2030</w:t>
      </w:r>
      <w:bookmarkEnd w:id="470"/>
      <w:bookmarkEnd w:id="471"/>
      <w:bookmarkEnd w:id="472"/>
      <w:bookmarkEnd w:id="473"/>
    </w:p>
    <w:p w14:paraId="3BAC7D5E" w14:textId="77777777" w:rsidR="004D5A3E" w:rsidRDefault="004D5A3E" w:rsidP="004D5A3E">
      <w:pPr>
        <w:jc w:val="center"/>
        <w:rPr>
          <w:highlight w:val="yellow"/>
        </w:rPr>
      </w:pPr>
      <w:r w:rsidRPr="004D5A3E">
        <w:rPr>
          <w:noProof/>
        </w:rPr>
        <w:drawing>
          <wp:inline distT="0" distB="0" distL="0" distR="0" wp14:anchorId="3E2BF07B" wp14:editId="36B56DF5">
            <wp:extent cx="5303520" cy="33004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7510" cy="3302904"/>
                    </a:xfrm>
                    <a:prstGeom prst="rect">
                      <a:avLst/>
                    </a:prstGeom>
                    <a:noFill/>
                  </pic:spPr>
                </pic:pic>
              </a:graphicData>
            </a:graphic>
          </wp:inline>
        </w:drawing>
      </w:r>
    </w:p>
    <w:p w14:paraId="63524847" w14:textId="77777777" w:rsidR="001326E6" w:rsidRPr="001326E6" w:rsidRDefault="001326E6" w:rsidP="00A330AB">
      <w:pPr>
        <w:pStyle w:val="Heading3"/>
      </w:pPr>
      <w:bookmarkStart w:id="474" w:name="_Toc485126550"/>
      <w:r w:rsidRPr="001326E6">
        <w:t>Market Information: Density and Saturation Values</w:t>
      </w:r>
      <w:bookmarkEnd w:id="474"/>
    </w:p>
    <w:p w14:paraId="66ABB06B" w14:textId="77777777" w:rsidR="006807F5" w:rsidRDefault="001326E6" w:rsidP="001326E6">
      <w:r w:rsidRPr="001326E6">
        <w:t xml:space="preserve">Density and saturation are two essential calculations of technology characterization. </w:t>
      </w:r>
    </w:p>
    <w:p w14:paraId="639BF6E6" w14:textId="77777777" w:rsidR="006807F5" w:rsidRDefault="006807F5" w:rsidP="004E4E36">
      <w:pPr>
        <w:pStyle w:val="ListParagraph"/>
        <w:numPr>
          <w:ilvl w:val="0"/>
          <w:numId w:val="34"/>
        </w:numPr>
      </w:pPr>
      <w:r>
        <w:t xml:space="preserve">Density is a measure of the number of units per building. </w:t>
      </w:r>
      <w:r w:rsidR="001326E6" w:rsidRPr="001326E6">
        <w:t xml:space="preserve">The potential model uses the density information to determine the number of applicable technology units on the appropriate scaling basis (per household for residential and per sq. ft. for commercial), to scale up the technology stock by segment/building type. Density is specified by technology group and by individual technologies. </w:t>
      </w:r>
      <w:r>
        <w:t xml:space="preserve"> Density can be expressed as the following (for example): units/home, bulbs/home, fixtures/1000 square feet, tons of cooling/1000 square feet, etc.</w:t>
      </w:r>
    </w:p>
    <w:p w14:paraId="715BC352" w14:textId="77777777" w:rsidR="006807F5" w:rsidRDefault="001326E6" w:rsidP="004E4E36">
      <w:pPr>
        <w:pStyle w:val="ListParagraph"/>
        <w:numPr>
          <w:ilvl w:val="0"/>
          <w:numId w:val="34"/>
        </w:numPr>
      </w:pPr>
      <w:r w:rsidRPr="001326E6">
        <w:t xml:space="preserve">Saturation is the share of a specific technology within a technology group, so that the sum of the saturations across a technology group always sums to 100%. Saturation can also be calculated by dividing the individual technology density by the total technology group maximum density. </w:t>
      </w:r>
    </w:p>
    <w:p w14:paraId="686124F6" w14:textId="77777777" w:rsidR="006807F5" w:rsidRDefault="006807F5" w:rsidP="006807F5"/>
    <w:p w14:paraId="71D3DB17" w14:textId="054E3824" w:rsidR="001326E6" w:rsidRPr="001326E6" w:rsidRDefault="001326E6" w:rsidP="006807F5">
      <w:r w:rsidRPr="001326E6">
        <w:t xml:space="preserve">As an example, </w:t>
      </w:r>
      <w:r w:rsidR="00870F2A" w:rsidRPr="00490F81">
        <w:fldChar w:fldCharType="begin"/>
      </w:r>
      <w:r w:rsidR="00870F2A" w:rsidRPr="00870F2A">
        <w:instrText xml:space="preserve"> REF _Ref481652758 \h </w:instrText>
      </w:r>
      <w:r w:rsidR="00870F2A">
        <w:instrText xml:space="preserve"> \* MERGEFORMAT </w:instrText>
      </w:r>
      <w:r w:rsidR="00870F2A" w:rsidRPr="00490F81">
        <w:fldChar w:fldCharType="separate"/>
      </w:r>
      <w:r w:rsidR="00C407F4" w:rsidRPr="00D063E4">
        <w:t xml:space="preserve">Table </w:t>
      </w:r>
      <w:r w:rsidR="00C407F4">
        <w:t>3</w:t>
      </w:r>
      <w:r w:rsidR="00C407F4" w:rsidRPr="00D063E4">
        <w:noBreakHyphen/>
      </w:r>
      <w:r w:rsidR="00C407F4">
        <w:t>14</w:t>
      </w:r>
      <w:r w:rsidR="00870F2A" w:rsidRPr="00490F81">
        <w:fldChar w:fldCharType="end"/>
      </w:r>
      <w:r w:rsidRPr="001326E6">
        <w:t xml:space="preserve"> below shows the densities and saturations for residential refrigerators in single-family homes in PG&amp;E’s service territory.  </w:t>
      </w:r>
    </w:p>
    <w:p w14:paraId="6788E682" w14:textId="77777777" w:rsidR="001326E6" w:rsidRPr="001326E6" w:rsidRDefault="001326E6" w:rsidP="001326E6"/>
    <w:p w14:paraId="09FFEB76" w14:textId="77777777" w:rsidR="001326E6" w:rsidRPr="00D063E4" w:rsidRDefault="001326E6" w:rsidP="00D063E4">
      <w:pPr>
        <w:pStyle w:val="Caption"/>
      </w:pPr>
      <w:bookmarkStart w:id="475" w:name="_Ref481652758"/>
      <w:bookmarkStart w:id="476" w:name="_Toc482634222"/>
      <w:bookmarkStart w:id="477" w:name="_Toc485125672"/>
      <w:bookmarkStart w:id="478" w:name="_Toc484436961"/>
      <w:r w:rsidRPr="00D063E4">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14</w:t>
      </w:r>
      <w:r w:rsidR="00272F76">
        <w:rPr>
          <w:noProof/>
        </w:rPr>
        <w:fldChar w:fldCharType="end"/>
      </w:r>
      <w:bookmarkEnd w:id="475"/>
      <w:r w:rsidRPr="00D063E4">
        <w:rPr>
          <w:noProof/>
        </w:rPr>
        <w:t>.  Example of Density and Saturation Calculation</w:t>
      </w:r>
      <w:bookmarkEnd w:id="476"/>
      <w:bookmarkEnd w:id="477"/>
    </w:p>
    <w:tbl>
      <w:tblPr>
        <w:tblStyle w:val="EnergyTable1"/>
        <w:tblW w:w="0" w:type="auto"/>
        <w:tblLook w:val="04A0" w:firstRow="1" w:lastRow="0" w:firstColumn="1" w:lastColumn="0" w:noHBand="0" w:noVBand="1"/>
      </w:tblPr>
      <w:tblGrid>
        <w:gridCol w:w="1870"/>
        <w:gridCol w:w="1870"/>
        <w:gridCol w:w="1870"/>
        <w:gridCol w:w="1870"/>
        <w:gridCol w:w="1870"/>
      </w:tblGrid>
      <w:tr w:rsidR="001326E6" w:rsidRPr="00957936" w14:paraId="6B371634" w14:textId="77777777" w:rsidTr="0011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bookmarkEnd w:id="478"/>
          <w:p w14:paraId="39F8C65D"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Technology Name</w:t>
            </w:r>
          </w:p>
        </w:tc>
        <w:tc>
          <w:tcPr>
            <w:tcW w:w="1870" w:type="dxa"/>
          </w:tcPr>
          <w:p w14:paraId="17DEB5FB"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Base Year Efficiency Level</w:t>
            </w:r>
          </w:p>
        </w:tc>
        <w:tc>
          <w:tcPr>
            <w:tcW w:w="1870" w:type="dxa"/>
          </w:tcPr>
          <w:p w14:paraId="55F809A4"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Unit basis</w:t>
            </w:r>
          </w:p>
        </w:tc>
        <w:tc>
          <w:tcPr>
            <w:tcW w:w="1870" w:type="dxa"/>
          </w:tcPr>
          <w:p w14:paraId="2796BFE8"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Technology Density (units per household)</w:t>
            </w:r>
          </w:p>
        </w:tc>
        <w:tc>
          <w:tcPr>
            <w:tcW w:w="1870" w:type="dxa"/>
          </w:tcPr>
          <w:p w14:paraId="5D4CED43"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Technology Saturation</w:t>
            </w:r>
          </w:p>
        </w:tc>
      </w:tr>
      <w:tr w:rsidR="001326E6" w:rsidRPr="00957936" w14:paraId="17DFD554"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B5BB430"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Average </w:t>
            </w:r>
            <w:r w:rsidR="006807F5">
              <w:rPr>
                <w:rFonts w:ascii="Arial Narrow" w:hAnsi="Arial Narrow"/>
                <w:sz w:val="18"/>
                <w:szCs w:val="18"/>
              </w:rPr>
              <w:t>Below Code</w:t>
            </w:r>
            <w:r w:rsidRPr="00957936">
              <w:rPr>
                <w:rFonts w:ascii="Arial Narrow" w:hAnsi="Arial Narrow"/>
                <w:sz w:val="18"/>
                <w:szCs w:val="18"/>
              </w:rPr>
              <w:t xml:space="preserve"> Refrigerator</w:t>
            </w:r>
          </w:p>
        </w:tc>
        <w:tc>
          <w:tcPr>
            <w:tcW w:w="1870" w:type="dxa"/>
          </w:tcPr>
          <w:p w14:paraId="481C7379"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Average </w:t>
            </w:r>
            <w:r w:rsidR="006807F5">
              <w:rPr>
                <w:rFonts w:ascii="Arial Narrow" w:hAnsi="Arial Narrow"/>
                <w:sz w:val="18"/>
                <w:szCs w:val="18"/>
              </w:rPr>
              <w:t>Below Code</w:t>
            </w:r>
          </w:p>
        </w:tc>
        <w:tc>
          <w:tcPr>
            <w:tcW w:w="1870" w:type="dxa"/>
          </w:tcPr>
          <w:p w14:paraId="0686C13A"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No. of Refrigerators</w:t>
            </w:r>
          </w:p>
        </w:tc>
        <w:tc>
          <w:tcPr>
            <w:tcW w:w="1870" w:type="dxa"/>
          </w:tcPr>
          <w:p w14:paraId="7AAF807E"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0.155</w:t>
            </w:r>
          </w:p>
        </w:tc>
        <w:tc>
          <w:tcPr>
            <w:tcW w:w="1870" w:type="dxa"/>
          </w:tcPr>
          <w:p w14:paraId="39E16B58"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13%</w:t>
            </w:r>
          </w:p>
        </w:tc>
      </w:tr>
      <w:tr w:rsidR="001326E6" w:rsidRPr="00957936" w14:paraId="738D9A52"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107C080"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Code Compliant Refrigerator</w:t>
            </w:r>
          </w:p>
        </w:tc>
        <w:tc>
          <w:tcPr>
            <w:tcW w:w="1870" w:type="dxa"/>
          </w:tcPr>
          <w:p w14:paraId="21709ED5"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Code</w:t>
            </w:r>
          </w:p>
        </w:tc>
        <w:tc>
          <w:tcPr>
            <w:tcW w:w="1870" w:type="dxa"/>
          </w:tcPr>
          <w:p w14:paraId="788A0AEC"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No. of Refrigerators</w:t>
            </w:r>
          </w:p>
        </w:tc>
        <w:tc>
          <w:tcPr>
            <w:tcW w:w="1870" w:type="dxa"/>
          </w:tcPr>
          <w:p w14:paraId="62D1F841"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0.590</w:t>
            </w:r>
          </w:p>
        </w:tc>
        <w:tc>
          <w:tcPr>
            <w:tcW w:w="1870" w:type="dxa"/>
          </w:tcPr>
          <w:p w14:paraId="2C2DC93B"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51%</w:t>
            </w:r>
          </w:p>
        </w:tc>
      </w:tr>
      <w:tr w:rsidR="001326E6" w:rsidRPr="00957936" w14:paraId="448592D7"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A663D58" w14:textId="77777777" w:rsidR="001326E6" w:rsidRPr="00957936" w:rsidRDefault="001326E6" w:rsidP="001326E6">
            <w:pPr>
              <w:rPr>
                <w:rFonts w:ascii="Arial Narrow" w:hAnsi="Arial Narrow"/>
                <w:sz w:val="18"/>
                <w:szCs w:val="18"/>
              </w:rPr>
            </w:pPr>
            <w:r w:rsidRPr="00957936">
              <w:rPr>
                <w:rFonts w:ascii="Arial Narrow" w:hAnsi="Arial Narrow"/>
                <w:sz w:val="18"/>
                <w:szCs w:val="18"/>
              </w:rPr>
              <w:lastRenderedPageBreak/>
              <w:t>ENERGY STAR Refrigerator</w:t>
            </w:r>
          </w:p>
        </w:tc>
        <w:tc>
          <w:tcPr>
            <w:tcW w:w="1870" w:type="dxa"/>
          </w:tcPr>
          <w:p w14:paraId="5F4C0EB1"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Efficient</w:t>
            </w:r>
          </w:p>
        </w:tc>
        <w:tc>
          <w:tcPr>
            <w:tcW w:w="1870" w:type="dxa"/>
          </w:tcPr>
          <w:p w14:paraId="03DC7F36"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No. of Refrigerators</w:t>
            </w:r>
          </w:p>
        </w:tc>
        <w:tc>
          <w:tcPr>
            <w:tcW w:w="1870" w:type="dxa"/>
          </w:tcPr>
          <w:p w14:paraId="3D08E51A"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0.405</w:t>
            </w:r>
          </w:p>
        </w:tc>
        <w:tc>
          <w:tcPr>
            <w:tcW w:w="1870" w:type="dxa"/>
          </w:tcPr>
          <w:p w14:paraId="1949EFEA"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35%</w:t>
            </w:r>
          </w:p>
        </w:tc>
      </w:tr>
      <w:tr w:rsidR="001326E6" w:rsidRPr="00957936" w14:paraId="1E6CD1DB"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35F09BC"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Total</w:t>
            </w:r>
          </w:p>
        </w:tc>
        <w:tc>
          <w:tcPr>
            <w:tcW w:w="1870" w:type="dxa"/>
          </w:tcPr>
          <w:p w14:paraId="00056404"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1870" w:type="dxa"/>
          </w:tcPr>
          <w:p w14:paraId="69DAA473"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1870" w:type="dxa"/>
          </w:tcPr>
          <w:p w14:paraId="03E3B60F"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1.15</w:t>
            </w:r>
          </w:p>
        </w:tc>
        <w:tc>
          <w:tcPr>
            <w:tcW w:w="1870" w:type="dxa"/>
          </w:tcPr>
          <w:p w14:paraId="51CC1C77"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100%</w:t>
            </w:r>
          </w:p>
        </w:tc>
      </w:tr>
    </w:tbl>
    <w:p w14:paraId="4FBB831E" w14:textId="77777777" w:rsidR="001326E6" w:rsidRPr="001326E6" w:rsidRDefault="001326E6" w:rsidP="001326E6"/>
    <w:p w14:paraId="67A1F774" w14:textId="77777777" w:rsidR="001326E6" w:rsidRPr="001326E6" w:rsidRDefault="001326E6" w:rsidP="001326E6">
      <w:r w:rsidRPr="001326E6">
        <w:t xml:space="preserve">The table shows that an average single-family home in PG&amp;E’s territory has 1.15 refrigerators per home, which is the density for refrigerators in single-family homes. The saturations for average </w:t>
      </w:r>
      <w:r w:rsidR="006807F5">
        <w:t>below code</w:t>
      </w:r>
      <w:r w:rsidRPr="001326E6">
        <w:t>, code compliant and ENERGY STAR refrigerators for single family homes is 13%, 51% and 35% respectively.</w:t>
      </w:r>
      <w:r w:rsidR="001C6C48">
        <w:t xml:space="preserve"> </w:t>
      </w:r>
      <w:r w:rsidR="006263D1">
        <w:t xml:space="preserve">The </w:t>
      </w:r>
      <w:r w:rsidR="000F0B62">
        <w:t xml:space="preserve">saturation </w:t>
      </w:r>
      <w:r w:rsidR="006263D1">
        <w:t xml:space="preserve">change overs time </w:t>
      </w:r>
      <w:r w:rsidR="000F0B62">
        <w:t xml:space="preserve">with population growth and </w:t>
      </w:r>
      <w:r w:rsidR="006263D1">
        <w:t xml:space="preserve">stock turnover </w:t>
      </w:r>
      <w:r w:rsidR="001C6C48">
        <w:t xml:space="preserve">as more </w:t>
      </w:r>
      <w:r w:rsidR="000F0B62">
        <w:t>“</w:t>
      </w:r>
      <w:r w:rsidR="001C6C48">
        <w:t>below-code</w:t>
      </w:r>
      <w:r w:rsidR="000F0B62">
        <w:t>”</w:t>
      </w:r>
      <w:r w:rsidR="001C6C48">
        <w:t xml:space="preserve"> stock gets replaced with “at-code” and “higher efficiency” stock.  </w:t>
      </w:r>
    </w:p>
    <w:p w14:paraId="4B9F0A03" w14:textId="77777777" w:rsidR="001326E6" w:rsidRPr="001326E6" w:rsidRDefault="001326E6" w:rsidP="001326E6"/>
    <w:p w14:paraId="2F4FEC02" w14:textId="3542747B" w:rsidR="001326E6" w:rsidRPr="001326E6" w:rsidRDefault="00870F2A" w:rsidP="001326E6">
      <w:r w:rsidRPr="001C1CDC">
        <w:rPr>
          <w:highlight w:val="yellow"/>
        </w:rPr>
        <w:fldChar w:fldCharType="begin"/>
      </w:r>
      <w:r w:rsidRPr="00870F2A">
        <w:rPr>
          <w:highlight w:val="yellow"/>
        </w:rPr>
        <w:instrText xml:space="preserve"> REF _Ref481652797 \h </w:instrText>
      </w:r>
      <w:r>
        <w:rPr>
          <w:highlight w:val="yellow"/>
        </w:rPr>
        <w:instrText xml:space="preserve"> \* MERGEFORMAT </w:instrText>
      </w:r>
      <w:r w:rsidRPr="001C1CDC">
        <w:rPr>
          <w:highlight w:val="yellow"/>
        </w:rPr>
      </w:r>
      <w:r w:rsidRPr="001C1CDC">
        <w:rPr>
          <w:highlight w:val="yellow"/>
        </w:rPr>
        <w:fldChar w:fldCharType="separate"/>
      </w:r>
      <w:r w:rsidR="00C407F4" w:rsidRPr="00D063E4">
        <w:t xml:space="preserve">Table </w:t>
      </w:r>
      <w:r w:rsidR="00C407F4">
        <w:t>3</w:t>
      </w:r>
      <w:r w:rsidR="00C407F4" w:rsidRPr="00D063E4">
        <w:noBreakHyphen/>
      </w:r>
      <w:r w:rsidR="00C407F4">
        <w:t>15</w:t>
      </w:r>
      <w:r w:rsidRPr="001C1CDC">
        <w:rPr>
          <w:highlight w:val="yellow"/>
        </w:rPr>
        <w:fldChar w:fldCharType="end"/>
      </w:r>
      <w:r w:rsidR="001326E6" w:rsidRPr="00490F81">
        <w:t xml:space="preserve"> </w:t>
      </w:r>
      <w:r w:rsidR="001326E6" w:rsidRPr="001326E6">
        <w:t xml:space="preserve">lists the resources used to calculate density and saturation for the residential and commercial sector in 2017, in order of priority. Navigant primarily used California-specific sources for density and saturation data, and referred to non-California sources only in cases California-specific sources did not have the required data. </w:t>
      </w:r>
    </w:p>
    <w:p w14:paraId="281DD72E" w14:textId="77777777" w:rsidR="00D063E4" w:rsidRDefault="00D063E4">
      <w:pPr>
        <w:spacing w:line="240" w:lineRule="auto"/>
      </w:pPr>
      <w:r>
        <w:br w:type="page"/>
      </w:r>
    </w:p>
    <w:p w14:paraId="1BD4BA02" w14:textId="77777777" w:rsidR="001326E6" w:rsidRPr="00D063E4" w:rsidRDefault="001326E6" w:rsidP="00D063E4">
      <w:pPr>
        <w:pStyle w:val="Caption"/>
      </w:pPr>
      <w:bookmarkStart w:id="479" w:name="_Ref481652797"/>
      <w:bookmarkStart w:id="480" w:name="_Toc482634223"/>
      <w:bookmarkStart w:id="481" w:name="_Toc484436962"/>
      <w:bookmarkStart w:id="482" w:name="_Toc485125673"/>
      <w:r w:rsidRPr="00D063E4">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rsidRPr="00D063E4">
        <w:noBreakHyphen/>
      </w:r>
      <w:r w:rsidR="00272F76">
        <w:fldChar w:fldCharType="begin"/>
      </w:r>
      <w:r w:rsidR="00272F76">
        <w:instrText xml:space="preserve"> SEQ Table \* ARABIC \s 1 </w:instrText>
      </w:r>
      <w:r w:rsidR="00272F76">
        <w:fldChar w:fldCharType="separate"/>
      </w:r>
      <w:r w:rsidR="00C407F4">
        <w:rPr>
          <w:noProof/>
        </w:rPr>
        <w:t>15</w:t>
      </w:r>
      <w:r w:rsidR="00272F76">
        <w:rPr>
          <w:noProof/>
        </w:rPr>
        <w:fldChar w:fldCharType="end"/>
      </w:r>
      <w:bookmarkEnd w:id="479"/>
      <w:r w:rsidRPr="00D063E4">
        <w:t>.  Sources for Density and Saturation Characterization</w:t>
      </w:r>
      <w:bookmarkEnd w:id="480"/>
      <w:bookmarkEnd w:id="481"/>
      <w:bookmarkEnd w:id="482"/>
    </w:p>
    <w:tbl>
      <w:tblPr>
        <w:tblStyle w:val="EnergyTable1"/>
        <w:tblW w:w="5000" w:type="pct"/>
        <w:tblLook w:val="0420" w:firstRow="1" w:lastRow="0" w:firstColumn="0" w:lastColumn="0" w:noHBand="0" w:noVBand="1"/>
      </w:tblPr>
      <w:tblGrid>
        <w:gridCol w:w="996"/>
        <w:gridCol w:w="3024"/>
        <w:gridCol w:w="3547"/>
        <w:gridCol w:w="1216"/>
        <w:gridCol w:w="793"/>
      </w:tblGrid>
      <w:tr w:rsidR="001326E6" w:rsidRPr="00957936" w14:paraId="4D7FD5FD" w14:textId="77777777" w:rsidTr="00211361">
        <w:trPr>
          <w:cnfStyle w:val="100000000000" w:firstRow="1" w:lastRow="0" w:firstColumn="0" w:lastColumn="0" w:oddVBand="0" w:evenVBand="0" w:oddHBand="0" w:evenHBand="0" w:firstRowFirstColumn="0" w:firstRowLastColumn="0" w:lastRowFirstColumn="0" w:lastRowLastColumn="0"/>
          <w:trHeight w:val="485"/>
          <w:tblHeader/>
        </w:trPr>
        <w:tc>
          <w:tcPr>
            <w:tcW w:w="520" w:type="pct"/>
            <w:hideMark/>
          </w:tcPr>
          <w:p w14:paraId="4AF09E57"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Priority</w:t>
            </w:r>
          </w:p>
        </w:tc>
        <w:tc>
          <w:tcPr>
            <w:tcW w:w="1579" w:type="pct"/>
            <w:hideMark/>
          </w:tcPr>
          <w:p w14:paraId="0BF7519D"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Sources</w:t>
            </w:r>
          </w:p>
        </w:tc>
        <w:tc>
          <w:tcPr>
            <w:tcW w:w="1852" w:type="pct"/>
            <w:hideMark/>
          </w:tcPr>
          <w:p w14:paraId="2A02BDFE"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Description</w:t>
            </w:r>
          </w:p>
        </w:tc>
        <w:tc>
          <w:tcPr>
            <w:tcW w:w="635" w:type="pct"/>
            <w:hideMark/>
          </w:tcPr>
          <w:p w14:paraId="463F7777"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Author</w:t>
            </w:r>
          </w:p>
        </w:tc>
        <w:tc>
          <w:tcPr>
            <w:tcW w:w="414" w:type="pct"/>
            <w:hideMark/>
          </w:tcPr>
          <w:p w14:paraId="0BD6E0EF"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Year</w:t>
            </w:r>
          </w:p>
        </w:tc>
      </w:tr>
      <w:tr w:rsidR="001326E6" w:rsidRPr="00957936" w14:paraId="4A548643" w14:textId="77777777" w:rsidTr="00110120">
        <w:trPr>
          <w:cnfStyle w:val="000000100000" w:firstRow="0" w:lastRow="0" w:firstColumn="0" w:lastColumn="0" w:oddVBand="0" w:evenVBand="0" w:oddHBand="1" w:evenHBand="0" w:firstRowFirstColumn="0" w:firstRowLastColumn="0" w:lastRowFirstColumn="0" w:lastRowLastColumn="0"/>
          <w:trHeight w:val="435"/>
        </w:trPr>
        <w:tc>
          <w:tcPr>
            <w:tcW w:w="520" w:type="pct"/>
            <w:hideMark/>
          </w:tcPr>
          <w:p w14:paraId="3C41285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1</w:t>
            </w:r>
          </w:p>
        </w:tc>
        <w:tc>
          <w:tcPr>
            <w:tcW w:w="1579" w:type="pct"/>
            <w:hideMark/>
          </w:tcPr>
          <w:p w14:paraId="2AB5A537"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California Lighting &amp; Appl.  Saturation Survey (CLASS)</w:t>
            </w:r>
          </w:p>
        </w:tc>
        <w:tc>
          <w:tcPr>
            <w:tcW w:w="1852" w:type="pct"/>
            <w:hideMark/>
          </w:tcPr>
          <w:p w14:paraId="15900261"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Residential baseline study of 1,987 homes across California.</w:t>
            </w:r>
          </w:p>
        </w:tc>
        <w:tc>
          <w:tcPr>
            <w:tcW w:w="635" w:type="pct"/>
            <w:hideMark/>
          </w:tcPr>
          <w:p w14:paraId="50B7FD15"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DNV GL</w:t>
            </w:r>
          </w:p>
        </w:tc>
        <w:tc>
          <w:tcPr>
            <w:tcW w:w="414" w:type="pct"/>
            <w:hideMark/>
          </w:tcPr>
          <w:p w14:paraId="3D74F12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2012</w:t>
            </w:r>
          </w:p>
        </w:tc>
      </w:tr>
      <w:tr w:rsidR="001326E6" w:rsidRPr="00957936" w14:paraId="6F5EA254" w14:textId="77777777" w:rsidTr="00110120">
        <w:trPr>
          <w:cnfStyle w:val="000000010000" w:firstRow="0" w:lastRow="0" w:firstColumn="0" w:lastColumn="0" w:oddVBand="0" w:evenVBand="0" w:oddHBand="0" w:evenHBand="1" w:firstRowFirstColumn="0" w:firstRowLastColumn="0" w:lastRowFirstColumn="0" w:lastRowLastColumn="0"/>
          <w:trHeight w:val="435"/>
        </w:trPr>
        <w:tc>
          <w:tcPr>
            <w:tcW w:w="520" w:type="pct"/>
            <w:hideMark/>
          </w:tcPr>
          <w:p w14:paraId="27AFA66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w:t>
            </w:r>
          </w:p>
        </w:tc>
        <w:tc>
          <w:tcPr>
            <w:tcW w:w="1579" w:type="pct"/>
            <w:hideMark/>
          </w:tcPr>
          <w:p w14:paraId="188FDD78"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Commercial Saturation Survey (CSS)</w:t>
            </w:r>
          </w:p>
        </w:tc>
        <w:tc>
          <w:tcPr>
            <w:tcW w:w="1852" w:type="pct"/>
            <w:hideMark/>
          </w:tcPr>
          <w:p w14:paraId="622FF77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Baseline study of 1,439 commercial buildings across California.</w:t>
            </w:r>
          </w:p>
        </w:tc>
        <w:tc>
          <w:tcPr>
            <w:tcW w:w="635" w:type="pct"/>
            <w:hideMark/>
          </w:tcPr>
          <w:p w14:paraId="65359D3E"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Itron</w:t>
            </w:r>
          </w:p>
        </w:tc>
        <w:tc>
          <w:tcPr>
            <w:tcW w:w="414" w:type="pct"/>
            <w:hideMark/>
          </w:tcPr>
          <w:p w14:paraId="54DE4DE1"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2013</w:t>
            </w:r>
          </w:p>
        </w:tc>
      </w:tr>
      <w:tr w:rsidR="001326E6" w:rsidRPr="00957936" w14:paraId="3ADD9908" w14:textId="77777777" w:rsidTr="00110120">
        <w:trPr>
          <w:cnfStyle w:val="000000100000" w:firstRow="0" w:lastRow="0" w:firstColumn="0" w:lastColumn="0" w:oddVBand="0" w:evenVBand="0" w:oddHBand="1" w:evenHBand="0" w:firstRowFirstColumn="0" w:firstRowLastColumn="0" w:lastRowFirstColumn="0" w:lastRowLastColumn="0"/>
          <w:trHeight w:val="435"/>
        </w:trPr>
        <w:tc>
          <w:tcPr>
            <w:tcW w:w="520" w:type="pct"/>
            <w:hideMark/>
          </w:tcPr>
          <w:p w14:paraId="1C865872"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3</w:t>
            </w:r>
          </w:p>
        </w:tc>
        <w:tc>
          <w:tcPr>
            <w:tcW w:w="1579" w:type="pct"/>
            <w:hideMark/>
          </w:tcPr>
          <w:p w14:paraId="68FBBE7D"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Residential Appliance Saturation Study (RASS)</w:t>
            </w:r>
            <w:r w:rsidRPr="00957936">
              <w:rPr>
                <w:rFonts w:ascii="Arial Narrow" w:hAnsi="Arial Narrow" w:cs="Arial"/>
                <w:sz w:val="18"/>
                <w:szCs w:val="18"/>
                <w:vertAlign w:val="superscript"/>
              </w:rPr>
              <w:footnoteReference w:id="58"/>
            </w:r>
          </w:p>
        </w:tc>
        <w:tc>
          <w:tcPr>
            <w:tcW w:w="1852" w:type="pct"/>
            <w:hideMark/>
          </w:tcPr>
          <w:p w14:paraId="1CC7C0A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Residential end-use saturations for 24,000 households in California.  </w:t>
            </w:r>
          </w:p>
        </w:tc>
        <w:tc>
          <w:tcPr>
            <w:tcW w:w="635" w:type="pct"/>
            <w:hideMark/>
          </w:tcPr>
          <w:p w14:paraId="3636176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DNV GL (formerly KEMA)</w:t>
            </w:r>
          </w:p>
        </w:tc>
        <w:tc>
          <w:tcPr>
            <w:tcW w:w="414" w:type="pct"/>
            <w:hideMark/>
          </w:tcPr>
          <w:p w14:paraId="542C199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2009</w:t>
            </w:r>
          </w:p>
        </w:tc>
      </w:tr>
      <w:tr w:rsidR="001326E6" w:rsidRPr="00957936" w14:paraId="690E90BE" w14:textId="77777777" w:rsidTr="00110120">
        <w:trPr>
          <w:cnfStyle w:val="000000010000" w:firstRow="0" w:lastRow="0" w:firstColumn="0" w:lastColumn="0" w:oddVBand="0" w:evenVBand="0" w:oddHBand="0" w:evenHBand="1" w:firstRowFirstColumn="0" w:firstRowLastColumn="0" w:lastRowFirstColumn="0" w:lastRowLastColumn="0"/>
          <w:trHeight w:val="1006"/>
        </w:trPr>
        <w:tc>
          <w:tcPr>
            <w:tcW w:w="520" w:type="pct"/>
            <w:vMerge w:val="restart"/>
            <w:hideMark/>
          </w:tcPr>
          <w:p w14:paraId="62449B13"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4</w:t>
            </w:r>
          </w:p>
        </w:tc>
        <w:tc>
          <w:tcPr>
            <w:tcW w:w="1579" w:type="pct"/>
            <w:hideMark/>
          </w:tcPr>
          <w:p w14:paraId="7CFE1991"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Non-California source examples:</w:t>
            </w:r>
          </w:p>
          <w:p w14:paraId="3B27BE92" w14:textId="77777777" w:rsidR="001326E6" w:rsidRPr="00957936" w:rsidRDefault="001326E6" w:rsidP="004E4E36">
            <w:pPr>
              <w:numPr>
                <w:ilvl w:val="0"/>
                <w:numId w:val="28"/>
              </w:numPr>
              <w:jc w:val="left"/>
              <w:rPr>
                <w:rFonts w:ascii="Arial Narrow" w:hAnsi="Arial Narrow" w:cs="Arial"/>
                <w:sz w:val="18"/>
                <w:szCs w:val="18"/>
              </w:rPr>
            </w:pPr>
            <w:r w:rsidRPr="00957936">
              <w:rPr>
                <w:rFonts w:ascii="Arial Narrow" w:hAnsi="Arial Narrow" w:cs="Arial"/>
                <w:sz w:val="18"/>
                <w:szCs w:val="18"/>
              </w:rPr>
              <w:t>Residential Building Stock Assessment (RBSA)</w:t>
            </w:r>
          </w:p>
          <w:p w14:paraId="7EC6BA48" w14:textId="77777777" w:rsidR="001326E6" w:rsidRPr="00957936" w:rsidRDefault="001326E6" w:rsidP="004E4E36">
            <w:pPr>
              <w:numPr>
                <w:ilvl w:val="0"/>
                <w:numId w:val="28"/>
              </w:numPr>
              <w:jc w:val="left"/>
              <w:rPr>
                <w:rFonts w:ascii="Arial Narrow" w:hAnsi="Arial Narrow" w:cs="Arial"/>
                <w:sz w:val="18"/>
                <w:szCs w:val="18"/>
              </w:rPr>
            </w:pPr>
            <w:r w:rsidRPr="00957936">
              <w:rPr>
                <w:rFonts w:ascii="Arial Narrow" w:hAnsi="Arial Narrow" w:cs="Arial"/>
                <w:sz w:val="18"/>
                <w:szCs w:val="18"/>
              </w:rPr>
              <w:t>Comm. Building Stock Assessment (CBSA)</w:t>
            </w:r>
          </w:p>
        </w:tc>
        <w:tc>
          <w:tcPr>
            <w:tcW w:w="1852" w:type="pct"/>
            <w:hideMark/>
          </w:tcPr>
          <w:p w14:paraId="28E554CB" w14:textId="77777777" w:rsidR="001326E6" w:rsidRPr="00957936" w:rsidRDefault="001326E6" w:rsidP="001326E6">
            <w:pPr>
              <w:rPr>
                <w:rFonts w:ascii="Arial Narrow" w:hAnsi="Arial Narrow" w:cs="Arial"/>
                <w:sz w:val="18"/>
                <w:szCs w:val="18"/>
              </w:rPr>
            </w:pPr>
          </w:p>
          <w:p w14:paraId="00F2B44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RBSA and CBSA survey residential and commercial building stock across the Northwest states (Idaho, Montana, Oregon, Washington)</w:t>
            </w:r>
          </w:p>
        </w:tc>
        <w:tc>
          <w:tcPr>
            <w:tcW w:w="635" w:type="pct"/>
            <w:hideMark/>
          </w:tcPr>
          <w:p w14:paraId="79FBF5E4" w14:textId="77777777" w:rsidR="001326E6" w:rsidRPr="00957936" w:rsidRDefault="001326E6" w:rsidP="001326E6">
            <w:pPr>
              <w:rPr>
                <w:rFonts w:ascii="Arial Narrow" w:hAnsi="Arial Narrow" w:cs="Arial"/>
                <w:sz w:val="18"/>
                <w:szCs w:val="18"/>
              </w:rPr>
            </w:pPr>
          </w:p>
          <w:p w14:paraId="521518B3" w14:textId="77777777" w:rsidR="001326E6" w:rsidRPr="00957936" w:rsidRDefault="001326E6" w:rsidP="001326E6">
            <w:pPr>
              <w:rPr>
                <w:rFonts w:ascii="Arial Narrow" w:hAnsi="Arial Narrow" w:cs="Arial"/>
                <w:sz w:val="18"/>
                <w:szCs w:val="18"/>
              </w:rPr>
            </w:pPr>
          </w:p>
          <w:p w14:paraId="0E616D9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Northwest Energy Efficiency Alliance (NEEA)</w:t>
            </w:r>
          </w:p>
        </w:tc>
        <w:tc>
          <w:tcPr>
            <w:tcW w:w="414" w:type="pct"/>
            <w:hideMark/>
          </w:tcPr>
          <w:p w14:paraId="4AB4DB51" w14:textId="77777777" w:rsidR="001326E6" w:rsidRPr="00957936" w:rsidRDefault="001326E6" w:rsidP="001326E6">
            <w:pPr>
              <w:rPr>
                <w:rFonts w:ascii="Arial Narrow" w:hAnsi="Arial Narrow" w:cs="Arial"/>
                <w:sz w:val="18"/>
                <w:szCs w:val="18"/>
              </w:rPr>
            </w:pPr>
          </w:p>
          <w:p w14:paraId="174EA080" w14:textId="77777777" w:rsidR="001326E6" w:rsidRPr="00957936" w:rsidRDefault="001326E6" w:rsidP="001326E6">
            <w:pPr>
              <w:rPr>
                <w:rFonts w:ascii="Arial Narrow" w:hAnsi="Arial Narrow" w:cs="Arial"/>
                <w:sz w:val="18"/>
                <w:szCs w:val="18"/>
              </w:rPr>
            </w:pPr>
          </w:p>
          <w:p w14:paraId="3E6FFB75"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2014</w:t>
            </w:r>
          </w:p>
        </w:tc>
      </w:tr>
      <w:tr w:rsidR="001326E6" w:rsidRPr="00957936" w14:paraId="691FB19B" w14:textId="77777777" w:rsidTr="00110120">
        <w:trPr>
          <w:cnfStyle w:val="000000100000" w:firstRow="0" w:lastRow="0" w:firstColumn="0" w:lastColumn="0" w:oddVBand="0" w:evenVBand="0" w:oddHBand="1" w:evenHBand="0" w:firstRowFirstColumn="0" w:firstRowLastColumn="0" w:lastRowFirstColumn="0" w:lastRowLastColumn="0"/>
          <w:trHeight w:val="793"/>
        </w:trPr>
        <w:tc>
          <w:tcPr>
            <w:tcW w:w="520" w:type="pct"/>
            <w:vMerge/>
            <w:hideMark/>
          </w:tcPr>
          <w:p w14:paraId="6ED3AFAC" w14:textId="77777777" w:rsidR="001326E6" w:rsidRPr="00957936" w:rsidRDefault="001326E6" w:rsidP="001326E6">
            <w:pPr>
              <w:rPr>
                <w:rFonts w:ascii="Arial Narrow" w:hAnsi="Arial Narrow" w:cs="Arial"/>
                <w:sz w:val="18"/>
                <w:szCs w:val="18"/>
              </w:rPr>
            </w:pPr>
          </w:p>
        </w:tc>
        <w:tc>
          <w:tcPr>
            <w:tcW w:w="1579" w:type="pct"/>
            <w:hideMark/>
          </w:tcPr>
          <w:p w14:paraId="4A0753D8" w14:textId="77777777" w:rsidR="001326E6" w:rsidRPr="00957936" w:rsidRDefault="001326E6" w:rsidP="004E4E36">
            <w:pPr>
              <w:numPr>
                <w:ilvl w:val="0"/>
                <w:numId w:val="29"/>
              </w:numPr>
              <w:jc w:val="left"/>
              <w:rPr>
                <w:rFonts w:ascii="Arial Narrow" w:hAnsi="Arial Narrow" w:cs="Arial"/>
                <w:sz w:val="18"/>
                <w:szCs w:val="18"/>
              </w:rPr>
            </w:pPr>
            <w:r w:rsidRPr="00957936">
              <w:rPr>
                <w:rFonts w:ascii="Arial Narrow" w:hAnsi="Arial Narrow" w:cs="Arial"/>
                <w:sz w:val="18"/>
                <w:szCs w:val="18"/>
              </w:rPr>
              <w:t>Res. Energy Consumption Survey (RECS)</w:t>
            </w:r>
          </w:p>
          <w:p w14:paraId="162850C6" w14:textId="77777777" w:rsidR="001326E6" w:rsidRPr="00957936" w:rsidRDefault="001326E6" w:rsidP="004E4E36">
            <w:pPr>
              <w:numPr>
                <w:ilvl w:val="0"/>
                <w:numId w:val="29"/>
              </w:numPr>
              <w:jc w:val="left"/>
              <w:rPr>
                <w:rFonts w:ascii="Arial Narrow" w:hAnsi="Arial Narrow" w:cs="Arial"/>
                <w:sz w:val="18"/>
                <w:szCs w:val="18"/>
              </w:rPr>
            </w:pPr>
            <w:r w:rsidRPr="00957936">
              <w:rPr>
                <w:rFonts w:ascii="Arial Narrow" w:hAnsi="Arial Narrow" w:cs="Arial"/>
                <w:sz w:val="18"/>
                <w:szCs w:val="18"/>
              </w:rPr>
              <w:t>Comm. Bldg. Energy Cons. Survey (CBECS)</w:t>
            </w:r>
          </w:p>
        </w:tc>
        <w:tc>
          <w:tcPr>
            <w:tcW w:w="1852" w:type="pct"/>
            <w:hideMark/>
          </w:tcPr>
          <w:p w14:paraId="23AF847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RECS and CBECS are surveys of residential and commercial building stock in the United States by region. Used West regional data only.</w:t>
            </w:r>
          </w:p>
        </w:tc>
        <w:tc>
          <w:tcPr>
            <w:tcW w:w="635" w:type="pct"/>
            <w:hideMark/>
          </w:tcPr>
          <w:p w14:paraId="1F79761D"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U.S. Dept. of Energy</w:t>
            </w:r>
          </w:p>
        </w:tc>
        <w:tc>
          <w:tcPr>
            <w:tcW w:w="414" w:type="pct"/>
            <w:hideMark/>
          </w:tcPr>
          <w:p w14:paraId="11B508C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2009</w:t>
            </w:r>
          </w:p>
        </w:tc>
      </w:tr>
      <w:tr w:rsidR="001326E6" w:rsidRPr="00957936" w14:paraId="23F53C41" w14:textId="77777777" w:rsidTr="00110120">
        <w:trPr>
          <w:cnfStyle w:val="000000010000" w:firstRow="0" w:lastRow="0" w:firstColumn="0" w:lastColumn="0" w:oddVBand="0" w:evenVBand="0" w:oddHBand="0" w:evenHBand="1" w:firstRowFirstColumn="0" w:firstRowLastColumn="0" w:lastRowFirstColumn="0" w:lastRowLastColumn="0"/>
          <w:trHeight w:val="545"/>
        </w:trPr>
        <w:tc>
          <w:tcPr>
            <w:tcW w:w="520" w:type="pct"/>
            <w:vMerge/>
            <w:hideMark/>
          </w:tcPr>
          <w:p w14:paraId="7FED814A" w14:textId="77777777" w:rsidR="001326E6" w:rsidRPr="00957936" w:rsidRDefault="001326E6" w:rsidP="001326E6">
            <w:pPr>
              <w:rPr>
                <w:rFonts w:ascii="Arial Narrow" w:hAnsi="Arial Narrow" w:cs="Arial"/>
                <w:sz w:val="18"/>
                <w:szCs w:val="18"/>
              </w:rPr>
            </w:pPr>
          </w:p>
        </w:tc>
        <w:tc>
          <w:tcPr>
            <w:tcW w:w="1579" w:type="pct"/>
            <w:hideMark/>
          </w:tcPr>
          <w:p w14:paraId="5585E8FF" w14:textId="77777777" w:rsidR="001326E6" w:rsidRPr="00957936" w:rsidRDefault="001326E6" w:rsidP="004E4E36">
            <w:pPr>
              <w:numPr>
                <w:ilvl w:val="0"/>
                <w:numId w:val="30"/>
              </w:numPr>
              <w:jc w:val="left"/>
              <w:rPr>
                <w:rFonts w:ascii="Arial Narrow" w:hAnsi="Arial Narrow" w:cs="Arial"/>
                <w:sz w:val="18"/>
                <w:szCs w:val="18"/>
              </w:rPr>
            </w:pPr>
            <w:r w:rsidRPr="00957936">
              <w:rPr>
                <w:rFonts w:ascii="Arial Narrow" w:hAnsi="Arial Narrow" w:cs="Arial"/>
                <w:sz w:val="18"/>
                <w:szCs w:val="18"/>
              </w:rPr>
              <w:t>Energy Star Shipment Database</w:t>
            </w:r>
          </w:p>
        </w:tc>
        <w:tc>
          <w:tcPr>
            <w:tcW w:w="1852" w:type="pct"/>
            <w:hideMark/>
          </w:tcPr>
          <w:p w14:paraId="0D4854E2"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Unit shipment data of Energy Star-certified products collected to evaluate market penetration and performance</w:t>
            </w:r>
          </w:p>
        </w:tc>
        <w:tc>
          <w:tcPr>
            <w:tcW w:w="635" w:type="pct"/>
            <w:hideMark/>
          </w:tcPr>
          <w:p w14:paraId="2AED183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EPA</w:t>
            </w:r>
          </w:p>
        </w:tc>
        <w:tc>
          <w:tcPr>
            <w:tcW w:w="414" w:type="pct"/>
            <w:hideMark/>
          </w:tcPr>
          <w:p w14:paraId="64C63BE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2003-2016</w:t>
            </w:r>
          </w:p>
        </w:tc>
      </w:tr>
    </w:tbl>
    <w:p w14:paraId="12153E97" w14:textId="77777777" w:rsidR="001326E6" w:rsidRPr="001326E6" w:rsidRDefault="001326E6" w:rsidP="001326E6"/>
    <w:p w14:paraId="540EEA71" w14:textId="77777777" w:rsidR="00870F2A" w:rsidRPr="001326E6" w:rsidRDefault="001326E6" w:rsidP="001326E6">
      <w:r w:rsidRPr="001326E6">
        <w:t xml:space="preserve">In addition to the density and saturation values, measure characterization requires specification of the technical suitability or applicability factor (which has a value less than or equal to 1), that defines the share of customers with the physical or infrastructural pre-requisites to install a technology. The applicability factor assumptions are based on data sources, wherever available, and the Navigant team’s industry expertise and subject matter expertise in the area. </w:t>
      </w:r>
    </w:p>
    <w:p w14:paraId="5B44C4BF" w14:textId="77777777" w:rsidR="001326E6" w:rsidRPr="001326E6" w:rsidRDefault="001326E6" w:rsidP="001326E6">
      <w:pPr>
        <w:keepNext/>
        <w:numPr>
          <w:ilvl w:val="2"/>
          <w:numId w:val="8"/>
        </w:numPr>
        <w:spacing w:before="360" w:after="240" w:line="240" w:lineRule="auto"/>
        <w:outlineLvl w:val="2"/>
        <w:rPr>
          <w:rFonts w:cs="Arial"/>
          <w:b/>
          <w:bCs/>
          <w:i/>
          <w:color w:val="555759"/>
          <w:sz w:val="22"/>
          <w:szCs w:val="26"/>
        </w:rPr>
      </w:pPr>
      <w:r w:rsidRPr="001326E6">
        <w:rPr>
          <w:rFonts w:cs="Arial"/>
          <w:b/>
          <w:bCs/>
          <w:i/>
          <w:color w:val="555759"/>
          <w:sz w:val="22"/>
          <w:szCs w:val="26"/>
        </w:rPr>
        <w:t xml:space="preserve">MICS Database </w:t>
      </w:r>
    </w:p>
    <w:p w14:paraId="783CA91A" w14:textId="77777777" w:rsidR="001326E6" w:rsidRPr="001326E6" w:rsidRDefault="001326E6" w:rsidP="001326E6">
      <w:r w:rsidRPr="001326E6">
        <w:t>The MICS database consolidates the information from the measure characterization effort and in an Excel spreadsheet that serves as an input to the potential model. It presents the various dimensions along which measures are characterized as separate fields in the database. The database is publicly available and can be downloaded through the CPUC website.</w:t>
      </w:r>
      <w:r w:rsidRPr="001326E6">
        <w:rPr>
          <w:vertAlign w:val="superscript"/>
        </w:rPr>
        <w:footnoteReference w:id="59"/>
      </w:r>
    </w:p>
    <w:p w14:paraId="4A3042DB" w14:textId="77777777" w:rsidR="00383D8B" w:rsidRPr="007542E3" w:rsidRDefault="00383D8B" w:rsidP="00383D8B">
      <w:pPr>
        <w:pStyle w:val="Heading2"/>
      </w:pPr>
      <w:bookmarkStart w:id="483" w:name="_Toc482350761"/>
      <w:bookmarkStart w:id="484" w:name="_Toc482352146"/>
      <w:bookmarkStart w:id="485" w:name="_Toc482352528"/>
      <w:bookmarkStart w:id="486" w:name="_Toc482353368"/>
      <w:bookmarkStart w:id="487" w:name="_Toc478990514"/>
      <w:bookmarkStart w:id="488" w:name="_Toc479768590"/>
      <w:bookmarkStart w:id="489" w:name="_Toc482357311"/>
      <w:bookmarkStart w:id="490" w:name="_Toc482634287"/>
      <w:bookmarkStart w:id="491" w:name="_Toc482626419"/>
      <w:bookmarkStart w:id="492" w:name="_Toc484092490"/>
      <w:bookmarkStart w:id="493" w:name="_Toc484172694"/>
      <w:bookmarkStart w:id="494" w:name="_Toc484183030"/>
      <w:bookmarkStart w:id="495" w:name="_Toc485126551"/>
      <w:bookmarkEnd w:id="483"/>
      <w:bookmarkEnd w:id="484"/>
      <w:bookmarkEnd w:id="485"/>
      <w:bookmarkEnd w:id="486"/>
      <w:r w:rsidRPr="007542E3">
        <w:lastRenderedPageBreak/>
        <w:t>Agriculture, Industrial, Mining</w:t>
      </w:r>
      <w:r w:rsidR="001C1CDC">
        <w:t>,</w:t>
      </w:r>
      <w:r w:rsidRPr="007542E3">
        <w:t xml:space="preserve"> and Street-lighting (AIMS) </w:t>
      </w:r>
      <w:r w:rsidR="009F1024" w:rsidRPr="007542E3">
        <w:t>Technology</w:t>
      </w:r>
      <w:r w:rsidRPr="007542E3">
        <w:t xml:space="preserve"> Characterization</w:t>
      </w:r>
      <w:bookmarkEnd w:id="487"/>
      <w:bookmarkEnd w:id="488"/>
      <w:bookmarkEnd w:id="489"/>
      <w:bookmarkEnd w:id="490"/>
      <w:bookmarkEnd w:id="491"/>
      <w:bookmarkEnd w:id="492"/>
      <w:bookmarkEnd w:id="493"/>
      <w:bookmarkEnd w:id="494"/>
      <w:bookmarkEnd w:id="495"/>
    </w:p>
    <w:p w14:paraId="3881A181" w14:textId="77777777" w:rsidR="00F237AE" w:rsidRDefault="00B74D52" w:rsidP="00FB21C6">
      <w:r>
        <w:t>The 2018 PG study updated the Agriculture, Industrial, Mining, and Street Lighting (AIMS) sectors</w:t>
      </w:r>
      <w:r w:rsidR="00F237AE">
        <w:t>,</w:t>
      </w:r>
      <w:r>
        <w:t xml:space="preserve"> with a heavy focus on the Agriculture and Industrial sector and limited focus on the Mining and Street</w:t>
      </w:r>
      <w:r w:rsidR="00F237AE">
        <w:t xml:space="preserve"> </w:t>
      </w:r>
      <w:r>
        <w:t xml:space="preserve">lighting sectors. </w:t>
      </w:r>
      <w:r w:rsidR="00FB21C6" w:rsidRPr="00FC2902">
        <w:t xml:space="preserve">The </w:t>
      </w:r>
      <w:r w:rsidR="00FB21C6">
        <w:t xml:space="preserve">Navigant team’s approach to </w:t>
      </w:r>
      <w:r>
        <w:t>each sector’s</w:t>
      </w:r>
      <w:r w:rsidR="00FB21C6">
        <w:t xml:space="preserve"> data sources varied. The primary effort for Agriculture and Industrial focused on historical program data to directly relate measures developed for the potential model to IOU program activities. The data approaches to Mining and Street Lighting remain largely consistent with the </w:t>
      </w:r>
      <w:r>
        <w:t xml:space="preserve">2015 </w:t>
      </w:r>
      <w:r w:rsidR="00FB21C6">
        <w:t>PG study, but Navigant reviewed and updated the existing data with new and current sources. The following sections provide additional details about the development of data for the four AIMS sectors.</w:t>
      </w:r>
    </w:p>
    <w:p w14:paraId="601D9273" w14:textId="77777777" w:rsidR="00952591" w:rsidRPr="007542E3" w:rsidRDefault="00A91A67" w:rsidP="00952591">
      <w:pPr>
        <w:pStyle w:val="Heading3"/>
      </w:pPr>
      <w:bookmarkStart w:id="496" w:name="_Toc478990515"/>
      <w:bookmarkStart w:id="497" w:name="_Toc479768591"/>
      <w:bookmarkStart w:id="498" w:name="_Toc482357312"/>
      <w:bookmarkStart w:id="499" w:name="_Toc482634288"/>
      <w:bookmarkStart w:id="500" w:name="_Toc482626420"/>
      <w:bookmarkStart w:id="501" w:name="_Toc484092491"/>
      <w:bookmarkStart w:id="502" w:name="_Toc484172695"/>
      <w:bookmarkStart w:id="503" w:name="_Toc484183031"/>
      <w:bookmarkStart w:id="504" w:name="_Toc485126552"/>
      <w:r>
        <w:t xml:space="preserve">Agriculture </w:t>
      </w:r>
      <w:r w:rsidR="0088698C">
        <w:t xml:space="preserve">and Industrial </w:t>
      </w:r>
      <w:r w:rsidR="00952591" w:rsidRPr="007542E3">
        <w:t>Sector</w:t>
      </w:r>
      <w:bookmarkEnd w:id="496"/>
      <w:bookmarkEnd w:id="497"/>
      <w:r>
        <w:t>s</w:t>
      </w:r>
      <w:bookmarkEnd w:id="498"/>
      <w:bookmarkEnd w:id="499"/>
      <w:bookmarkEnd w:id="500"/>
      <w:bookmarkEnd w:id="501"/>
      <w:bookmarkEnd w:id="502"/>
      <w:bookmarkEnd w:id="503"/>
      <w:bookmarkEnd w:id="504"/>
    </w:p>
    <w:p w14:paraId="698835A5" w14:textId="77777777" w:rsidR="001C1CDC" w:rsidRDefault="001C1CDC" w:rsidP="001C1CDC">
      <w:pPr>
        <w:widowControl w:val="0"/>
      </w:pPr>
      <w:r>
        <w:t xml:space="preserve">Navigant identified over </w:t>
      </w:r>
      <w:r w:rsidR="00A91A67">
        <w:t>9</w:t>
      </w:r>
      <w:r>
        <w:t>00 records</w:t>
      </w:r>
      <w:r>
        <w:rPr>
          <w:rStyle w:val="FootnoteReference"/>
        </w:rPr>
        <w:footnoteReference w:id="60"/>
      </w:r>
      <w:r>
        <w:t xml:space="preserve"> in the 2013 to 2015 </w:t>
      </w:r>
      <w:r w:rsidR="0025094E" w:rsidRPr="003533A1">
        <w:t>Energy Efficiency Statistics (</w:t>
      </w:r>
      <w:r w:rsidR="0025094E">
        <w:t>EEStats</w:t>
      </w:r>
      <w:r w:rsidR="0025094E" w:rsidRPr="003533A1">
        <w:t>)</w:t>
      </w:r>
      <w:r>
        <w:t xml:space="preserve"> data associated with the </w:t>
      </w:r>
      <w:r w:rsidR="0088698C">
        <w:t xml:space="preserve">Agriculture and </w:t>
      </w:r>
      <w:r>
        <w:t>Industrial sector</w:t>
      </w:r>
      <w:r w:rsidR="00A91A67">
        <w:t>s</w:t>
      </w:r>
      <w:r>
        <w:t>. The team refined this list of records, focusing on the high impact measures (i.e., those contributing significant amounts of energy savings), and excluded records with negligible savings contributions or those representing niche activities. Navigant then combined similar ProgramIDs into representative technology groupings based on the team’s familiarity with the industrial market.</w:t>
      </w:r>
    </w:p>
    <w:p w14:paraId="297EDC0D" w14:textId="77777777" w:rsidR="001C1CDC" w:rsidRDefault="001C1CDC" w:rsidP="001C1CDC">
      <w:pPr>
        <w:widowControl w:val="0"/>
      </w:pPr>
    </w:p>
    <w:p w14:paraId="02CCA1CA" w14:textId="77777777" w:rsidR="001C1CDC" w:rsidRDefault="001C1CDC" w:rsidP="00010744">
      <w:pPr>
        <w:keepNext/>
      </w:pPr>
      <w:r>
        <w:t xml:space="preserve">The Navigant team presented the list of initial representative technologies to stakeholders during the DAWG meeting in August 2016, seeking feedback on whether the list appropriately represented the </w:t>
      </w:r>
      <w:r w:rsidR="0088698C">
        <w:t xml:space="preserve">two </w:t>
      </w:r>
      <w:r>
        <w:t>sector</w:t>
      </w:r>
      <w:r w:rsidR="0088698C">
        <w:t>s</w:t>
      </w:r>
      <w:r>
        <w:t xml:space="preserve">, and whether to add or delete any of the identified technologies. Stakeholders generally agreed with the overall approach to leveraging </w:t>
      </w:r>
      <w:r w:rsidR="0025094E">
        <w:t>EEStats</w:t>
      </w:r>
      <w:r>
        <w:t xml:space="preserve"> data and recommended a few areas of improvement, including expanding the lighting end-use to cover specific technologies (e.g., LEDs and lighting controls).</w:t>
      </w:r>
      <w:r w:rsidR="001D04E6">
        <w:t xml:space="preserve"> </w:t>
      </w:r>
      <w:r w:rsidR="00010744">
        <w:fldChar w:fldCharType="begin"/>
      </w:r>
      <w:r w:rsidR="00010744">
        <w:instrText xml:space="preserve"> REF _Ref482354786 \h </w:instrText>
      </w:r>
      <w:r w:rsidR="00010744">
        <w:fldChar w:fldCharType="separate"/>
      </w:r>
      <w:r w:rsidR="00C407F4">
        <w:t xml:space="preserve">Figure </w:t>
      </w:r>
      <w:r w:rsidR="00C407F4">
        <w:rPr>
          <w:noProof/>
        </w:rPr>
        <w:t>3</w:t>
      </w:r>
      <w:r w:rsidR="00C407F4">
        <w:noBreakHyphen/>
      </w:r>
      <w:r w:rsidR="00C407F4">
        <w:rPr>
          <w:noProof/>
        </w:rPr>
        <w:t>5</w:t>
      </w:r>
      <w:r w:rsidR="00010744">
        <w:fldChar w:fldCharType="end"/>
      </w:r>
      <w:r w:rsidR="00010744">
        <w:t xml:space="preserve"> illustrates this technology list development process.</w:t>
      </w:r>
    </w:p>
    <w:p w14:paraId="7F67654C" w14:textId="77777777" w:rsidR="001D04E6" w:rsidRDefault="001D04E6" w:rsidP="00010744">
      <w:pPr>
        <w:keepNext/>
      </w:pPr>
    </w:p>
    <w:p w14:paraId="3CA6072D" w14:textId="77777777" w:rsidR="001D04E6" w:rsidRDefault="001D04E6" w:rsidP="00010744">
      <w:pPr>
        <w:pStyle w:val="Caption"/>
      </w:pPr>
      <w:bookmarkStart w:id="505" w:name="_Ref482354786"/>
      <w:bookmarkStart w:id="506" w:name="_Toc482634251"/>
      <w:bookmarkStart w:id="507" w:name="_Toc482626459"/>
      <w:bookmarkStart w:id="508" w:name="_Toc484437003"/>
      <w:bookmarkStart w:id="509" w:name="_Toc485125513"/>
      <w:r>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5</w:t>
      </w:r>
      <w:r w:rsidR="00272F76">
        <w:rPr>
          <w:noProof/>
        </w:rPr>
        <w:fldChar w:fldCharType="end"/>
      </w:r>
      <w:bookmarkEnd w:id="505"/>
      <w:r>
        <w:t>. Ind</w:t>
      </w:r>
      <w:r w:rsidR="00A51A79">
        <w:t>ustrial and Agriculture</w:t>
      </w:r>
      <w:r>
        <w:t xml:space="preserve"> Technology List Development Process</w:t>
      </w:r>
      <w:bookmarkEnd w:id="506"/>
      <w:bookmarkEnd w:id="507"/>
      <w:bookmarkEnd w:id="508"/>
      <w:bookmarkEnd w:id="509"/>
    </w:p>
    <w:p w14:paraId="486E2FC6" w14:textId="77777777" w:rsidR="001C1CDC" w:rsidRDefault="001D04E6" w:rsidP="001C1CDC">
      <w:pPr>
        <w:widowControl w:val="0"/>
      </w:pPr>
      <w:r>
        <w:rPr>
          <w:noProof/>
        </w:rPr>
        <w:drawing>
          <wp:inline distT="0" distB="0" distL="0" distR="0" wp14:anchorId="69483096" wp14:editId="117CC981">
            <wp:extent cx="5943600" cy="20745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074545"/>
                    </a:xfrm>
                    <a:prstGeom prst="rect">
                      <a:avLst/>
                    </a:prstGeom>
                    <a:noFill/>
                  </pic:spPr>
                </pic:pic>
              </a:graphicData>
            </a:graphic>
          </wp:inline>
        </w:drawing>
      </w:r>
    </w:p>
    <w:p w14:paraId="462BA462" w14:textId="77777777" w:rsidR="00010744" w:rsidRDefault="00010744" w:rsidP="001C1CDC">
      <w:pPr>
        <w:widowControl w:val="0"/>
      </w:pPr>
    </w:p>
    <w:p w14:paraId="134E1B32" w14:textId="77777777" w:rsidR="001C1CDC" w:rsidRDefault="001C1CDC" w:rsidP="001C1CDC">
      <w:pPr>
        <w:widowControl w:val="0"/>
      </w:pPr>
      <w:r>
        <w:t xml:space="preserve">The Navigant team then segmented </w:t>
      </w:r>
      <w:r w:rsidR="00010744">
        <w:t xml:space="preserve">the final </w:t>
      </w:r>
      <w:r>
        <w:t>technology list into three categories:</w:t>
      </w:r>
    </w:p>
    <w:p w14:paraId="36760D9A" w14:textId="77777777" w:rsidR="001C1CDC" w:rsidRDefault="001C1CDC" w:rsidP="004E4E36">
      <w:pPr>
        <w:pStyle w:val="ListParagraph"/>
        <w:widowControl w:val="0"/>
        <w:numPr>
          <w:ilvl w:val="0"/>
          <w:numId w:val="42"/>
        </w:numPr>
      </w:pPr>
      <w:r w:rsidRPr="001E2E01">
        <w:lastRenderedPageBreak/>
        <w:t>Discrete</w:t>
      </w:r>
      <w:r>
        <w:rPr>
          <w:b/>
        </w:rPr>
        <w:t xml:space="preserve"> i</w:t>
      </w:r>
      <w:r w:rsidRPr="001E2E01">
        <w:rPr>
          <w:b/>
        </w:rPr>
        <w:t>dentified deemed</w:t>
      </w:r>
      <w:r>
        <w:t xml:space="preserve"> measures, </w:t>
      </w:r>
      <w:r w:rsidRPr="00B5410B">
        <w:t xml:space="preserve">readily defined and forecasted using </w:t>
      </w:r>
      <w:r>
        <w:t xml:space="preserve">the </w:t>
      </w:r>
      <w:r w:rsidRPr="00B5410B">
        <w:t>diffusion model</w:t>
      </w:r>
      <w:r>
        <w:t xml:space="preserve"> using deemed savings estimates</w:t>
      </w:r>
    </w:p>
    <w:p w14:paraId="69F4AEE0" w14:textId="77777777" w:rsidR="001C1CDC" w:rsidRDefault="001C1CDC" w:rsidP="004E4E36">
      <w:pPr>
        <w:pStyle w:val="ListParagraph"/>
        <w:widowControl w:val="0"/>
        <w:numPr>
          <w:ilvl w:val="0"/>
          <w:numId w:val="42"/>
        </w:numPr>
      </w:pPr>
      <w:r w:rsidRPr="001E2E01">
        <w:t>Discrete</w:t>
      </w:r>
      <w:r>
        <w:rPr>
          <w:b/>
        </w:rPr>
        <w:t xml:space="preserve"> i</w:t>
      </w:r>
      <w:r w:rsidRPr="001E2E01">
        <w:rPr>
          <w:b/>
        </w:rPr>
        <w:t>dentified custom</w:t>
      </w:r>
      <w:r>
        <w:t xml:space="preserve"> measures, </w:t>
      </w:r>
      <w:r w:rsidRPr="00B5410B">
        <w:t xml:space="preserve">readily defined and forecasted using </w:t>
      </w:r>
      <w:r>
        <w:t xml:space="preserve">the </w:t>
      </w:r>
      <w:r w:rsidRPr="00B5410B">
        <w:t>diffusion model</w:t>
      </w:r>
      <w:r>
        <w:t xml:space="preserve"> using custom savings estimates</w:t>
      </w:r>
    </w:p>
    <w:p w14:paraId="6AE5B0B9" w14:textId="77777777" w:rsidR="001C1CDC" w:rsidRDefault="001C1CDC" w:rsidP="004E4E36">
      <w:pPr>
        <w:pStyle w:val="ListParagraph"/>
        <w:widowControl w:val="0"/>
        <w:numPr>
          <w:ilvl w:val="0"/>
          <w:numId w:val="42"/>
        </w:numPr>
      </w:pPr>
      <w:r w:rsidRPr="001E2E01">
        <w:rPr>
          <w:b/>
        </w:rPr>
        <w:t>Generic custom</w:t>
      </w:r>
      <w:r>
        <w:t xml:space="preserve"> measures included in p</w:t>
      </w:r>
      <w:r w:rsidRPr="00B5410B">
        <w:t>rojects unique to various subsectors that cannot be readily defined at the measure level or forecasted using a diffusion model</w:t>
      </w:r>
      <w:r>
        <w:t>.</w:t>
      </w:r>
      <w:r w:rsidRPr="00B5410B">
        <w:t xml:space="preserve"> </w:t>
      </w:r>
      <w:r>
        <w:t xml:space="preserve">Navigant describes the methodology used to characterize these generic custom measures in section </w:t>
      </w:r>
      <w:r w:rsidR="00186218">
        <w:fldChar w:fldCharType="begin"/>
      </w:r>
      <w:r w:rsidR="00186218">
        <w:instrText xml:space="preserve"> REF _Ref482355173 \n \h </w:instrText>
      </w:r>
      <w:r w:rsidR="00186218">
        <w:fldChar w:fldCharType="separate"/>
      </w:r>
      <w:r w:rsidR="00C407F4">
        <w:t>3.5</w:t>
      </w:r>
      <w:r w:rsidR="00186218">
        <w:fldChar w:fldCharType="end"/>
      </w:r>
      <w:r w:rsidR="00186218">
        <w:t>.</w:t>
      </w:r>
    </w:p>
    <w:p w14:paraId="08B991E3" w14:textId="77777777" w:rsidR="00952591" w:rsidRPr="002E129B" w:rsidRDefault="0088698C" w:rsidP="002E129B">
      <w:pPr>
        <w:keepNext/>
        <w:keepLines/>
        <w:numPr>
          <w:ilvl w:val="3"/>
          <w:numId w:val="8"/>
        </w:numPr>
        <w:spacing w:before="360" w:after="240"/>
        <w:ind w:hanging="9144"/>
        <w:outlineLvl w:val="3"/>
        <w:rPr>
          <w:b/>
          <w:bCs/>
          <w:i/>
          <w:iCs/>
          <w:color w:val="555759"/>
          <w:kern w:val="28"/>
          <w:szCs w:val="20"/>
        </w:rPr>
      </w:pPr>
      <w:r w:rsidRPr="002E129B">
        <w:rPr>
          <w:b/>
          <w:bCs/>
          <w:i/>
          <w:iCs/>
          <w:color w:val="555759"/>
          <w:kern w:val="28"/>
          <w:szCs w:val="20"/>
        </w:rPr>
        <w:t>Agricultural</w:t>
      </w:r>
      <w:r w:rsidR="00186218" w:rsidRPr="002E129B">
        <w:rPr>
          <w:b/>
          <w:bCs/>
          <w:i/>
          <w:iCs/>
          <w:color w:val="555759"/>
          <w:kern w:val="28"/>
          <w:szCs w:val="20"/>
        </w:rPr>
        <w:t xml:space="preserve"> </w:t>
      </w:r>
      <w:r w:rsidRPr="002E129B">
        <w:rPr>
          <w:b/>
          <w:bCs/>
          <w:i/>
          <w:iCs/>
          <w:color w:val="555759"/>
          <w:kern w:val="28"/>
          <w:szCs w:val="20"/>
        </w:rPr>
        <w:t xml:space="preserve">and Industrial </w:t>
      </w:r>
      <w:r w:rsidR="008C69A3">
        <w:rPr>
          <w:b/>
          <w:bCs/>
          <w:i/>
          <w:iCs/>
          <w:color w:val="555759"/>
          <w:kern w:val="28"/>
          <w:szCs w:val="20"/>
        </w:rPr>
        <w:t xml:space="preserve">Identified </w:t>
      </w:r>
      <w:r w:rsidR="00D81CD9" w:rsidRPr="002E129B">
        <w:rPr>
          <w:b/>
          <w:bCs/>
          <w:i/>
          <w:iCs/>
          <w:color w:val="555759"/>
          <w:kern w:val="28"/>
          <w:szCs w:val="20"/>
        </w:rPr>
        <w:t>Technologies</w:t>
      </w:r>
    </w:p>
    <w:p w14:paraId="521E5B80" w14:textId="77777777" w:rsidR="00952591" w:rsidRDefault="001C1CDC" w:rsidP="00952591">
      <w:pPr>
        <w:widowControl w:val="0"/>
      </w:pPr>
      <w:r w:rsidRPr="007542E3">
        <w:t>For the 201</w:t>
      </w:r>
      <w:r>
        <w:t>8</w:t>
      </w:r>
      <w:r w:rsidRPr="007542E3">
        <w:t xml:space="preserve"> study, Navigant characterized </w:t>
      </w:r>
      <w:r w:rsidR="0088698C">
        <w:t xml:space="preserve">19 technology groups for the Agriculture sector, and 26 for the Industrial sector, representing the </w:t>
      </w:r>
      <w:r w:rsidR="00A51A79">
        <w:t xml:space="preserve">identified </w:t>
      </w:r>
      <w:r w:rsidRPr="007542E3">
        <w:t>deemed</w:t>
      </w:r>
      <w:r w:rsidR="008C69A3">
        <w:t xml:space="preserve"> and </w:t>
      </w:r>
      <w:r>
        <w:t>identified custom</w:t>
      </w:r>
      <w:r w:rsidR="00656F0D">
        <w:t xml:space="preserve"> measures for the diffusion model</w:t>
      </w:r>
      <w:r w:rsidR="00802E20">
        <w:t xml:space="preserve"> (summarized in </w:t>
      </w:r>
      <w:r w:rsidR="00802E20">
        <w:fldChar w:fldCharType="begin"/>
      </w:r>
      <w:r w:rsidR="00802E20">
        <w:instrText xml:space="preserve"> REF _Ref484437924 \h </w:instrText>
      </w:r>
      <w:r w:rsidR="00802E20">
        <w:fldChar w:fldCharType="separate"/>
      </w:r>
      <w:r w:rsidR="00C407F4">
        <w:t xml:space="preserve">Table </w:t>
      </w:r>
      <w:r w:rsidR="00C407F4">
        <w:rPr>
          <w:noProof/>
        </w:rPr>
        <w:t>3</w:t>
      </w:r>
      <w:r w:rsidR="00C407F4">
        <w:noBreakHyphen/>
      </w:r>
      <w:r w:rsidR="00C407F4">
        <w:rPr>
          <w:noProof/>
        </w:rPr>
        <w:t>16</w:t>
      </w:r>
      <w:r w:rsidR="00802E20">
        <w:fldChar w:fldCharType="end"/>
      </w:r>
      <w:r w:rsidR="00802E20">
        <w:t>)</w:t>
      </w:r>
      <w:r w:rsidR="00A51A79">
        <w:t xml:space="preserve">. Most </w:t>
      </w:r>
      <w:r w:rsidR="00EF786D">
        <w:t xml:space="preserve">of </w:t>
      </w:r>
      <w:r w:rsidR="00A51A79">
        <w:t xml:space="preserve">these are sourced from </w:t>
      </w:r>
      <w:r w:rsidR="0088698C">
        <w:t xml:space="preserve">the </w:t>
      </w:r>
      <w:r w:rsidR="0025094E">
        <w:t>EEStats</w:t>
      </w:r>
      <w:r>
        <w:t xml:space="preserve"> technologies</w:t>
      </w:r>
      <w:r w:rsidR="00E65372">
        <w:t xml:space="preserve"> with other sources informing the development of four technologies, two each for Industrial and Agriculture</w:t>
      </w:r>
      <w:r w:rsidR="0088698C">
        <w:t xml:space="preserve">. </w:t>
      </w:r>
      <w:r w:rsidRPr="00AE341F">
        <w:t>This approach provide</w:t>
      </w:r>
      <w:r>
        <w:t>d</w:t>
      </w:r>
      <w:r w:rsidRPr="00AE341F">
        <w:t xml:space="preserve"> </w:t>
      </w:r>
      <w:r w:rsidR="0025094E">
        <w:t xml:space="preserve">consistency with the methods used in </w:t>
      </w:r>
      <w:r w:rsidRPr="00AE341F">
        <w:t xml:space="preserve">the </w:t>
      </w:r>
      <w:r w:rsidR="00E65372">
        <w:t>R</w:t>
      </w:r>
      <w:r w:rsidRPr="00AE341F">
        <w:t xml:space="preserve">esidential and </w:t>
      </w:r>
      <w:r w:rsidR="00E65372">
        <w:t>C</w:t>
      </w:r>
      <w:r w:rsidRPr="00AE341F">
        <w:t xml:space="preserve">ommercial sectors, </w:t>
      </w:r>
      <w:r w:rsidR="0025094E">
        <w:t xml:space="preserve">and </w:t>
      </w:r>
      <w:r w:rsidRPr="00AE341F">
        <w:t xml:space="preserve">allowed the </w:t>
      </w:r>
      <w:r>
        <w:t xml:space="preserve">modeling </w:t>
      </w:r>
      <w:r w:rsidRPr="00AE341F">
        <w:t xml:space="preserve">team to calibrate </w:t>
      </w:r>
      <w:r w:rsidR="0025094E">
        <w:t xml:space="preserve">the PG model using prior </w:t>
      </w:r>
      <w:r w:rsidRPr="00AE341F">
        <w:t xml:space="preserve">program achievements </w:t>
      </w:r>
      <w:r w:rsidR="0025094E">
        <w:t xml:space="preserve">detailed in EEStats </w:t>
      </w:r>
      <w:r w:rsidRPr="00AE341F">
        <w:t>and establish greater confidence in the results</w:t>
      </w:r>
      <w:r w:rsidRPr="00D81CD9">
        <w:t>.</w:t>
      </w:r>
      <w:r w:rsidR="00D906E9">
        <w:rPr>
          <w:b/>
          <w:bCs/>
          <w:color w:val="3F4042"/>
          <w:szCs w:val="20"/>
        </w:rPr>
        <w:t xml:space="preserve"> </w:t>
      </w:r>
    </w:p>
    <w:p w14:paraId="71A91384" w14:textId="77777777" w:rsidR="0088698C" w:rsidRDefault="0088698C" w:rsidP="00952591">
      <w:pPr>
        <w:widowControl w:val="0"/>
      </w:pPr>
    </w:p>
    <w:p w14:paraId="7E5E9CDF" w14:textId="77777777" w:rsidR="0088698C" w:rsidRDefault="00D906E9" w:rsidP="00D906E9">
      <w:pPr>
        <w:pStyle w:val="Caption"/>
      </w:pPr>
      <w:bookmarkStart w:id="510" w:name="_Ref484437924"/>
      <w:bookmarkStart w:id="511" w:name="_Toc482634224"/>
      <w:bookmarkStart w:id="512" w:name="_Toc484436963"/>
      <w:bookmarkStart w:id="513" w:name="_Toc485125674"/>
      <w:r>
        <w:t xml:space="preserve">Table </w:t>
      </w:r>
      <w:r w:rsidR="00272F76">
        <w:fldChar w:fldCharType="begin"/>
      </w:r>
      <w:r w:rsidR="00272F76">
        <w:instrText xml:space="preserve"> STYLEREF 1 \</w:instrText>
      </w:r>
      <w:r w:rsidR="00272F76">
        <w:instrText xml:space="preserve">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16</w:t>
      </w:r>
      <w:r w:rsidR="00272F76">
        <w:rPr>
          <w:noProof/>
        </w:rPr>
        <w:fldChar w:fldCharType="end"/>
      </w:r>
      <w:bookmarkEnd w:id="510"/>
      <w:r>
        <w:t>. Final List of Technology Groups and Individual Technologies</w:t>
      </w:r>
      <w:bookmarkEnd w:id="511"/>
      <w:bookmarkEnd w:id="512"/>
      <w:bookmarkEnd w:id="513"/>
    </w:p>
    <w:tbl>
      <w:tblPr>
        <w:tblStyle w:val="EnergyTable1"/>
        <w:tblW w:w="5000" w:type="pct"/>
        <w:tblLook w:val="04A0" w:firstRow="1" w:lastRow="0" w:firstColumn="1" w:lastColumn="0" w:noHBand="0" w:noVBand="1"/>
      </w:tblPr>
      <w:tblGrid>
        <w:gridCol w:w="1431"/>
        <w:gridCol w:w="1729"/>
        <w:gridCol w:w="3139"/>
        <w:gridCol w:w="1408"/>
        <w:gridCol w:w="1869"/>
      </w:tblGrid>
      <w:tr w:rsidR="0088698C" w:rsidRPr="00957936" w14:paraId="506A97BD" w14:textId="77777777" w:rsidTr="00110120">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47" w:type="pct"/>
          </w:tcPr>
          <w:p w14:paraId="0EB502D6" w14:textId="77777777" w:rsidR="0088698C" w:rsidRPr="00957936" w:rsidRDefault="0088698C" w:rsidP="0025094E">
            <w:pPr>
              <w:rPr>
                <w:rFonts w:ascii="Arial Narrow" w:hAnsi="Arial Narrow" w:cs="Arial"/>
                <w:sz w:val="18"/>
                <w:szCs w:val="18"/>
              </w:rPr>
            </w:pPr>
            <w:r w:rsidRPr="00957936">
              <w:rPr>
                <w:rFonts w:ascii="Arial Narrow" w:hAnsi="Arial Narrow" w:cs="Arial"/>
                <w:sz w:val="18"/>
                <w:szCs w:val="18"/>
              </w:rPr>
              <w:t>Sector</w:t>
            </w:r>
          </w:p>
        </w:tc>
        <w:tc>
          <w:tcPr>
            <w:tcW w:w="903" w:type="pct"/>
          </w:tcPr>
          <w:p w14:paraId="513A8DE7"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1639" w:type="pct"/>
          </w:tcPr>
          <w:p w14:paraId="4E62BFAB"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Technology Group Examples</w:t>
            </w:r>
            <w:r w:rsidRPr="00957936">
              <w:rPr>
                <w:rFonts w:ascii="Arial Narrow" w:hAnsi="Arial Narrow" w:cs="Arial"/>
                <w:sz w:val="18"/>
                <w:szCs w:val="18"/>
                <w:vertAlign w:val="superscript"/>
              </w:rPr>
              <w:footnoteReference w:id="61"/>
            </w:r>
          </w:p>
        </w:tc>
        <w:tc>
          <w:tcPr>
            <w:tcW w:w="735" w:type="pct"/>
          </w:tcPr>
          <w:p w14:paraId="3D5FDA6A"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Number of Technology Groups </w:t>
            </w:r>
          </w:p>
        </w:tc>
        <w:tc>
          <w:tcPr>
            <w:tcW w:w="976" w:type="pct"/>
          </w:tcPr>
          <w:p w14:paraId="214ADF70"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Individual Technologies</w:t>
            </w:r>
            <w:r w:rsidRPr="00957936">
              <w:rPr>
                <w:rFonts w:ascii="Arial Narrow" w:hAnsi="Arial Narrow" w:cs="Arial"/>
                <w:sz w:val="18"/>
                <w:szCs w:val="18"/>
                <w:vertAlign w:val="superscript"/>
              </w:rPr>
              <w:footnoteReference w:id="62"/>
            </w:r>
          </w:p>
        </w:tc>
      </w:tr>
      <w:tr w:rsidR="0088698C" w:rsidRPr="00957936" w14:paraId="48F3C602" w14:textId="77777777" w:rsidTr="0011012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244C1583" w14:textId="77777777" w:rsidR="0088698C" w:rsidRPr="00957936" w:rsidRDefault="00D906E9" w:rsidP="0025094E">
            <w:pPr>
              <w:rPr>
                <w:rFonts w:ascii="Arial Narrow" w:hAnsi="Arial Narrow" w:cs="Arial"/>
                <w:b/>
                <w:sz w:val="18"/>
                <w:szCs w:val="18"/>
              </w:rPr>
            </w:pPr>
            <w:r w:rsidRPr="00957936">
              <w:rPr>
                <w:rFonts w:ascii="Arial Narrow" w:hAnsi="Arial Narrow" w:cs="Arial"/>
                <w:b/>
                <w:sz w:val="18"/>
                <w:szCs w:val="18"/>
              </w:rPr>
              <w:t>Agriculture</w:t>
            </w:r>
          </w:p>
        </w:tc>
        <w:tc>
          <w:tcPr>
            <w:tcW w:w="903" w:type="pct"/>
          </w:tcPr>
          <w:p w14:paraId="15E212FE"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Machine Drives</w:t>
            </w:r>
          </w:p>
        </w:tc>
        <w:tc>
          <w:tcPr>
            <w:tcW w:w="1639" w:type="pct"/>
          </w:tcPr>
          <w:p w14:paraId="1CFF49EE"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Motors, Pumps, Air Compressor Equipment</w:t>
            </w:r>
          </w:p>
        </w:tc>
        <w:tc>
          <w:tcPr>
            <w:tcW w:w="735" w:type="pct"/>
          </w:tcPr>
          <w:p w14:paraId="08C3F705"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976" w:type="pct"/>
          </w:tcPr>
          <w:p w14:paraId="60E84033"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33</w:t>
            </w:r>
          </w:p>
        </w:tc>
      </w:tr>
      <w:tr w:rsidR="0007447D" w:rsidRPr="00957936" w14:paraId="2F678F2E" w14:textId="77777777" w:rsidTr="00110120">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47" w:type="pct"/>
            <w:vMerge/>
          </w:tcPr>
          <w:p w14:paraId="4B0020A1" w14:textId="77777777" w:rsidR="0007447D" w:rsidRPr="00957936" w:rsidRDefault="0007447D" w:rsidP="0007447D">
            <w:pPr>
              <w:rPr>
                <w:rFonts w:ascii="Arial Narrow" w:hAnsi="Arial Narrow" w:cs="Arial"/>
                <w:b/>
                <w:sz w:val="18"/>
                <w:szCs w:val="18"/>
              </w:rPr>
            </w:pPr>
          </w:p>
        </w:tc>
        <w:tc>
          <w:tcPr>
            <w:tcW w:w="903" w:type="pct"/>
          </w:tcPr>
          <w:p w14:paraId="5EF09B86" w14:textId="77777777" w:rsidR="0007447D" w:rsidRPr="00957936" w:rsidRDefault="0007447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Irrigation Drives</w:t>
            </w:r>
          </w:p>
        </w:tc>
        <w:tc>
          <w:tcPr>
            <w:tcW w:w="1639" w:type="pct"/>
          </w:tcPr>
          <w:p w14:paraId="4F8B581E" w14:textId="77777777" w:rsidR="0007447D" w:rsidRPr="00957936" w:rsidRDefault="0007447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Crop Irrigation, Water Pumping</w:t>
            </w:r>
          </w:p>
        </w:tc>
        <w:tc>
          <w:tcPr>
            <w:tcW w:w="735" w:type="pct"/>
          </w:tcPr>
          <w:p w14:paraId="2FC05B14" w14:textId="77777777" w:rsidR="0007447D" w:rsidRPr="00957936" w:rsidRDefault="0007447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976" w:type="pct"/>
          </w:tcPr>
          <w:p w14:paraId="0172E27D" w14:textId="77777777" w:rsidR="0007447D" w:rsidRPr="00957936" w:rsidRDefault="00656F0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10</w:t>
            </w:r>
          </w:p>
        </w:tc>
      </w:tr>
      <w:tr w:rsidR="0088698C" w:rsidRPr="00957936" w14:paraId="1333D196" w14:textId="77777777" w:rsidTr="001101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32ECB347" w14:textId="77777777" w:rsidR="0088698C" w:rsidRPr="00957936" w:rsidRDefault="0088698C" w:rsidP="0025094E">
            <w:pPr>
              <w:rPr>
                <w:rFonts w:ascii="Arial Narrow" w:hAnsi="Arial Narrow" w:cs="Arial"/>
                <w:sz w:val="18"/>
                <w:szCs w:val="18"/>
              </w:rPr>
            </w:pPr>
          </w:p>
        </w:tc>
        <w:tc>
          <w:tcPr>
            <w:tcW w:w="903" w:type="pct"/>
          </w:tcPr>
          <w:p w14:paraId="3DA6686C"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1639" w:type="pct"/>
          </w:tcPr>
          <w:p w14:paraId="3400CD37"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Indoor LED Fixtures, Specialty Lamps, Linear Fixtures. </w:t>
            </w:r>
          </w:p>
        </w:tc>
        <w:tc>
          <w:tcPr>
            <w:tcW w:w="735" w:type="pct"/>
          </w:tcPr>
          <w:p w14:paraId="1DCD8E33"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w:t>
            </w:r>
          </w:p>
        </w:tc>
        <w:tc>
          <w:tcPr>
            <w:tcW w:w="976" w:type="pct"/>
          </w:tcPr>
          <w:p w14:paraId="71D4FE7C"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92</w:t>
            </w:r>
          </w:p>
        </w:tc>
      </w:tr>
      <w:tr w:rsidR="0088698C" w:rsidRPr="00957936" w14:paraId="0FE58D47" w14:textId="77777777" w:rsidTr="00110120">
        <w:trPr>
          <w:cnfStyle w:val="000000010000" w:firstRow="0" w:lastRow="0" w:firstColumn="0" w:lastColumn="0" w:oddVBand="0" w:evenVBand="0" w:oddHBand="0" w:evenHBand="1"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47" w:type="pct"/>
            <w:vMerge/>
          </w:tcPr>
          <w:p w14:paraId="45FC28C1" w14:textId="77777777" w:rsidR="0088698C" w:rsidRPr="00957936" w:rsidRDefault="0088698C" w:rsidP="0025094E">
            <w:pPr>
              <w:rPr>
                <w:rFonts w:ascii="Arial Narrow" w:hAnsi="Arial Narrow" w:cs="Arial"/>
                <w:sz w:val="18"/>
                <w:szCs w:val="18"/>
              </w:rPr>
            </w:pPr>
          </w:p>
        </w:tc>
        <w:tc>
          <w:tcPr>
            <w:tcW w:w="903" w:type="pct"/>
          </w:tcPr>
          <w:p w14:paraId="75B455F7"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1639" w:type="pct"/>
          </w:tcPr>
          <w:p w14:paraId="2252ED7A"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Air Conditioners, Heat Pumps, </w:t>
            </w:r>
            <w:r w:rsidR="0007447D" w:rsidRPr="00957936">
              <w:rPr>
                <w:rFonts w:ascii="Arial Narrow" w:hAnsi="Arial Narrow" w:cs="Arial"/>
                <w:sz w:val="18"/>
                <w:szCs w:val="18"/>
              </w:rPr>
              <w:t>Ventilation</w:t>
            </w:r>
          </w:p>
        </w:tc>
        <w:tc>
          <w:tcPr>
            <w:tcW w:w="735" w:type="pct"/>
          </w:tcPr>
          <w:p w14:paraId="626D27D3" w14:textId="77777777" w:rsidR="0088698C"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976" w:type="pct"/>
          </w:tcPr>
          <w:p w14:paraId="109DC6F0" w14:textId="77777777" w:rsidR="0088698C"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16</w:t>
            </w:r>
          </w:p>
        </w:tc>
      </w:tr>
      <w:tr w:rsidR="0088698C" w:rsidRPr="00957936" w14:paraId="7C954992" w14:textId="77777777" w:rsidTr="0011012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74699716" w14:textId="77777777" w:rsidR="0088698C" w:rsidRPr="00957936" w:rsidRDefault="0088698C" w:rsidP="0025094E">
            <w:pPr>
              <w:rPr>
                <w:rFonts w:ascii="Arial Narrow" w:hAnsi="Arial Narrow" w:cs="Arial"/>
                <w:sz w:val="18"/>
                <w:szCs w:val="18"/>
              </w:rPr>
            </w:pPr>
          </w:p>
        </w:tc>
        <w:tc>
          <w:tcPr>
            <w:tcW w:w="903" w:type="pct"/>
          </w:tcPr>
          <w:p w14:paraId="11D60CF9"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w:t>
            </w:r>
            <w:r w:rsidR="0088698C" w:rsidRPr="00957936">
              <w:rPr>
                <w:rFonts w:ascii="Arial Narrow" w:hAnsi="Arial Narrow" w:cs="Arial"/>
                <w:sz w:val="18"/>
                <w:szCs w:val="18"/>
              </w:rPr>
              <w:t xml:space="preserve"> Heating</w:t>
            </w:r>
          </w:p>
        </w:tc>
        <w:tc>
          <w:tcPr>
            <w:tcW w:w="1639" w:type="pct"/>
          </w:tcPr>
          <w:p w14:paraId="5BBC682C"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Greenhouses, Post-Harvest Processing, Drying</w:t>
            </w:r>
          </w:p>
        </w:tc>
        <w:tc>
          <w:tcPr>
            <w:tcW w:w="735" w:type="pct"/>
          </w:tcPr>
          <w:p w14:paraId="65F55745"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976" w:type="pct"/>
          </w:tcPr>
          <w:p w14:paraId="1021D281"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48</w:t>
            </w:r>
          </w:p>
        </w:tc>
      </w:tr>
      <w:tr w:rsidR="0007447D" w:rsidRPr="00957936" w14:paraId="0AA6C831" w14:textId="77777777" w:rsidTr="00110120">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0634546A" w14:textId="77777777" w:rsidR="0007447D" w:rsidRPr="00957936" w:rsidRDefault="0007447D" w:rsidP="0025094E">
            <w:pPr>
              <w:rPr>
                <w:rFonts w:ascii="Arial Narrow" w:hAnsi="Arial Narrow" w:cs="Arial"/>
                <w:sz w:val="18"/>
                <w:szCs w:val="18"/>
              </w:rPr>
            </w:pPr>
          </w:p>
        </w:tc>
        <w:tc>
          <w:tcPr>
            <w:tcW w:w="903" w:type="pct"/>
          </w:tcPr>
          <w:p w14:paraId="2097090D" w14:textId="77777777" w:rsidR="0007447D"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 Refrigeration</w:t>
            </w:r>
          </w:p>
        </w:tc>
        <w:tc>
          <w:tcPr>
            <w:tcW w:w="1639" w:type="pct"/>
          </w:tcPr>
          <w:p w14:paraId="5D430772" w14:textId="77777777" w:rsidR="0007447D"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Milk Cooling, Wine Cooling</w:t>
            </w:r>
          </w:p>
        </w:tc>
        <w:tc>
          <w:tcPr>
            <w:tcW w:w="735" w:type="pct"/>
          </w:tcPr>
          <w:p w14:paraId="6F818471" w14:textId="77777777" w:rsidR="0007447D"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976" w:type="pct"/>
          </w:tcPr>
          <w:p w14:paraId="56C2CFB2" w14:textId="77777777" w:rsidR="0007447D" w:rsidRPr="00957936" w:rsidRDefault="00656F0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61</w:t>
            </w:r>
          </w:p>
        </w:tc>
      </w:tr>
      <w:tr w:rsidR="0007447D" w:rsidRPr="00957936" w14:paraId="14BC141F" w14:textId="77777777" w:rsidTr="0011012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3B5AC230" w14:textId="77777777" w:rsidR="0007447D" w:rsidRPr="00957936" w:rsidRDefault="0007447D" w:rsidP="0025094E">
            <w:pPr>
              <w:rPr>
                <w:rFonts w:ascii="Arial Narrow" w:hAnsi="Arial Narrow" w:cs="Arial"/>
                <w:sz w:val="18"/>
                <w:szCs w:val="18"/>
              </w:rPr>
            </w:pPr>
          </w:p>
        </w:tc>
        <w:tc>
          <w:tcPr>
            <w:tcW w:w="903" w:type="pct"/>
          </w:tcPr>
          <w:p w14:paraId="23D882BB" w14:textId="77777777" w:rsidR="0007447D"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Other</w:t>
            </w:r>
          </w:p>
        </w:tc>
        <w:tc>
          <w:tcPr>
            <w:tcW w:w="1639" w:type="pct"/>
          </w:tcPr>
          <w:p w14:paraId="441C0ADD" w14:textId="77777777" w:rsidR="0007447D"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System Controls and Optimizations</w:t>
            </w:r>
          </w:p>
        </w:tc>
        <w:tc>
          <w:tcPr>
            <w:tcW w:w="735" w:type="pct"/>
          </w:tcPr>
          <w:p w14:paraId="02D98C57" w14:textId="77777777" w:rsidR="0007447D"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976" w:type="pct"/>
          </w:tcPr>
          <w:p w14:paraId="6EE9A717" w14:textId="77777777" w:rsidR="0007447D"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9</w:t>
            </w:r>
          </w:p>
        </w:tc>
      </w:tr>
      <w:tr w:rsidR="0088698C" w:rsidRPr="00957936" w14:paraId="17ECC407" w14:textId="77777777" w:rsidTr="00110120">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0E5CAFEC" w14:textId="77777777" w:rsidR="0088698C" w:rsidRPr="00957936" w:rsidRDefault="0088698C" w:rsidP="0025094E">
            <w:pPr>
              <w:rPr>
                <w:rFonts w:ascii="Arial Narrow" w:hAnsi="Arial Narrow" w:cs="Arial"/>
                <w:sz w:val="18"/>
                <w:szCs w:val="18"/>
              </w:rPr>
            </w:pPr>
          </w:p>
        </w:tc>
        <w:tc>
          <w:tcPr>
            <w:tcW w:w="903" w:type="pct"/>
          </w:tcPr>
          <w:p w14:paraId="14D5AF3A"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1639" w:type="pct"/>
          </w:tcPr>
          <w:p w14:paraId="64B00A47"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p>
        </w:tc>
        <w:tc>
          <w:tcPr>
            <w:tcW w:w="735" w:type="pct"/>
          </w:tcPr>
          <w:p w14:paraId="50872733" w14:textId="77777777" w:rsidR="0088698C" w:rsidRPr="00957936" w:rsidDel="0064218F"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19</w:t>
            </w:r>
          </w:p>
        </w:tc>
        <w:tc>
          <w:tcPr>
            <w:tcW w:w="976" w:type="pct"/>
          </w:tcPr>
          <w:p w14:paraId="6BF7AE76" w14:textId="77777777" w:rsidR="0088698C" w:rsidRPr="00957936" w:rsidRDefault="00656F0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269</w:t>
            </w:r>
          </w:p>
        </w:tc>
      </w:tr>
      <w:tr w:rsidR="0088698C" w:rsidRPr="00957936" w14:paraId="6714292E" w14:textId="77777777" w:rsidTr="00110120">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71290E64" w14:textId="77777777" w:rsidR="0088698C" w:rsidRPr="00957936" w:rsidRDefault="00D906E9" w:rsidP="0025094E">
            <w:pPr>
              <w:rPr>
                <w:rFonts w:ascii="Arial Narrow" w:hAnsi="Arial Narrow" w:cs="Arial"/>
                <w:b/>
                <w:sz w:val="18"/>
                <w:szCs w:val="18"/>
              </w:rPr>
            </w:pPr>
            <w:r w:rsidRPr="00957936">
              <w:rPr>
                <w:rFonts w:ascii="Arial Narrow" w:hAnsi="Arial Narrow" w:cs="Arial"/>
                <w:b/>
                <w:sz w:val="18"/>
                <w:szCs w:val="18"/>
              </w:rPr>
              <w:t>Industrial</w:t>
            </w:r>
          </w:p>
        </w:tc>
        <w:tc>
          <w:tcPr>
            <w:tcW w:w="903" w:type="pct"/>
          </w:tcPr>
          <w:p w14:paraId="4F1A07F7"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Machine Drives</w:t>
            </w:r>
          </w:p>
        </w:tc>
        <w:tc>
          <w:tcPr>
            <w:tcW w:w="1639" w:type="pct"/>
          </w:tcPr>
          <w:p w14:paraId="34B06F77"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Motors, Pumps, Air Compressor Equipment</w:t>
            </w:r>
          </w:p>
        </w:tc>
        <w:tc>
          <w:tcPr>
            <w:tcW w:w="735" w:type="pct"/>
          </w:tcPr>
          <w:p w14:paraId="6FB0EECF"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11</w:t>
            </w:r>
          </w:p>
        </w:tc>
        <w:tc>
          <w:tcPr>
            <w:tcW w:w="976" w:type="pct"/>
          </w:tcPr>
          <w:p w14:paraId="71C67F72"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145</w:t>
            </w:r>
          </w:p>
        </w:tc>
      </w:tr>
      <w:tr w:rsidR="0088698C" w:rsidRPr="00957936" w14:paraId="3A9C5281" w14:textId="77777777" w:rsidTr="0011012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0B7CB1CA" w14:textId="77777777" w:rsidR="0088698C" w:rsidRPr="00957936" w:rsidRDefault="0088698C" w:rsidP="0025094E">
            <w:pPr>
              <w:rPr>
                <w:rFonts w:ascii="Arial Narrow" w:hAnsi="Arial Narrow" w:cs="Arial"/>
                <w:sz w:val="18"/>
                <w:szCs w:val="18"/>
              </w:rPr>
            </w:pPr>
          </w:p>
        </w:tc>
        <w:tc>
          <w:tcPr>
            <w:tcW w:w="903" w:type="pct"/>
          </w:tcPr>
          <w:p w14:paraId="49BD5153"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1639" w:type="pct"/>
          </w:tcPr>
          <w:p w14:paraId="7EE5A6CE"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Indoor LED Fixtures, Specialty Lamps, Linear Fixtures. </w:t>
            </w:r>
          </w:p>
        </w:tc>
        <w:tc>
          <w:tcPr>
            <w:tcW w:w="735" w:type="pct"/>
          </w:tcPr>
          <w:p w14:paraId="4B3D1BE1"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976" w:type="pct"/>
          </w:tcPr>
          <w:p w14:paraId="02636813"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206</w:t>
            </w:r>
          </w:p>
        </w:tc>
      </w:tr>
      <w:tr w:rsidR="0088698C" w:rsidRPr="00957936" w14:paraId="79E69823" w14:textId="77777777" w:rsidTr="001101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1A160226" w14:textId="77777777" w:rsidR="0088698C" w:rsidRPr="00957936" w:rsidRDefault="0088698C" w:rsidP="0025094E">
            <w:pPr>
              <w:rPr>
                <w:rFonts w:ascii="Arial Narrow" w:hAnsi="Arial Narrow" w:cs="Arial"/>
                <w:sz w:val="18"/>
                <w:szCs w:val="18"/>
              </w:rPr>
            </w:pPr>
          </w:p>
        </w:tc>
        <w:tc>
          <w:tcPr>
            <w:tcW w:w="903" w:type="pct"/>
          </w:tcPr>
          <w:p w14:paraId="595D29C5"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1639" w:type="pct"/>
          </w:tcPr>
          <w:p w14:paraId="66184CB8"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Air Conditioners, Heat Pumps, Ventilation, VAV Systems</w:t>
            </w:r>
          </w:p>
        </w:tc>
        <w:tc>
          <w:tcPr>
            <w:tcW w:w="735" w:type="pct"/>
          </w:tcPr>
          <w:p w14:paraId="4D442D19"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w:t>
            </w:r>
          </w:p>
        </w:tc>
        <w:tc>
          <w:tcPr>
            <w:tcW w:w="976" w:type="pct"/>
          </w:tcPr>
          <w:p w14:paraId="4B82F465"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82</w:t>
            </w:r>
          </w:p>
        </w:tc>
      </w:tr>
      <w:tr w:rsidR="0088698C" w:rsidRPr="00957936" w14:paraId="4D29A6E5" w14:textId="77777777" w:rsidTr="00110120">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1E676191" w14:textId="77777777" w:rsidR="0088698C" w:rsidRPr="00957936" w:rsidRDefault="0088698C" w:rsidP="0025094E">
            <w:pPr>
              <w:rPr>
                <w:rFonts w:ascii="Arial Narrow" w:hAnsi="Arial Narrow" w:cs="Arial"/>
                <w:sz w:val="18"/>
                <w:szCs w:val="18"/>
              </w:rPr>
            </w:pPr>
          </w:p>
        </w:tc>
        <w:tc>
          <w:tcPr>
            <w:tcW w:w="903" w:type="pct"/>
          </w:tcPr>
          <w:p w14:paraId="7F16AC0C"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 Heating</w:t>
            </w:r>
          </w:p>
        </w:tc>
        <w:tc>
          <w:tcPr>
            <w:tcW w:w="1639" w:type="pct"/>
          </w:tcPr>
          <w:p w14:paraId="23D3474A"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Boilers, Steam Traps, Insulation, Furnace/Ovens</w:t>
            </w:r>
          </w:p>
        </w:tc>
        <w:tc>
          <w:tcPr>
            <w:tcW w:w="735" w:type="pct"/>
          </w:tcPr>
          <w:p w14:paraId="7B62B054"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p>
        </w:tc>
        <w:tc>
          <w:tcPr>
            <w:tcW w:w="976" w:type="pct"/>
          </w:tcPr>
          <w:p w14:paraId="14138D8A"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56</w:t>
            </w:r>
          </w:p>
        </w:tc>
      </w:tr>
      <w:tr w:rsidR="0088698C" w:rsidRPr="00957936" w14:paraId="7ED8FACF" w14:textId="77777777" w:rsidTr="00110120">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747" w:type="pct"/>
            <w:vMerge/>
          </w:tcPr>
          <w:p w14:paraId="51F48F22" w14:textId="77777777" w:rsidR="0088698C" w:rsidRPr="00957936" w:rsidRDefault="0088698C" w:rsidP="0025094E">
            <w:pPr>
              <w:rPr>
                <w:rFonts w:ascii="Arial Narrow" w:hAnsi="Arial Narrow" w:cs="Arial"/>
                <w:sz w:val="18"/>
                <w:szCs w:val="18"/>
              </w:rPr>
            </w:pPr>
          </w:p>
        </w:tc>
        <w:tc>
          <w:tcPr>
            <w:tcW w:w="903" w:type="pct"/>
          </w:tcPr>
          <w:p w14:paraId="2E23F36E"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 Refrigeration</w:t>
            </w:r>
          </w:p>
        </w:tc>
        <w:tc>
          <w:tcPr>
            <w:tcW w:w="1639" w:type="pct"/>
          </w:tcPr>
          <w:p w14:paraId="343E81E7"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Refrigerators, Refrigeration Controls</w:t>
            </w:r>
          </w:p>
        </w:tc>
        <w:tc>
          <w:tcPr>
            <w:tcW w:w="735" w:type="pct"/>
          </w:tcPr>
          <w:p w14:paraId="5D0A4492"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976" w:type="pct"/>
          </w:tcPr>
          <w:p w14:paraId="6DF58415"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20</w:t>
            </w:r>
          </w:p>
        </w:tc>
      </w:tr>
      <w:tr w:rsidR="0088698C" w:rsidRPr="00957936" w14:paraId="5F24F860" w14:textId="77777777" w:rsidTr="0011012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7" w:type="pct"/>
            <w:vMerge/>
          </w:tcPr>
          <w:p w14:paraId="651AC7AA" w14:textId="77777777" w:rsidR="0088698C" w:rsidRPr="00957936" w:rsidRDefault="0088698C" w:rsidP="0025094E">
            <w:pPr>
              <w:rPr>
                <w:rFonts w:ascii="Arial Narrow" w:hAnsi="Arial Narrow" w:cs="Arial"/>
                <w:sz w:val="18"/>
                <w:szCs w:val="18"/>
              </w:rPr>
            </w:pPr>
          </w:p>
        </w:tc>
        <w:tc>
          <w:tcPr>
            <w:tcW w:w="903" w:type="pct"/>
          </w:tcPr>
          <w:p w14:paraId="4F6AB753"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Other</w:t>
            </w:r>
          </w:p>
        </w:tc>
        <w:tc>
          <w:tcPr>
            <w:tcW w:w="1639" w:type="pct"/>
          </w:tcPr>
          <w:p w14:paraId="4C07BA93"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System Controls and Optimizations</w:t>
            </w:r>
          </w:p>
        </w:tc>
        <w:tc>
          <w:tcPr>
            <w:tcW w:w="735" w:type="pct"/>
          </w:tcPr>
          <w:p w14:paraId="5F8D87EC"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p>
        </w:tc>
        <w:tc>
          <w:tcPr>
            <w:tcW w:w="976" w:type="pct"/>
          </w:tcPr>
          <w:p w14:paraId="53A43F80" w14:textId="77777777" w:rsidR="0088698C" w:rsidRPr="00957936" w:rsidRDefault="00656F0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w:t>
            </w:r>
          </w:p>
        </w:tc>
      </w:tr>
      <w:tr w:rsidR="0088698C" w:rsidRPr="00957936" w14:paraId="35F24E9E" w14:textId="77777777" w:rsidTr="0011012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47" w:type="pct"/>
            <w:vMerge/>
          </w:tcPr>
          <w:p w14:paraId="285963C7" w14:textId="77777777" w:rsidR="0088698C" w:rsidRPr="00957936" w:rsidRDefault="0088698C" w:rsidP="0025094E">
            <w:pPr>
              <w:rPr>
                <w:rFonts w:ascii="Arial Narrow" w:hAnsi="Arial Narrow" w:cs="Arial"/>
                <w:sz w:val="18"/>
                <w:szCs w:val="18"/>
              </w:rPr>
            </w:pPr>
          </w:p>
        </w:tc>
        <w:tc>
          <w:tcPr>
            <w:tcW w:w="903" w:type="pct"/>
          </w:tcPr>
          <w:p w14:paraId="08558829" w14:textId="77777777" w:rsidR="0088698C" w:rsidRPr="00957936" w:rsidRDefault="0088698C"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1639" w:type="pct"/>
          </w:tcPr>
          <w:p w14:paraId="54554F94" w14:textId="77777777" w:rsidR="0088698C" w:rsidRPr="00957936" w:rsidRDefault="0088698C"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735" w:type="pct"/>
          </w:tcPr>
          <w:p w14:paraId="67DAD3EE"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26</w:t>
            </w:r>
          </w:p>
        </w:tc>
        <w:tc>
          <w:tcPr>
            <w:tcW w:w="976" w:type="pct"/>
          </w:tcPr>
          <w:p w14:paraId="51013244"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515</w:t>
            </w:r>
          </w:p>
        </w:tc>
      </w:tr>
    </w:tbl>
    <w:p w14:paraId="2BBEDD2A" w14:textId="77777777" w:rsidR="0088698C" w:rsidRPr="00802E20" w:rsidRDefault="00802E20" w:rsidP="00952591">
      <w:pPr>
        <w:widowControl w:val="0"/>
      </w:pPr>
      <w:r w:rsidRPr="00802E20">
        <w:t>The Industrial and Agriculture sectors of this 2018 study are informed by 515 individual technologies sourced from EEStats</w:t>
      </w:r>
      <w:r>
        <w:t xml:space="preserve"> (as listed in </w:t>
      </w:r>
      <w:r>
        <w:fldChar w:fldCharType="begin"/>
      </w:r>
      <w:r>
        <w:instrText xml:space="preserve"> REF _Ref484437924 \h </w:instrText>
      </w:r>
      <w:r>
        <w:fldChar w:fldCharType="separate"/>
      </w:r>
      <w:r w:rsidR="00C407F4">
        <w:t xml:space="preserve">Table </w:t>
      </w:r>
      <w:r w:rsidR="00C407F4">
        <w:rPr>
          <w:noProof/>
        </w:rPr>
        <w:t>3</w:t>
      </w:r>
      <w:r w:rsidR="00C407F4">
        <w:noBreakHyphen/>
      </w:r>
      <w:r w:rsidR="00C407F4">
        <w:rPr>
          <w:noProof/>
        </w:rPr>
        <w:t>16</w:t>
      </w:r>
      <w:r>
        <w:fldChar w:fldCharType="end"/>
      </w:r>
      <w:r>
        <w:t>)</w:t>
      </w:r>
      <w:r w:rsidRPr="00802E20">
        <w:t>. For comparison, the 2015 study was informed by 167 supply curves defining a specific combination of subsector, end-use, measure type, and fuel.</w:t>
      </w:r>
      <w:r>
        <w:t xml:space="preserve">  As a result, the 2018 study has more granular disaggregation of savings opportunities. </w:t>
      </w:r>
    </w:p>
    <w:p w14:paraId="54375EF6" w14:textId="77777777" w:rsidR="00952591" w:rsidRPr="008C69A3" w:rsidRDefault="00D81CD9" w:rsidP="008C69A3">
      <w:pPr>
        <w:keepNext/>
        <w:keepLines/>
        <w:numPr>
          <w:ilvl w:val="3"/>
          <w:numId w:val="8"/>
        </w:numPr>
        <w:spacing w:before="360" w:after="240"/>
        <w:ind w:hanging="9144"/>
        <w:outlineLvl w:val="3"/>
        <w:rPr>
          <w:b/>
          <w:bCs/>
          <w:i/>
          <w:iCs/>
          <w:color w:val="555759"/>
          <w:kern w:val="28"/>
          <w:szCs w:val="20"/>
        </w:rPr>
      </w:pPr>
      <w:r w:rsidRPr="008C69A3">
        <w:rPr>
          <w:b/>
          <w:bCs/>
          <w:i/>
          <w:iCs/>
          <w:color w:val="555759"/>
          <w:kern w:val="28"/>
          <w:szCs w:val="20"/>
        </w:rPr>
        <w:t xml:space="preserve">Technology </w:t>
      </w:r>
      <w:r w:rsidR="00952591" w:rsidRPr="008C69A3">
        <w:rPr>
          <w:b/>
          <w:bCs/>
          <w:i/>
          <w:iCs/>
          <w:color w:val="555759"/>
          <w:kern w:val="28"/>
          <w:szCs w:val="20"/>
        </w:rPr>
        <w:t>Characterization</w:t>
      </w:r>
    </w:p>
    <w:p w14:paraId="6B42E0E0" w14:textId="77777777" w:rsidR="00D906E9" w:rsidRDefault="00FB21C6" w:rsidP="00FB21C6">
      <w:r w:rsidRPr="003533A1">
        <w:t>The PG diffusion model require</w:t>
      </w:r>
      <w:r>
        <w:t>d</w:t>
      </w:r>
      <w:r w:rsidRPr="003533A1">
        <w:t xml:space="preserve"> the characterization </w:t>
      </w:r>
      <w:r>
        <w:t xml:space="preserve">of </w:t>
      </w:r>
      <w:r w:rsidRPr="003533A1">
        <w:t xml:space="preserve">a number of </w:t>
      </w:r>
      <w:r>
        <w:t xml:space="preserve">technology-level </w:t>
      </w:r>
      <w:r w:rsidRPr="003533A1">
        <w:t xml:space="preserve">inputs </w:t>
      </w:r>
      <w:r>
        <w:t>including,</w:t>
      </w:r>
      <w:r w:rsidRPr="003533A1">
        <w:t xml:space="preserve"> unit energy savings, unit costs, and the saturation or density of efficient versions of each technology </w:t>
      </w:r>
      <w:r>
        <w:t xml:space="preserve">currently </w:t>
      </w:r>
      <w:r w:rsidRPr="003533A1">
        <w:t>existing in the marketplace. The team mined a number of data sources to complete a comprehensive characterization of the</w:t>
      </w:r>
      <w:r w:rsidR="00D906E9">
        <w:t xml:space="preserve"> agriculture and</w:t>
      </w:r>
      <w:r w:rsidRPr="003533A1">
        <w:t xml:space="preserve"> industrial </w:t>
      </w:r>
      <w:r>
        <w:t>technologies</w:t>
      </w:r>
      <w:r w:rsidRPr="003533A1">
        <w:t xml:space="preserve">. </w:t>
      </w:r>
    </w:p>
    <w:p w14:paraId="7FB9E596" w14:textId="77777777" w:rsidR="00D906E9" w:rsidRDefault="00D906E9" w:rsidP="004E4E36">
      <w:pPr>
        <w:pStyle w:val="ListParagraph"/>
        <w:numPr>
          <w:ilvl w:val="0"/>
          <w:numId w:val="42"/>
        </w:numPr>
      </w:pPr>
      <w:r>
        <w:rPr>
          <w:b/>
        </w:rPr>
        <w:t xml:space="preserve">Agricultural </w:t>
      </w:r>
      <w:r>
        <w:t>data sources for measure characterization included EEStats, CPUC workpapers</w:t>
      </w:r>
      <w:r w:rsidRPr="003533A1">
        <w:t xml:space="preserve">, and data provided by </w:t>
      </w:r>
      <w:r>
        <w:t xml:space="preserve">the </w:t>
      </w:r>
      <w:r w:rsidRPr="003533A1">
        <w:t xml:space="preserve">investor-owned utilities. </w:t>
      </w:r>
      <w:r>
        <w:t>The team also relied on the Database for Energy Efficiency Resources (DEER) for information on energy savings estimates by technology.</w:t>
      </w:r>
    </w:p>
    <w:p w14:paraId="19A9A135" w14:textId="77777777" w:rsidR="00FB21C6" w:rsidRDefault="00EE4EC1" w:rsidP="004E4E36">
      <w:pPr>
        <w:pStyle w:val="ListParagraph"/>
        <w:numPr>
          <w:ilvl w:val="0"/>
          <w:numId w:val="42"/>
        </w:numPr>
      </w:pPr>
      <w:r>
        <w:rPr>
          <w:b/>
        </w:rPr>
        <w:t xml:space="preserve">Industrial </w:t>
      </w:r>
      <w:r>
        <w:t xml:space="preserve">data sources were similar to those mined for the agriculture sector, including </w:t>
      </w:r>
      <w:r w:rsidR="0025094E">
        <w:t>EEStats</w:t>
      </w:r>
      <w:r>
        <w:t xml:space="preserve"> and </w:t>
      </w:r>
      <w:r w:rsidRPr="003533A1">
        <w:t xml:space="preserve">data provided by </w:t>
      </w:r>
      <w:r>
        <w:t>IOUs, the CPUC, and the CEC. For energy savings estimates, the team used the</w:t>
      </w:r>
      <w:r w:rsidR="00FB21C6" w:rsidRPr="003533A1">
        <w:t xml:space="preserve"> Industrial Assessment Center (IAC)</w:t>
      </w:r>
      <w:r>
        <w:t>.</w:t>
      </w:r>
      <w:r w:rsidR="00FB21C6">
        <w:rPr>
          <w:rStyle w:val="FootnoteReference"/>
        </w:rPr>
        <w:footnoteReference w:id="63"/>
      </w:r>
      <w:r w:rsidR="00FB21C6" w:rsidRPr="003533A1">
        <w:t xml:space="preserve"> </w:t>
      </w:r>
    </w:p>
    <w:p w14:paraId="1B9A2F85" w14:textId="77777777" w:rsidR="00D906E9" w:rsidRDefault="00D906E9" w:rsidP="00FB21C6"/>
    <w:p w14:paraId="051DBCD0" w14:textId="77777777" w:rsidR="00192670" w:rsidRDefault="00192670" w:rsidP="00952591">
      <w:pPr>
        <w:widowControl w:val="0"/>
        <w:rPr>
          <w:b/>
          <w:color w:val="555759" w:themeColor="text2"/>
          <w:szCs w:val="20"/>
        </w:rPr>
      </w:pPr>
      <w:r w:rsidRPr="00F01F52">
        <w:t>Navigant closely reviewed the data sources for agricultural technologies and aggregated common technology details for each input to the diffusion model</w:t>
      </w:r>
      <w:r>
        <w:t>, including energy savings</w:t>
      </w:r>
      <w:r w:rsidR="00871A81">
        <w:t>,</w:t>
      </w:r>
      <w:r>
        <w:t xml:space="preserve"> costs</w:t>
      </w:r>
      <w:r w:rsidR="00871A81">
        <w:t>, effective useful life (EUL), and densities</w:t>
      </w:r>
      <w:r w:rsidRPr="00F01F52">
        <w:t>. The team then weighted the results of each source and rolled them up to estimate the technology-level inputs. For most</w:t>
      </w:r>
      <w:r w:rsidR="00E65372">
        <w:t xml:space="preserve"> of</w:t>
      </w:r>
      <w:r w:rsidRPr="00F01F52">
        <w:t xml:space="preserve"> the measures, Navigant leveraged California-specific resources, but when not applicable or available to certain measure types, Navigant utilized other peer group jurisdictions and substituted in California specific variables where possible</w:t>
      </w:r>
      <w:r w:rsidR="00C85271">
        <w:t xml:space="preserve"> (e.g., for post-harvest process grain dryers, Navigant reviewed the Wisconsin TRM but substituted California specific data for operating hours, moisture content, and other general drying conditions)</w:t>
      </w:r>
      <w:r w:rsidRPr="00F01F52">
        <w:t>.</w:t>
      </w:r>
      <w:r w:rsidR="00C85271">
        <w:rPr>
          <w:rStyle w:val="FootnoteReference"/>
        </w:rPr>
        <w:footnoteReference w:id="64"/>
      </w:r>
      <w:r w:rsidRPr="00F01F52">
        <w:t xml:space="preserve"> </w:t>
      </w:r>
    </w:p>
    <w:p w14:paraId="60E13394" w14:textId="77777777" w:rsidR="00DA0F61" w:rsidRPr="00952591" w:rsidRDefault="00DA0F61" w:rsidP="00952591">
      <w:pPr>
        <w:widowControl w:val="0"/>
        <w:rPr>
          <w:b/>
          <w:color w:val="555759" w:themeColor="text2"/>
          <w:szCs w:val="20"/>
        </w:rPr>
      </w:pPr>
    </w:p>
    <w:p w14:paraId="3A84A190" w14:textId="77777777" w:rsidR="00871A81" w:rsidRDefault="00192670" w:rsidP="00871A81">
      <w:pPr>
        <w:widowControl w:val="0"/>
      </w:pPr>
      <w:r>
        <w:t>For the industrial technologies, t</w:t>
      </w:r>
      <w:r w:rsidR="00FB21C6">
        <w:t xml:space="preserve">he team used </w:t>
      </w:r>
      <w:r w:rsidR="00871A81">
        <w:t xml:space="preserve">a mix of data sources to characterize the inputs to the diffusion model. </w:t>
      </w:r>
    </w:p>
    <w:p w14:paraId="0D36E144" w14:textId="77777777" w:rsidR="00871A81" w:rsidRDefault="00871A81" w:rsidP="00871A81">
      <w:pPr>
        <w:widowControl w:val="0"/>
      </w:pPr>
    </w:p>
    <w:p w14:paraId="0D6C99EA" w14:textId="77777777" w:rsidR="00FB21C6" w:rsidRDefault="00871A81" w:rsidP="00871A81">
      <w:pPr>
        <w:widowControl w:val="0"/>
      </w:pPr>
      <w:r w:rsidRPr="00871A81">
        <w:rPr>
          <w:b/>
          <w:i/>
          <w:color w:val="555759" w:themeColor="text2"/>
        </w:rPr>
        <w:t xml:space="preserve">Energy Savings. </w:t>
      </w:r>
      <w:r w:rsidRPr="00517D76">
        <w:t xml:space="preserve">The team used </w:t>
      </w:r>
      <w:r w:rsidR="00FB21C6" w:rsidRPr="00517D76">
        <w:t xml:space="preserve">data </w:t>
      </w:r>
      <w:r w:rsidR="00FB21C6">
        <w:t xml:space="preserve">from the national IAC database to supplement </w:t>
      </w:r>
      <w:r w:rsidR="0025094E">
        <w:t>EEStats</w:t>
      </w:r>
      <w:r w:rsidR="00FB21C6">
        <w:t xml:space="preserve"> data, and inform the energy savings estimates for the industrial diffusion technologies. The IAC network is </w:t>
      </w:r>
      <w:r w:rsidR="00FB21C6">
        <w:lastRenderedPageBreak/>
        <w:t xml:space="preserve">comprised of 24 universities which have completed over 16,000 industrial assessments at industrial facilities across the nation. Each </w:t>
      </w:r>
      <w:r w:rsidR="00FB21C6" w:rsidRPr="00F60B5F">
        <w:t>assessmen</w:t>
      </w:r>
      <w:r w:rsidR="00FB21C6">
        <w:t>t</w:t>
      </w:r>
      <w:r w:rsidR="00FB21C6" w:rsidRPr="00F60B5F">
        <w:t xml:space="preserve"> completed by the IAC include</w:t>
      </w:r>
      <w:r w:rsidR="00FB21C6">
        <w:t>s detailed r</w:t>
      </w:r>
      <w:r w:rsidR="00FB21C6" w:rsidRPr="00F60B5F">
        <w:t>ecommendations for improving energy consumption</w:t>
      </w:r>
      <w:r w:rsidR="00FB21C6">
        <w:t xml:space="preserve"> at a given site,</w:t>
      </w:r>
      <w:r w:rsidR="00FB21C6">
        <w:rPr>
          <w:rStyle w:val="FootnoteReference"/>
        </w:rPr>
        <w:footnoteReference w:id="65"/>
      </w:r>
      <w:r w:rsidR="00FB21C6">
        <w:t xml:space="preserve"> the specific energy savings the site can expect by implementing such improvements, and the total energy each site currently uses. Navigant notes that the PG Model study efforts have relied on IAC data since 2011.</w:t>
      </w:r>
    </w:p>
    <w:p w14:paraId="1A595FEE" w14:textId="77777777" w:rsidR="001D3636" w:rsidRDefault="001D3636" w:rsidP="001D3636">
      <w:pPr>
        <w:widowControl w:val="0"/>
      </w:pPr>
    </w:p>
    <w:p w14:paraId="71C1F098" w14:textId="77777777" w:rsidR="00FB21C6" w:rsidRPr="00F60B5F" w:rsidRDefault="00FB21C6" w:rsidP="00FB21C6">
      <w:pPr>
        <w:widowControl w:val="0"/>
      </w:pPr>
      <w:r>
        <w:t xml:space="preserve">Navigant </w:t>
      </w:r>
      <w:r w:rsidRPr="00F60B5F">
        <w:t xml:space="preserve">mapped </w:t>
      </w:r>
      <w:r w:rsidR="001D3B84" w:rsidRPr="00F60B5F">
        <w:t>all</w:t>
      </w:r>
      <w:r w:rsidRPr="00F60B5F">
        <w:t xml:space="preserve"> the unique IAC recommendations to the list of </w:t>
      </w:r>
      <w:r>
        <w:t>identified deemed or identified custom</w:t>
      </w:r>
      <w:r w:rsidRPr="00F60B5F">
        <w:t xml:space="preserve"> industrial </w:t>
      </w:r>
      <w:r>
        <w:t xml:space="preserve">technologies </w:t>
      </w:r>
      <w:r w:rsidRPr="00F60B5F">
        <w:t xml:space="preserve">created from the </w:t>
      </w:r>
      <w:r w:rsidR="0025094E">
        <w:t>EEStats</w:t>
      </w:r>
      <w:r w:rsidRPr="00F60B5F">
        <w:t xml:space="preserve"> database</w:t>
      </w:r>
      <w:r>
        <w:t xml:space="preserve">. The team then used NAICS coding to sum </w:t>
      </w:r>
      <w:r w:rsidRPr="00F60B5F">
        <w:t xml:space="preserve">the energy savings estimates for </w:t>
      </w:r>
      <w:r>
        <w:t xml:space="preserve">each technology to the entire industrial sector level by building type, and divided it by the total </w:t>
      </w:r>
      <w:r w:rsidRPr="00F60B5F">
        <w:t xml:space="preserve">energy consumption </w:t>
      </w:r>
      <w:r>
        <w:t xml:space="preserve">for all buildings of that type. This provided the </w:t>
      </w:r>
      <w:r w:rsidRPr="00F60B5F">
        <w:t xml:space="preserve">percentage </w:t>
      </w:r>
      <w:r>
        <w:t>each technology saves by building type across the entire industrial sector</w:t>
      </w:r>
      <w:r w:rsidRPr="00F60B5F">
        <w:t>.</w:t>
      </w:r>
      <w:r>
        <w:rPr>
          <w:rStyle w:val="FootnoteReference"/>
        </w:rPr>
        <w:footnoteReference w:id="66"/>
      </w:r>
      <w:r>
        <w:t xml:space="preserve"> </w:t>
      </w:r>
      <w:r w:rsidRPr="00F60B5F">
        <w:t xml:space="preserve">The team followed this process for both electric </w:t>
      </w:r>
      <w:r>
        <w:t xml:space="preserve">(kWh) </w:t>
      </w:r>
      <w:r w:rsidRPr="00F60B5F">
        <w:t xml:space="preserve">and gas </w:t>
      </w:r>
      <w:r>
        <w:t xml:space="preserve">(therm) </w:t>
      </w:r>
      <w:r w:rsidRPr="00F60B5F">
        <w:t>consuming industrial measures.</w:t>
      </w:r>
      <w:r>
        <w:t xml:space="preserve"> </w:t>
      </w:r>
    </w:p>
    <w:p w14:paraId="3837EDD5" w14:textId="77777777" w:rsidR="00952591" w:rsidRDefault="00952591" w:rsidP="00952591">
      <w:pPr>
        <w:widowControl w:val="0"/>
      </w:pPr>
    </w:p>
    <w:p w14:paraId="54ABCC89" w14:textId="77777777" w:rsidR="00FB21C6" w:rsidRDefault="00FB21C6" w:rsidP="00FB21C6">
      <w:pPr>
        <w:widowControl w:val="0"/>
      </w:pPr>
      <w:r>
        <w:t xml:space="preserve">The IAC database included robust, informative data for all but a few industrial technologies. The technologies not included in IAC, but identified in </w:t>
      </w:r>
      <w:r w:rsidR="0025094E">
        <w:t>EEStats</w:t>
      </w:r>
      <w:r>
        <w:t>, were LED Lighting, Injection Molding, and Wastewater Aerators.</w:t>
      </w:r>
    </w:p>
    <w:p w14:paraId="5DD27A89" w14:textId="77777777" w:rsidR="00952591" w:rsidRDefault="00952591" w:rsidP="00952591">
      <w:pPr>
        <w:widowControl w:val="0"/>
      </w:pPr>
      <w:r>
        <w:t xml:space="preserve"> </w:t>
      </w:r>
    </w:p>
    <w:p w14:paraId="6EB3C0A5" w14:textId="77777777" w:rsidR="00952591" w:rsidRDefault="00952591" w:rsidP="00952591">
      <w:pPr>
        <w:widowControl w:val="0"/>
      </w:pPr>
      <w:r w:rsidRPr="00512D78">
        <w:rPr>
          <w:i/>
        </w:rPr>
        <w:t>LED Lighting</w:t>
      </w:r>
      <w:r w:rsidR="00512D78">
        <w:rPr>
          <w:i/>
        </w:rPr>
        <w:t>:</w:t>
      </w:r>
      <w:r w:rsidRPr="00512D78">
        <w:rPr>
          <w:i/>
        </w:rPr>
        <w:t xml:space="preserve"> </w:t>
      </w:r>
      <w:r>
        <w:t xml:space="preserve">Navigant </w:t>
      </w:r>
      <w:r w:rsidR="001D3B84">
        <w:t xml:space="preserve">leveraged </w:t>
      </w:r>
      <w:r>
        <w:t xml:space="preserve">commercial </w:t>
      </w:r>
      <w:r w:rsidR="001D3B84">
        <w:t xml:space="preserve">sector </w:t>
      </w:r>
      <w:r>
        <w:t>data for all industrial lighting measures. To account for differences in commercial to industrial lighting use, the team applied a 75 percent applicability reduction to the industrial savings results.</w:t>
      </w:r>
      <w:r>
        <w:rPr>
          <w:rStyle w:val="FootnoteReference"/>
        </w:rPr>
        <w:footnoteReference w:id="67"/>
      </w:r>
      <w:r>
        <w:t xml:space="preserve"> </w:t>
      </w:r>
    </w:p>
    <w:p w14:paraId="00F262D8" w14:textId="77777777" w:rsidR="00952591" w:rsidRDefault="00952591" w:rsidP="00952591">
      <w:pPr>
        <w:widowControl w:val="0"/>
      </w:pPr>
    </w:p>
    <w:p w14:paraId="6DC6B755" w14:textId="77777777" w:rsidR="00952591" w:rsidRDefault="00952591" w:rsidP="00952591">
      <w:pPr>
        <w:widowControl w:val="0"/>
      </w:pPr>
      <w:r w:rsidRPr="00512D78">
        <w:rPr>
          <w:i/>
        </w:rPr>
        <w:t>Injection Molding and Wastewater Aerators</w:t>
      </w:r>
      <w:r w:rsidR="00512D78">
        <w:rPr>
          <w:i/>
        </w:rPr>
        <w:t>:</w:t>
      </w:r>
      <w:r>
        <w:t xml:space="preserve"> Southern California Edison (SCE) provided </w:t>
      </w:r>
      <w:r w:rsidR="00C15C0B">
        <w:t xml:space="preserve">work paper </w:t>
      </w:r>
      <w:r>
        <w:t xml:space="preserve">data regarding actual savings estimates from the installation of these two </w:t>
      </w:r>
      <w:r w:rsidR="00595A79">
        <w:t>technologies</w:t>
      </w:r>
      <w:r>
        <w:t xml:space="preserve">, which the team used to estimate sector level savings percentages. </w:t>
      </w:r>
    </w:p>
    <w:p w14:paraId="7B7420ED" w14:textId="77777777" w:rsidR="00952591" w:rsidRPr="001562DD" w:rsidRDefault="00952591" w:rsidP="00952591">
      <w:pPr>
        <w:widowControl w:val="0"/>
      </w:pPr>
    </w:p>
    <w:p w14:paraId="312022CD" w14:textId="77777777" w:rsidR="00952591" w:rsidRDefault="00952591" w:rsidP="00952591">
      <w:pPr>
        <w:widowControl w:val="0"/>
      </w:pPr>
      <w:r w:rsidRPr="00871A81">
        <w:rPr>
          <w:b/>
          <w:i/>
          <w:color w:val="555759" w:themeColor="text2"/>
        </w:rPr>
        <w:t>Costs</w:t>
      </w:r>
      <w:r w:rsidR="00871A81">
        <w:rPr>
          <w:b/>
          <w:i/>
          <w:color w:val="555759" w:themeColor="text2"/>
        </w:rPr>
        <w:t xml:space="preserve">. </w:t>
      </w:r>
      <w:r>
        <w:t xml:space="preserve">Navigant used the </w:t>
      </w:r>
      <w:r w:rsidR="0025094E">
        <w:t>EEStats</w:t>
      </w:r>
      <w:r>
        <w:t xml:space="preserve"> database to calculate the incremental cost per </w:t>
      </w:r>
      <w:r w:rsidR="0064248D">
        <w:t>unit energy savings for all technologies</w:t>
      </w:r>
      <w:r>
        <w:t xml:space="preserve"> included in the industrial analysis.</w:t>
      </w:r>
      <w:r w:rsidR="00C34F94">
        <w:rPr>
          <w:rStyle w:val="FootnoteReference"/>
        </w:rPr>
        <w:footnoteReference w:id="68"/>
      </w:r>
      <w:r>
        <w:t xml:space="preserve"> </w:t>
      </w:r>
      <w:r w:rsidR="00C34F94">
        <w:t>The team multiplied the incremental cost per unit by the technology energy savings to estimate technology costs.</w:t>
      </w:r>
      <w:r w:rsidR="00811332">
        <w:t xml:space="preserve"> </w:t>
      </w:r>
    </w:p>
    <w:p w14:paraId="38E3F24F" w14:textId="77777777" w:rsidR="00512D78" w:rsidRDefault="00512D78" w:rsidP="00952591">
      <w:pPr>
        <w:widowControl w:val="0"/>
      </w:pPr>
    </w:p>
    <w:p w14:paraId="1BD38064" w14:textId="77777777" w:rsidR="00D906E9" w:rsidRPr="001562DD" w:rsidRDefault="00512D78" w:rsidP="00512D78">
      <w:pPr>
        <w:widowControl w:val="0"/>
      </w:pPr>
      <w:r w:rsidRPr="00871A81">
        <w:rPr>
          <w:b/>
          <w:i/>
          <w:color w:val="555759" w:themeColor="text2"/>
        </w:rPr>
        <w:t>EUL and NTG</w:t>
      </w:r>
      <w:r w:rsidR="00871A81">
        <w:rPr>
          <w:b/>
          <w:i/>
          <w:color w:val="555759" w:themeColor="text2"/>
        </w:rPr>
        <w:t xml:space="preserve">. </w:t>
      </w:r>
      <w:r>
        <w:t xml:space="preserve">Navigant used the </w:t>
      </w:r>
      <w:r w:rsidR="0025094E">
        <w:t>EEStats</w:t>
      </w:r>
      <w:r>
        <w:t xml:space="preserve"> database to calculate the EUL and net-to-gross (NTG) </w:t>
      </w:r>
      <w:r w:rsidR="00B9736A">
        <w:t xml:space="preserve">ratios </w:t>
      </w:r>
      <w:r>
        <w:t xml:space="preserve">for all technologies included in the industrial </w:t>
      </w:r>
      <w:r w:rsidR="003D2661">
        <w:t xml:space="preserve">technology </w:t>
      </w:r>
      <w:r>
        <w:t>list.</w:t>
      </w:r>
      <w:r w:rsidR="00C34F94" w:rsidRPr="001562DD">
        <w:t xml:space="preserve"> </w:t>
      </w:r>
    </w:p>
    <w:p w14:paraId="1BF13EF1" w14:textId="77777777" w:rsidR="00512D78" w:rsidRDefault="00512D78" w:rsidP="00512D78">
      <w:pPr>
        <w:widowControl w:val="0"/>
      </w:pPr>
    </w:p>
    <w:p w14:paraId="11086963" w14:textId="77777777" w:rsidR="00952591" w:rsidRDefault="00952591" w:rsidP="00871A81">
      <w:pPr>
        <w:widowControl w:val="0"/>
      </w:pPr>
      <w:r w:rsidRPr="00871A81">
        <w:rPr>
          <w:b/>
          <w:i/>
          <w:color w:val="555759" w:themeColor="text2"/>
        </w:rPr>
        <w:t>Saturations and Densities</w:t>
      </w:r>
      <w:r w:rsidR="00871A81">
        <w:rPr>
          <w:b/>
          <w:i/>
          <w:color w:val="555759" w:themeColor="text2"/>
        </w:rPr>
        <w:t xml:space="preserve">. </w:t>
      </w:r>
      <w:r w:rsidR="00C34F94">
        <w:t xml:space="preserve">Technology </w:t>
      </w:r>
      <w:r w:rsidR="00C87C49">
        <w:t>characterization</w:t>
      </w:r>
      <w:r>
        <w:t xml:space="preserve"> requires </w:t>
      </w:r>
      <w:r w:rsidR="00C87C49">
        <w:t>data on the</w:t>
      </w:r>
      <w:r>
        <w:t xml:space="preserve"> saturation of efficient technologies </w:t>
      </w:r>
      <w:r w:rsidR="00C34F94">
        <w:t xml:space="preserve">currently </w:t>
      </w:r>
      <w:r>
        <w:t xml:space="preserve">existing in the industrial marketplace. This provides a clearer picture of how much potential energy savings still exists by upgrading </w:t>
      </w:r>
      <w:r w:rsidR="00C87C49">
        <w:t xml:space="preserve">remaining baseline </w:t>
      </w:r>
      <w:r>
        <w:t>technologies w</w:t>
      </w:r>
      <w:r w:rsidRPr="006816CA">
        <w:t xml:space="preserve">ithin that marketplace. For industrial </w:t>
      </w:r>
      <w:r w:rsidR="00C34F94">
        <w:t xml:space="preserve">technologies </w:t>
      </w:r>
      <w:r w:rsidRPr="006816CA">
        <w:t xml:space="preserve">analyzed using the IAC database, the team </w:t>
      </w:r>
      <w:r w:rsidR="00C34F94">
        <w:t>assumed</w:t>
      </w:r>
      <w:r w:rsidRPr="006816CA">
        <w:t xml:space="preserve"> </w:t>
      </w:r>
      <w:r>
        <w:t xml:space="preserve">that every </w:t>
      </w:r>
      <w:r>
        <w:lastRenderedPageBreak/>
        <w:t xml:space="preserve">recommendation made at an industrial facility meant that this facility still had the inefficient </w:t>
      </w:r>
      <w:r w:rsidR="00C34F94">
        <w:t>baseline technology installed</w:t>
      </w:r>
      <w:r>
        <w:t>. For example, if a facility received a recommendation to upgrade their lighting system, the team assumed that this facility still used inefficient or baseline lighting technologies. This assumption allowed the team to identify the percentage of sites with baseline equipment (i.e., those receiving a recommendation</w:t>
      </w:r>
      <w:r w:rsidR="00C87C49">
        <w:t xml:space="preserve"> for a </w:t>
      </w:r>
      <w:r w:rsidR="00C34F94">
        <w:t>technology</w:t>
      </w:r>
      <w:r>
        <w:t>).</w:t>
      </w:r>
      <w:r>
        <w:rPr>
          <w:rStyle w:val="FootnoteReference"/>
        </w:rPr>
        <w:footnoteReference w:id="69"/>
      </w:r>
      <w:r>
        <w:t xml:space="preserve"> The team then used this baseline percentage as one of the variables for calculating the total sector savings available for each measure defined in the Energy Savings section above.</w:t>
      </w:r>
    </w:p>
    <w:p w14:paraId="0ABFB989" w14:textId="77777777" w:rsidR="00952591" w:rsidRDefault="00952591" w:rsidP="00952591">
      <w:pPr>
        <w:keepNext/>
      </w:pPr>
    </w:p>
    <w:p w14:paraId="783D6394" w14:textId="77777777" w:rsidR="00952591" w:rsidRDefault="00952591" w:rsidP="00952591">
      <w:pPr>
        <w:keepNext/>
      </w:pPr>
      <w:r>
        <w:t xml:space="preserve">For measures not covered in the IAC database, the team used professional </w:t>
      </w:r>
      <w:r w:rsidR="00B73BA9">
        <w:t>judgment</w:t>
      </w:r>
      <w:r>
        <w:t xml:space="preserve">, based on data sources such as commercial </w:t>
      </w:r>
      <w:r w:rsidR="00C87C49">
        <w:t xml:space="preserve">sector saturation </w:t>
      </w:r>
      <w:r>
        <w:t>data and feedback from stakeholders, to estimate a density of efficient versus inefficient technology.</w:t>
      </w:r>
    </w:p>
    <w:p w14:paraId="6622286A" w14:textId="77777777" w:rsidR="001523B0" w:rsidRPr="00874242" w:rsidRDefault="001523B0" w:rsidP="001523B0">
      <w:pPr>
        <w:pStyle w:val="Heading3"/>
      </w:pPr>
      <w:bookmarkStart w:id="514" w:name="_Toc479768593"/>
      <w:bookmarkStart w:id="515" w:name="_Toc482357314"/>
      <w:bookmarkStart w:id="516" w:name="_Toc482634289"/>
      <w:bookmarkStart w:id="517" w:name="_Toc482626421"/>
      <w:bookmarkStart w:id="518" w:name="_Toc484092492"/>
      <w:bookmarkStart w:id="519" w:name="_Toc484172696"/>
      <w:bookmarkStart w:id="520" w:name="_Toc484183032"/>
      <w:bookmarkStart w:id="521" w:name="_Toc485126553"/>
      <w:r w:rsidRPr="00874242">
        <w:t>Mining Sector</w:t>
      </w:r>
      <w:bookmarkEnd w:id="514"/>
      <w:bookmarkEnd w:id="515"/>
      <w:bookmarkEnd w:id="516"/>
      <w:bookmarkEnd w:id="517"/>
      <w:bookmarkEnd w:id="518"/>
      <w:bookmarkEnd w:id="519"/>
      <w:bookmarkEnd w:id="520"/>
      <w:bookmarkEnd w:id="521"/>
    </w:p>
    <w:p w14:paraId="477549E4" w14:textId="77777777" w:rsidR="00874242" w:rsidRDefault="00874242" w:rsidP="00874242">
      <w:r>
        <w:t>The PG Model and the updates for the 2018 effort rely on the mining sector inputs established in previous studies.</w:t>
      </w:r>
      <w:r>
        <w:rPr>
          <w:rStyle w:val="FootnoteReference"/>
        </w:rPr>
        <w:footnoteReference w:id="70"/>
      </w:r>
      <w:r>
        <w:t xml:space="preserve"> Navigant defined the mining sector inputs using a bottom-up approach consistent with the other AIMS sectors. The team sourced data from several sources including region-specific information on oil and gas extraction activities from the California Department of Conservation.</w:t>
      </w:r>
      <w:r>
        <w:rPr>
          <w:rStyle w:val="FootnoteReference"/>
        </w:rPr>
        <w:footnoteReference w:id="71"/>
      </w:r>
      <w:r>
        <w:t xml:space="preserve"> This data provided the number of active and idle wells; the amount of oil and water produced from wells; the amount of steam and hot water generated for mining operations; and the number new wells created.</w:t>
      </w:r>
      <w:r>
        <w:rPr>
          <w:rStyle w:val="FootnoteReference"/>
        </w:rPr>
        <w:footnoteReference w:id="72"/>
      </w:r>
    </w:p>
    <w:p w14:paraId="79A0926E" w14:textId="77777777" w:rsidR="00874242" w:rsidRDefault="00874242" w:rsidP="00874242"/>
    <w:p w14:paraId="201E87AA" w14:textId="77777777" w:rsidR="001523B0" w:rsidRDefault="00874242" w:rsidP="00412E8E">
      <w:r>
        <w:t xml:space="preserve">The Navigant team also used consumption data from the CPUC and other secondary sources, including IOU program data, and industry-specific reports and studies. These sources inform estimates for energy savings, costs, EUL, and NTG. Navigant also updated select model inputs such as equipment stocks, sector consumption, and saturations of efficient equipment. </w:t>
      </w:r>
    </w:p>
    <w:p w14:paraId="4E47486B" w14:textId="77777777" w:rsidR="001523B0" w:rsidRPr="00E510BB" w:rsidRDefault="001523B0" w:rsidP="001523B0">
      <w:pPr>
        <w:pStyle w:val="Heading3"/>
      </w:pPr>
      <w:bookmarkStart w:id="522" w:name="_Toc479768594"/>
      <w:bookmarkStart w:id="523" w:name="_Toc482357315"/>
      <w:bookmarkStart w:id="524" w:name="_Toc482634290"/>
      <w:bookmarkStart w:id="525" w:name="_Toc482626422"/>
      <w:bookmarkStart w:id="526" w:name="_Toc484092493"/>
      <w:bookmarkStart w:id="527" w:name="_Toc484172697"/>
      <w:bookmarkStart w:id="528" w:name="_Toc484183033"/>
      <w:bookmarkStart w:id="529" w:name="_Toc485126554"/>
      <w:r w:rsidRPr="00E510BB">
        <w:t>Street Lighting</w:t>
      </w:r>
      <w:bookmarkEnd w:id="522"/>
      <w:r w:rsidR="00874242" w:rsidRPr="00E510BB">
        <w:t xml:space="preserve"> Sector</w:t>
      </w:r>
      <w:bookmarkEnd w:id="523"/>
      <w:bookmarkEnd w:id="524"/>
      <w:bookmarkEnd w:id="525"/>
      <w:bookmarkEnd w:id="526"/>
      <w:bookmarkEnd w:id="527"/>
      <w:bookmarkEnd w:id="528"/>
      <w:bookmarkEnd w:id="529"/>
    </w:p>
    <w:p w14:paraId="1FB20B89" w14:textId="77777777" w:rsidR="00874242" w:rsidRDefault="003F4950" w:rsidP="00874242">
      <w:r>
        <w:t>Like</w:t>
      </w:r>
      <w:r w:rsidR="00874242">
        <w:t xml:space="preserve"> the </w:t>
      </w:r>
      <w:r w:rsidR="00E510BB">
        <w:t>m</w:t>
      </w:r>
      <w:r w:rsidR="00874242">
        <w:t xml:space="preserve">ining sector, </w:t>
      </w:r>
      <w:r w:rsidR="00E510BB">
        <w:t>t</w:t>
      </w:r>
      <w:r w:rsidR="00874242">
        <w:t>he PG Mod</w:t>
      </w:r>
      <w:r w:rsidR="00E510BB">
        <w:t>el and the updates for the 2018</w:t>
      </w:r>
      <w:r w:rsidR="00874242">
        <w:t xml:space="preserve"> Street Lighting effort rely on the inputs established in previous studies.</w:t>
      </w:r>
      <w:r w:rsidR="00874242">
        <w:rPr>
          <w:rStyle w:val="FootnoteReference"/>
        </w:rPr>
        <w:footnoteReference w:id="73"/>
      </w:r>
      <w:r w:rsidR="00874242">
        <w:t xml:space="preserve"> </w:t>
      </w:r>
      <w:r w:rsidR="00E510BB">
        <w:t xml:space="preserve">The team also used a </w:t>
      </w:r>
      <w:r w:rsidR="00874242">
        <w:t xml:space="preserve">bottom-up approach </w:t>
      </w:r>
      <w:r w:rsidR="00E510BB">
        <w:t>to define sector inputs.</w:t>
      </w:r>
      <w:r w:rsidR="00874242">
        <w:t xml:space="preserve"> </w:t>
      </w:r>
      <w:r w:rsidR="00E510BB">
        <w:t>I</w:t>
      </w:r>
      <w:r w:rsidR="00874242">
        <w:t>nformation prov</w:t>
      </w:r>
      <w:r w:rsidR="00E510BB">
        <w:t>ided directly by the IOUs served</w:t>
      </w:r>
      <w:r w:rsidR="00874242">
        <w:t xml:space="preserve"> as the primary basis for </w:t>
      </w:r>
      <w:r w:rsidR="00E510BB">
        <w:t xml:space="preserve">street lighting </w:t>
      </w:r>
      <w:r w:rsidR="00874242">
        <w:t>inputs</w:t>
      </w:r>
      <w:r w:rsidR="00E510BB">
        <w:t>,</w:t>
      </w:r>
      <w:r w:rsidR="00874242">
        <w:t xml:space="preserve"> </w:t>
      </w:r>
      <w:r w:rsidR="00E510BB">
        <w:t>s</w:t>
      </w:r>
      <w:r w:rsidR="00874242">
        <w:t>pecifically</w:t>
      </w:r>
      <w:r w:rsidR="00E510BB">
        <w:t xml:space="preserve"> the </w:t>
      </w:r>
      <w:r w:rsidR="00874242">
        <w:t xml:space="preserve">inventories of customer-owned and IOU-owned street lights </w:t>
      </w:r>
      <w:r w:rsidR="00E510BB">
        <w:t xml:space="preserve">included in </w:t>
      </w:r>
      <w:r w:rsidR="00874242">
        <w:t>the LS-1 and LS-2 rate classes.</w:t>
      </w:r>
      <w:r w:rsidR="00874242">
        <w:rPr>
          <w:rStyle w:val="FootnoteReference"/>
        </w:rPr>
        <w:footnoteReference w:id="74"/>
      </w:r>
      <w:r w:rsidR="00874242">
        <w:t xml:space="preserve"> The PG Model outputs reflect potential </w:t>
      </w:r>
      <w:r w:rsidR="00E510BB">
        <w:t xml:space="preserve">energy savings </w:t>
      </w:r>
      <w:r w:rsidR="00874242">
        <w:t xml:space="preserve">associated only with customer-owned lamps (LS-2 rate schedule). However, Navigant </w:t>
      </w:r>
      <w:r w:rsidR="00E510BB">
        <w:t>gathered</w:t>
      </w:r>
      <w:r w:rsidR="00874242">
        <w:t xml:space="preserve"> data on IOU-own lamps (LS-1 rate schedule) to aid </w:t>
      </w:r>
      <w:r w:rsidR="00E510BB">
        <w:t xml:space="preserve">with </w:t>
      </w:r>
      <w:r w:rsidR="00874242">
        <w:t xml:space="preserve">data vetting and </w:t>
      </w:r>
      <w:r w:rsidR="00E510BB">
        <w:t>quality control</w:t>
      </w:r>
      <w:r w:rsidR="00874242">
        <w:t xml:space="preserve">. </w:t>
      </w:r>
    </w:p>
    <w:p w14:paraId="0C71585F" w14:textId="77777777" w:rsidR="00874242" w:rsidRDefault="00874242" w:rsidP="00874242"/>
    <w:p w14:paraId="7357E091" w14:textId="77777777" w:rsidR="001523B0" w:rsidRDefault="00874242" w:rsidP="00412E8E">
      <w:r>
        <w:lastRenderedPageBreak/>
        <w:t>The IOU street lighting inventories inform several model inputs including equipment stocks, densities, and saturations of efficient equipment. Finally, Navigant also relied on secondary sources to update equipment costs. The team revised cost forecasts for LEDs with information from the DOE’s Solid State Lighting program.</w:t>
      </w:r>
      <w:r>
        <w:rPr>
          <w:rStyle w:val="FootnoteReference"/>
        </w:rPr>
        <w:footnoteReference w:id="75"/>
      </w:r>
    </w:p>
    <w:p w14:paraId="0D4F1364" w14:textId="77777777" w:rsidR="008F576F" w:rsidRDefault="008F576F" w:rsidP="00181A55">
      <w:pPr>
        <w:pStyle w:val="Heading2"/>
        <w:keepLines/>
      </w:pPr>
      <w:bookmarkStart w:id="530" w:name="_Toc478990517"/>
      <w:bookmarkStart w:id="531" w:name="_Toc479768595"/>
      <w:bookmarkStart w:id="532" w:name="_Ref482355173"/>
      <w:bookmarkStart w:id="533" w:name="_Toc482357316"/>
      <w:bookmarkStart w:id="534" w:name="_Ref482543555"/>
      <w:bookmarkStart w:id="535" w:name="_Toc482634291"/>
      <w:bookmarkStart w:id="536" w:name="_Toc482626423"/>
      <w:bookmarkStart w:id="537" w:name="_Toc484092494"/>
      <w:bookmarkStart w:id="538" w:name="_Toc484172698"/>
      <w:bookmarkStart w:id="539" w:name="_Toc484183034"/>
      <w:bookmarkStart w:id="540" w:name="_Toc485126555"/>
      <w:r w:rsidRPr="00383D8B">
        <w:t>Industrial</w:t>
      </w:r>
      <w:r>
        <w:t xml:space="preserve"> </w:t>
      </w:r>
      <w:r w:rsidR="0097308A">
        <w:t>and Agriculture Custom Technologies</w:t>
      </w:r>
      <w:r>
        <w:t xml:space="preserve"> </w:t>
      </w:r>
      <w:r w:rsidR="00190AA0">
        <w:t>Data Sources</w:t>
      </w:r>
      <w:bookmarkEnd w:id="530"/>
      <w:bookmarkEnd w:id="531"/>
      <w:bookmarkEnd w:id="532"/>
      <w:bookmarkEnd w:id="533"/>
      <w:bookmarkEnd w:id="534"/>
      <w:bookmarkEnd w:id="535"/>
      <w:bookmarkEnd w:id="536"/>
      <w:bookmarkEnd w:id="537"/>
      <w:bookmarkEnd w:id="538"/>
      <w:bookmarkEnd w:id="539"/>
      <w:bookmarkEnd w:id="540"/>
    </w:p>
    <w:p w14:paraId="2DA7886B" w14:textId="77777777" w:rsidR="008F576F" w:rsidRDefault="0097308A" w:rsidP="00181A55">
      <w:pPr>
        <w:keepNext/>
        <w:keepLines/>
      </w:pPr>
      <w:r>
        <w:t>This section describes the data sources used to characterize the custom and emerging technologies for the Industrial and Agriculture sectors.</w:t>
      </w:r>
    </w:p>
    <w:p w14:paraId="0F294757" w14:textId="77777777" w:rsidR="0097308A" w:rsidRDefault="0097308A" w:rsidP="00181A55">
      <w:pPr>
        <w:pStyle w:val="Heading3"/>
        <w:keepLines/>
      </w:pPr>
      <w:bookmarkStart w:id="541" w:name="_Toc482357317"/>
      <w:bookmarkStart w:id="542" w:name="_Toc482634292"/>
      <w:bookmarkStart w:id="543" w:name="_Toc482626424"/>
      <w:bookmarkStart w:id="544" w:name="_Toc484092495"/>
      <w:bookmarkStart w:id="545" w:name="_Toc484172699"/>
      <w:bookmarkStart w:id="546" w:name="_Toc484183035"/>
      <w:bookmarkStart w:id="547" w:name="_Toc485126556"/>
      <w:r>
        <w:t>Generic Custom Measures</w:t>
      </w:r>
      <w:bookmarkEnd w:id="541"/>
      <w:bookmarkEnd w:id="542"/>
      <w:bookmarkEnd w:id="543"/>
      <w:bookmarkEnd w:id="544"/>
      <w:bookmarkEnd w:id="545"/>
      <w:bookmarkEnd w:id="546"/>
      <w:bookmarkEnd w:id="547"/>
    </w:p>
    <w:p w14:paraId="3DA29F9C" w14:textId="77777777" w:rsidR="002D74A6" w:rsidRDefault="002D74A6" w:rsidP="002D74A6">
      <w:r w:rsidRPr="00A8475A">
        <w:t>Generic custom measures</w:t>
      </w:r>
      <w:r>
        <w:t xml:space="preserve"> in the industrial and agriculture market sectors are projects that tend to be specific to an industry segment or production method. Generic custom measures are often listed by non-descript names </w:t>
      </w:r>
      <w:r w:rsidRPr="00A8475A">
        <w:t>such as ‘Process-Other’</w:t>
      </w:r>
      <w:r>
        <w:t xml:space="preserve"> in publicly report IOU tracking data and they present several challenges within a potential forecast, including: </w:t>
      </w:r>
    </w:p>
    <w:p w14:paraId="22D1F6B2" w14:textId="77777777" w:rsidR="002D74A6" w:rsidRDefault="002D74A6" w:rsidP="004E4E36">
      <w:pPr>
        <w:pStyle w:val="ListParagraph"/>
        <w:numPr>
          <w:ilvl w:val="0"/>
          <w:numId w:val="43"/>
        </w:numPr>
      </w:pPr>
      <w:r>
        <w:t>Having unique attributes that make them difficult to forecast within the diffusion based PG model</w:t>
      </w:r>
    </w:p>
    <w:p w14:paraId="6BF1C807" w14:textId="77777777" w:rsidR="002D74A6" w:rsidRDefault="002D74A6" w:rsidP="004E4E36">
      <w:pPr>
        <w:pStyle w:val="ListParagraph"/>
        <w:numPr>
          <w:ilvl w:val="0"/>
          <w:numId w:val="43"/>
        </w:numPr>
        <w:spacing w:before="0"/>
        <w:contextualSpacing/>
      </w:pPr>
      <w:r>
        <w:t xml:space="preserve">Being unlikely to </w:t>
      </w:r>
      <w:r w:rsidRPr="00BC4399">
        <w:t xml:space="preserve">saturate </w:t>
      </w:r>
      <w:r>
        <w:t xml:space="preserve">over time due to </w:t>
      </w:r>
      <w:r w:rsidRPr="00BC4399">
        <w:t>continual process changes</w:t>
      </w:r>
      <w:r>
        <w:t xml:space="preserve"> in the industrial and agricultural sectors</w:t>
      </w:r>
    </w:p>
    <w:p w14:paraId="3593ABAE" w14:textId="77777777" w:rsidR="002D74A6" w:rsidRDefault="002D74A6" w:rsidP="004E4E36">
      <w:pPr>
        <w:pStyle w:val="ListParagraph"/>
        <w:numPr>
          <w:ilvl w:val="0"/>
          <w:numId w:val="43"/>
        </w:numPr>
        <w:spacing w:before="0"/>
        <w:contextualSpacing/>
      </w:pPr>
      <w:r>
        <w:t>Often consisting of emerging technologies with little to no engineering details, market parameters, or work papers</w:t>
      </w:r>
    </w:p>
    <w:p w14:paraId="7D2E04DA" w14:textId="77777777" w:rsidR="002D74A6" w:rsidRDefault="002D74A6" w:rsidP="002D74A6">
      <w:pPr>
        <w:contextualSpacing/>
      </w:pPr>
    </w:p>
    <w:p w14:paraId="697D2CCF" w14:textId="77777777" w:rsidR="0097308A" w:rsidRDefault="0097308A" w:rsidP="00181A55">
      <w:pPr>
        <w:keepNext/>
        <w:keepLines/>
      </w:pPr>
      <w:r w:rsidRPr="00AE5A18">
        <w:t xml:space="preserve">Generic custom measures make-up a significant portion of the energy efficiency program portfolio. Based on an analysis portfolio level </w:t>
      </w:r>
      <w:r w:rsidR="0025094E">
        <w:t>EEStats</w:t>
      </w:r>
      <w:r w:rsidRPr="00AE5A18">
        <w:t xml:space="preserve"> data for the 2013 and 2014 </w:t>
      </w:r>
      <w:r w:rsidRPr="00983D0B">
        <w:t>portfolio, generic custom accounted for 36% of</w:t>
      </w:r>
      <w:r w:rsidRPr="001331E9">
        <w:t xml:space="preserve"> industrial savings and 58% of agricultural sector savings.</w:t>
      </w:r>
    </w:p>
    <w:p w14:paraId="022CE6BB" w14:textId="77777777" w:rsidR="002D74A6" w:rsidRDefault="002D74A6" w:rsidP="00181A55">
      <w:pPr>
        <w:keepNext/>
        <w:keepLines/>
      </w:pPr>
    </w:p>
    <w:p w14:paraId="0F9C4C22" w14:textId="77777777" w:rsidR="002D74A6" w:rsidRPr="00BC4399" w:rsidRDefault="002D74A6" w:rsidP="002D74A6">
      <w:pPr>
        <w:rPr>
          <w:szCs w:val="20"/>
        </w:rPr>
      </w:pPr>
      <w:r w:rsidRPr="00BC4399">
        <w:rPr>
          <w:szCs w:val="20"/>
        </w:rPr>
        <w:t>The 2018 potential model treats generic custom measures as a specific measure class</w:t>
      </w:r>
      <w:r>
        <w:rPr>
          <w:szCs w:val="20"/>
        </w:rPr>
        <w:t>.</w:t>
      </w:r>
      <w:r w:rsidRPr="00BC4399">
        <w:rPr>
          <w:szCs w:val="20"/>
        </w:rPr>
        <w:t xml:space="preserve"> </w:t>
      </w:r>
      <w:r w:rsidR="00A93CE5">
        <w:rPr>
          <w:szCs w:val="20"/>
        </w:rPr>
        <w:fldChar w:fldCharType="begin"/>
      </w:r>
      <w:r w:rsidR="00A93CE5">
        <w:rPr>
          <w:szCs w:val="20"/>
        </w:rPr>
        <w:instrText xml:space="preserve"> REF _Ref484634988 \h </w:instrText>
      </w:r>
      <w:r w:rsidR="00A93CE5">
        <w:rPr>
          <w:szCs w:val="20"/>
        </w:rPr>
      </w:r>
      <w:r w:rsidR="00A93CE5">
        <w:rPr>
          <w:szCs w:val="20"/>
        </w:rPr>
        <w:fldChar w:fldCharType="separate"/>
      </w:r>
      <w:r w:rsidR="00C407F4">
        <w:t xml:space="preserve">Table </w:t>
      </w:r>
      <w:r w:rsidR="00C407F4">
        <w:rPr>
          <w:noProof/>
        </w:rPr>
        <w:t>3</w:t>
      </w:r>
      <w:r w:rsidR="00C407F4">
        <w:noBreakHyphen/>
      </w:r>
      <w:r w:rsidR="00C407F4">
        <w:rPr>
          <w:noProof/>
        </w:rPr>
        <w:t>17</w:t>
      </w:r>
      <w:r w:rsidR="00A93CE5">
        <w:rPr>
          <w:szCs w:val="20"/>
        </w:rPr>
        <w:fldChar w:fldCharType="end"/>
      </w:r>
      <w:r w:rsidR="00A93CE5">
        <w:rPr>
          <w:szCs w:val="20"/>
        </w:rPr>
        <w:t xml:space="preserve"> </w:t>
      </w:r>
      <w:r>
        <w:rPr>
          <w:szCs w:val="20"/>
        </w:rPr>
        <w:t>provides the i</w:t>
      </w:r>
      <w:r w:rsidRPr="00BC4399">
        <w:rPr>
          <w:szCs w:val="20"/>
        </w:rPr>
        <w:t>nputs for electric</w:t>
      </w:r>
      <w:r>
        <w:rPr>
          <w:szCs w:val="20"/>
        </w:rPr>
        <w:t>ity</w:t>
      </w:r>
      <w:r w:rsidRPr="00BC4399">
        <w:rPr>
          <w:szCs w:val="20"/>
        </w:rPr>
        <w:t xml:space="preserve"> and natural gas </w:t>
      </w:r>
      <w:r>
        <w:rPr>
          <w:szCs w:val="20"/>
        </w:rPr>
        <w:t>f</w:t>
      </w:r>
      <w:r w:rsidRPr="00BC4399">
        <w:rPr>
          <w:szCs w:val="20"/>
        </w:rPr>
        <w:t>or these measures.</w:t>
      </w:r>
      <w:r>
        <w:rPr>
          <w:szCs w:val="20"/>
        </w:rPr>
        <w:t xml:space="preserve"> Navigant estimated s</w:t>
      </w:r>
      <w:r w:rsidRPr="00BC4399">
        <w:rPr>
          <w:szCs w:val="20"/>
        </w:rPr>
        <w:t xml:space="preserve">avings </w:t>
      </w:r>
      <w:r w:rsidRPr="00356E4C">
        <w:rPr>
          <w:szCs w:val="20"/>
        </w:rPr>
        <w:t>based on building type c</w:t>
      </w:r>
      <w:r>
        <w:rPr>
          <w:szCs w:val="20"/>
        </w:rPr>
        <w:t xml:space="preserve">onsumption (kWh or Therms/year), however since these technologies </w:t>
      </w:r>
      <w:r w:rsidRPr="00356E4C">
        <w:rPr>
          <w:szCs w:val="20"/>
        </w:rPr>
        <w:t>are forecast as a single class of measure, savings do not vary by market segment or IOU</w:t>
      </w:r>
      <w:r>
        <w:rPr>
          <w:szCs w:val="20"/>
        </w:rPr>
        <w:t xml:space="preserve">. Navigant does provide </w:t>
      </w:r>
      <w:r w:rsidRPr="00356E4C">
        <w:rPr>
          <w:szCs w:val="20"/>
        </w:rPr>
        <w:t xml:space="preserve">separate UES estimates for the industrial and agricultural market sectors. </w:t>
      </w:r>
      <w:r>
        <w:rPr>
          <w:szCs w:val="20"/>
        </w:rPr>
        <w:t xml:space="preserve">The team calculated the EUL for these measures at 15 years since they </w:t>
      </w:r>
      <w:r w:rsidRPr="00356E4C">
        <w:rPr>
          <w:szCs w:val="20"/>
        </w:rPr>
        <w:t xml:space="preserve">tend to be larger capital investments with long operating lives. Costs for electricity and natural gas savings are $0.33 /kWh and $2.25/therm. </w:t>
      </w:r>
      <w:r>
        <w:rPr>
          <w:szCs w:val="20"/>
        </w:rPr>
        <w:t>Navigant applied c</w:t>
      </w:r>
      <w:r w:rsidRPr="00356E4C">
        <w:rPr>
          <w:szCs w:val="20"/>
        </w:rPr>
        <w:t>ost and EUL values consistently across market segments within the industrial and agricultural sectors and across utilities.</w:t>
      </w:r>
    </w:p>
    <w:p w14:paraId="7A2170AB" w14:textId="77777777" w:rsidR="002D74A6" w:rsidRDefault="002D74A6" w:rsidP="002D74A6"/>
    <w:p w14:paraId="6FEC496D" w14:textId="77777777" w:rsidR="002D74A6" w:rsidRDefault="002D74A6" w:rsidP="002D74A6">
      <w:pPr>
        <w:pStyle w:val="Caption"/>
      </w:pPr>
      <w:bookmarkStart w:id="548" w:name="_Ref484634988"/>
      <w:bookmarkStart w:id="549" w:name="_Toc482634225"/>
      <w:bookmarkStart w:id="550" w:name="_Toc484436964"/>
      <w:bookmarkStart w:id="551" w:name="_Toc485125675"/>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17</w:t>
      </w:r>
      <w:r w:rsidR="00272F76">
        <w:rPr>
          <w:noProof/>
        </w:rPr>
        <w:fldChar w:fldCharType="end"/>
      </w:r>
      <w:bookmarkEnd w:id="548"/>
      <w:r>
        <w:t xml:space="preserve">. </w:t>
      </w:r>
      <w:r w:rsidRPr="006D42E2">
        <w:t>Generic Custom Measures</w:t>
      </w:r>
      <w:r w:rsidRPr="006D42E2" w:rsidDel="006D42E2">
        <w:t xml:space="preserve"> </w:t>
      </w:r>
      <w:r>
        <w:t>- Key Assumptions</w:t>
      </w:r>
      <w:bookmarkEnd w:id="549"/>
      <w:bookmarkEnd w:id="550"/>
      <w:bookmarkEnd w:id="551"/>
    </w:p>
    <w:tbl>
      <w:tblPr>
        <w:tblStyle w:val="ListTable3-Accent11"/>
        <w:tblW w:w="8936" w:type="dxa"/>
        <w:tblLayout w:type="fixed"/>
        <w:tblLook w:val="04A0" w:firstRow="1" w:lastRow="0" w:firstColumn="1" w:lastColumn="0" w:noHBand="0" w:noVBand="1"/>
      </w:tblPr>
      <w:tblGrid>
        <w:gridCol w:w="1172"/>
        <w:gridCol w:w="1168"/>
        <w:gridCol w:w="810"/>
        <w:gridCol w:w="1440"/>
        <w:gridCol w:w="1440"/>
        <w:gridCol w:w="752"/>
        <w:gridCol w:w="958"/>
        <w:gridCol w:w="1196"/>
      </w:tblGrid>
      <w:tr w:rsidR="004A09CC" w:rsidRPr="00657865" w14:paraId="21BBA93E" w14:textId="77777777" w:rsidTr="003E3C9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172" w:type="dxa"/>
            <w:vMerge w:val="restart"/>
            <w:shd w:val="clear" w:color="auto" w:fill="555759" w:themeFill="text2"/>
            <w:hideMark/>
          </w:tcPr>
          <w:p w14:paraId="56C9DDCC" w14:textId="77777777" w:rsidR="002D74A6" w:rsidRPr="00657865" w:rsidRDefault="002D74A6" w:rsidP="003E3C94">
            <w:pPr>
              <w:rPr>
                <w:rFonts w:ascii="Arial Narrow" w:hAnsi="Arial Narrow"/>
                <w:b w:val="0"/>
                <w:sz w:val="18"/>
                <w:szCs w:val="18"/>
              </w:rPr>
            </w:pPr>
            <w:r w:rsidRPr="00657865">
              <w:rPr>
                <w:rFonts w:ascii="Arial Narrow" w:hAnsi="Arial Narrow"/>
                <w:sz w:val="18"/>
                <w:szCs w:val="18"/>
              </w:rPr>
              <w:t>Sector</w:t>
            </w:r>
          </w:p>
        </w:tc>
        <w:tc>
          <w:tcPr>
            <w:tcW w:w="1168" w:type="dxa"/>
            <w:vMerge w:val="restart"/>
            <w:shd w:val="clear" w:color="auto" w:fill="555759" w:themeFill="text2"/>
            <w:hideMark/>
          </w:tcPr>
          <w:p w14:paraId="194EB70D"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Type</w:t>
            </w:r>
          </w:p>
        </w:tc>
        <w:tc>
          <w:tcPr>
            <w:tcW w:w="810" w:type="dxa"/>
            <w:vMerge w:val="restart"/>
            <w:shd w:val="clear" w:color="auto" w:fill="555759" w:themeFill="text2"/>
            <w:hideMark/>
          </w:tcPr>
          <w:p w14:paraId="7BD11C53"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EUL years</w:t>
            </w:r>
          </w:p>
        </w:tc>
        <w:tc>
          <w:tcPr>
            <w:tcW w:w="2880" w:type="dxa"/>
            <w:gridSpan w:val="2"/>
            <w:tcBorders>
              <w:bottom w:val="single" w:sz="2" w:space="0" w:color="FFFFFF" w:themeColor="background1"/>
            </w:tcBorders>
            <w:shd w:val="clear" w:color="auto" w:fill="555759" w:themeFill="text2"/>
            <w:hideMark/>
          </w:tcPr>
          <w:p w14:paraId="20389B9C"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Savings Range</w:t>
            </w:r>
          </w:p>
        </w:tc>
        <w:tc>
          <w:tcPr>
            <w:tcW w:w="1710" w:type="dxa"/>
            <w:gridSpan w:val="2"/>
            <w:tcBorders>
              <w:bottom w:val="single" w:sz="2" w:space="0" w:color="FFFFFF" w:themeColor="background1"/>
            </w:tcBorders>
            <w:shd w:val="clear" w:color="auto" w:fill="555759" w:themeFill="text2"/>
            <w:hideMark/>
          </w:tcPr>
          <w:p w14:paraId="36B66219"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Cost</w:t>
            </w:r>
          </w:p>
        </w:tc>
        <w:tc>
          <w:tcPr>
            <w:tcW w:w="1196" w:type="dxa"/>
            <w:vMerge w:val="restart"/>
            <w:shd w:val="clear" w:color="auto" w:fill="555759" w:themeFill="text2"/>
            <w:hideMark/>
          </w:tcPr>
          <w:p w14:paraId="0DDE3C4A"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kW/kWh Savings Ratio</w:t>
            </w:r>
          </w:p>
        </w:tc>
      </w:tr>
      <w:tr w:rsidR="004A09CC" w:rsidRPr="00657865" w14:paraId="0B4EA768" w14:textId="77777777" w:rsidTr="003E3C9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72" w:type="dxa"/>
            <w:vMerge/>
            <w:tcBorders>
              <w:bottom w:val="single" w:sz="12" w:space="0" w:color="95D600" w:themeColor="accent1"/>
            </w:tcBorders>
            <w:hideMark/>
          </w:tcPr>
          <w:p w14:paraId="37587881" w14:textId="77777777" w:rsidR="002D74A6" w:rsidRPr="00657865" w:rsidRDefault="002D74A6" w:rsidP="003E3C94">
            <w:pPr>
              <w:rPr>
                <w:rFonts w:ascii="Arial Narrow" w:hAnsi="Arial Narrow"/>
                <w:sz w:val="18"/>
                <w:szCs w:val="18"/>
              </w:rPr>
            </w:pPr>
          </w:p>
        </w:tc>
        <w:tc>
          <w:tcPr>
            <w:tcW w:w="1168" w:type="dxa"/>
            <w:vMerge/>
            <w:tcBorders>
              <w:bottom w:val="single" w:sz="12" w:space="0" w:color="95D600" w:themeColor="accent1"/>
            </w:tcBorders>
            <w:hideMark/>
          </w:tcPr>
          <w:p w14:paraId="5813C38E"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810" w:type="dxa"/>
            <w:vMerge/>
            <w:tcBorders>
              <w:bottom w:val="single" w:sz="12" w:space="0" w:color="95D600" w:themeColor="accent1"/>
            </w:tcBorders>
            <w:shd w:val="clear" w:color="auto" w:fill="555759" w:themeFill="text2"/>
            <w:hideMark/>
          </w:tcPr>
          <w:p w14:paraId="0941FE7F"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440" w:type="dxa"/>
            <w:tcBorders>
              <w:top w:val="single" w:sz="2" w:space="0" w:color="FFFFFF" w:themeColor="background1"/>
              <w:bottom w:val="single" w:sz="12" w:space="0" w:color="95D600" w:themeColor="accent1"/>
            </w:tcBorders>
            <w:shd w:val="clear" w:color="auto" w:fill="555759" w:themeFill="text2"/>
            <w:hideMark/>
          </w:tcPr>
          <w:p w14:paraId="43CD14CB"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1440" w:type="dxa"/>
            <w:tcBorders>
              <w:top w:val="single" w:sz="2" w:space="0" w:color="FFFFFF" w:themeColor="background1"/>
              <w:bottom w:val="single" w:sz="12" w:space="0" w:color="95D600" w:themeColor="accent1"/>
            </w:tcBorders>
            <w:shd w:val="clear" w:color="auto" w:fill="555759" w:themeFill="text2"/>
            <w:hideMark/>
          </w:tcPr>
          <w:p w14:paraId="2DA3949A"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752" w:type="dxa"/>
            <w:tcBorders>
              <w:top w:val="single" w:sz="2" w:space="0" w:color="FFFFFF" w:themeColor="background1"/>
              <w:bottom w:val="single" w:sz="12" w:space="0" w:color="95D600" w:themeColor="accent1"/>
            </w:tcBorders>
            <w:shd w:val="clear" w:color="auto" w:fill="555759" w:themeFill="text2"/>
            <w:hideMark/>
          </w:tcPr>
          <w:p w14:paraId="77889E26"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958" w:type="dxa"/>
            <w:tcBorders>
              <w:top w:val="single" w:sz="2" w:space="0" w:color="FFFFFF" w:themeColor="background1"/>
              <w:bottom w:val="single" w:sz="12" w:space="0" w:color="95D600" w:themeColor="accent1"/>
            </w:tcBorders>
            <w:shd w:val="clear" w:color="auto" w:fill="555759" w:themeFill="text2"/>
            <w:hideMark/>
          </w:tcPr>
          <w:p w14:paraId="4F281F93"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1196" w:type="dxa"/>
            <w:vMerge/>
            <w:tcBorders>
              <w:bottom w:val="single" w:sz="12" w:space="0" w:color="95D600" w:themeColor="accent1"/>
            </w:tcBorders>
            <w:hideMark/>
          </w:tcPr>
          <w:p w14:paraId="51502956"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r w:rsidR="002D74A6" w:rsidRPr="00657865" w14:paraId="55F54D38" w14:textId="77777777" w:rsidTr="00110120">
        <w:trPr>
          <w:trHeight w:val="738"/>
        </w:trPr>
        <w:tc>
          <w:tcPr>
            <w:cnfStyle w:val="001000000000" w:firstRow="0" w:lastRow="0" w:firstColumn="1" w:lastColumn="0" w:oddVBand="0" w:evenVBand="0" w:oddHBand="0" w:evenHBand="0" w:firstRowFirstColumn="0" w:firstRowLastColumn="0" w:lastRowFirstColumn="0" w:lastRowLastColumn="0"/>
            <w:tcW w:w="1172" w:type="dxa"/>
            <w:tcBorders>
              <w:top w:val="single" w:sz="12" w:space="0" w:color="95D600" w:themeColor="accent1"/>
            </w:tcBorders>
            <w:hideMark/>
          </w:tcPr>
          <w:p w14:paraId="6378E81E" w14:textId="77777777" w:rsidR="002D74A6" w:rsidRPr="00657865" w:rsidRDefault="002D74A6" w:rsidP="003E3C94">
            <w:pPr>
              <w:rPr>
                <w:rFonts w:ascii="Arial Narrow" w:hAnsi="Arial Narrow"/>
                <w:sz w:val="18"/>
                <w:szCs w:val="18"/>
              </w:rPr>
            </w:pPr>
            <w:r w:rsidRPr="00657865">
              <w:rPr>
                <w:rFonts w:ascii="Arial Narrow" w:hAnsi="Arial Narrow"/>
                <w:sz w:val="18"/>
                <w:szCs w:val="18"/>
              </w:rPr>
              <w:t>AIMS</w:t>
            </w:r>
          </w:p>
        </w:tc>
        <w:tc>
          <w:tcPr>
            <w:tcW w:w="1168" w:type="dxa"/>
            <w:tcBorders>
              <w:top w:val="single" w:sz="12" w:space="0" w:color="95D600" w:themeColor="accent1"/>
            </w:tcBorders>
            <w:hideMark/>
          </w:tcPr>
          <w:p w14:paraId="306DAE9A"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Generic Custom</w:t>
            </w:r>
          </w:p>
        </w:tc>
        <w:tc>
          <w:tcPr>
            <w:tcW w:w="810" w:type="dxa"/>
            <w:tcBorders>
              <w:top w:val="single" w:sz="12" w:space="0" w:color="95D600" w:themeColor="accent1"/>
            </w:tcBorders>
            <w:hideMark/>
          </w:tcPr>
          <w:p w14:paraId="7AD00C67"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15</w:t>
            </w:r>
          </w:p>
        </w:tc>
        <w:tc>
          <w:tcPr>
            <w:tcW w:w="1440" w:type="dxa"/>
            <w:tcBorders>
              <w:top w:val="single" w:sz="12" w:space="0" w:color="95D600" w:themeColor="accent1"/>
            </w:tcBorders>
            <w:hideMark/>
          </w:tcPr>
          <w:p w14:paraId="1A78D00B"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rPr>
            </w:pPr>
            <w:r w:rsidRPr="00657865">
              <w:rPr>
                <w:rFonts w:ascii="Arial Narrow" w:hAnsi="Arial Narrow" w:cs="Calibri"/>
                <w:sz w:val="18"/>
                <w:szCs w:val="18"/>
              </w:rPr>
              <w:t>0.16% (Ind)</w:t>
            </w:r>
          </w:p>
          <w:p w14:paraId="27D1FCF4"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0.28%</w:t>
            </w:r>
            <w:r w:rsidRPr="00657865" w:rsidDel="00FB41CB">
              <w:rPr>
                <w:rFonts w:ascii="Arial Narrow" w:hAnsi="Arial Narrow"/>
                <w:sz w:val="18"/>
                <w:szCs w:val="18"/>
              </w:rPr>
              <w:t xml:space="preserve"> </w:t>
            </w:r>
            <w:r w:rsidRPr="00657865">
              <w:rPr>
                <w:rFonts w:ascii="Arial Narrow" w:hAnsi="Arial Narrow"/>
                <w:sz w:val="18"/>
                <w:szCs w:val="18"/>
              </w:rPr>
              <w:t>(Ag)</w:t>
            </w:r>
          </w:p>
        </w:tc>
        <w:tc>
          <w:tcPr>
            <w:tcW w:w="1440" w:type="dxa"/>
            <w:tcBorders>
              <w:top w:val="single" w:sz="12" w:space="0" w:color="95D600" w:themeColor="accent1"/>
            </w:tcBorders>
            <w:hideMark/>
          </w:tcPr>
          <w:p w14:paraId="3DE1F701"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rPr>
            </w:pPr>
            <w:r w:rsidRPr="00657865">
              <w:rPr>
                <w:rFonts w:ascii="Arial Narrow" w:hAnsi="Arial Narrow" w:cs="Calibri"/>
                <w:sz w:val="18"/>
                <w:szCs w:val="18"/>
              </w:rPr>
              <w:t>0.17% (Ind)</w:t>
            </w:r>
          </w:p>
          <w:p w14:paraId="20CDBD74"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1.19%</w:t>
            </w:r>
            <w:r w:rsidRPr="00657865" w:rsidDel="00FB41CB">
              <w:rPr>
                <w:rFonts w:ascii="Arial Narrow" w:hAnsi="Arial Narrow"/>
                <w:sz w:val="18"/>
                <w:szCs w:val="18"/>
              </w:rPr>
              <w:t xml:space="preserve"> </w:t>
            </w:r>
            <w:r w:rsidRPr="00657865">
              <w:rPr>
                <w:rFonts w:ascii="Arial Narrow" w:hAnsi="Arial Narrow"/>
                <w:sz w:val="18"/>
                <w:szCs w:val="18"/>
              </w:rPr>
              <w:t>(Ag)</w:t>
            </w:r>
          </w:p>
        </w:tc>
        <w:tc>
          <w:tcPr>
            <w:tcW w:w="752" w:type="dxa"/>
            <w:tcBorders>
              <w:top w:val="single" w:sz="12" w:space="0" w:color="95D600" w:themeColor="accent1"/>
            </w:tcBorders>
            <w:hideMark/>
          </w:tcPr>
          <w:p w14:paraId="0FE9C7B0"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$0.33 </w:t>
            </w:r>
          </w:p>
        </w:tc>
        <w:tc>
          <w:tcPr>
            <w:tcW w:w="958" w:type="dxa"/>
            <w:tcBorders>
              <w:top w:val="single" w:sz="12" w:space="0" w:color="95D600" w:themeColor="accent1"/>
            </w:tcBorders>
            <w:hideMark/>
          </w:tcPr>
          <w:p w14:paraId="169E556D"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highlight w:val="red"/>
              </w:rPr>
            </w:pPr>
            <w:r w:rsidRPr="00657865">
              <w:rPr>
                <w:rFonts w:ascii="Arial Narrow" w:hAnsi="Arial Narrow"/>
                <w:sz w:val="18"/>
                <w:szCs w:val="18"/>
              </w:rPr>
              <w:t>$2.25</w:t>
            </w:r>
          </w:p>
        </w:tc>
        <w:tc>
          <w:tcPr>
            <w:tcW w:w="1196" w:type="dxa"/>
            <w:tcBorders>
              <w:top w:val="single" w:sz="12" w:space="0" w:color="95D600" w:themeColor="accent1"/>
            </w:tcBorders>
            <w:hideMark/>
          </w:tcPr>
          <w:p w14:paraId="533FE9B3"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0.000195</w:t>
            </w:r>
          </w:p>
        </w:tc>
      </w:tr>
    </w:tbl>
    <w:p w14:paraId="3EA04B57" w14:textId="77777777" w:rsidR="002D74A6" w:rsidRDefault="002D74A6" w:rsidP="002D74A6">
      <w:pPr>
        <w:pStyle w:val="Source"/>
      </w:pPr>
      <w:r w:rsidRPr="00095E9B">
        <w:lastRenderedPageBreak/>
        <w:t>Source:</w:t>
      </w:r>
      <w:r w:rsidR="00A463AB" w:rsidRPr="00095E9B">
        <w:t xml:space="preserve"> Navigant team analysis</w:t>
      </w:r>
      <w:r w:rsidR="00A463AB">
        <w:t xml:space="preserve"> </w:t>
      </w:r>
    </w:p>
    <w:p w14:paraId="267714F6" w14:textId="77777777" w:rsidR="002D74A6" w:rsidRDefault="002D74A6" w:rsidP="002D74A6">
      <w:pPr>
        <w:rPr>
          <w:szCs w:val="20"/>
        </w:rPr>
      </w:pPr>
      <w:r>
        <w:t>Applicability of generic customer measures in the industrial and agricultural sectors is 100% because these measures are considered ubiquitous to all activities in all market segments. Because the forecasting approach assumes generic custom measures will produce a static level of savings each year</w:t>
      </w:r>
      <w:r>
        <w:rPr>
          <w:szCs w:val="20"/>
        </w:rPr>
        <w:t>, penetration rates are meant to ultimately reflect current savings levels and do not vary over the forecast period.</w:t>
      </w:r>
      <w:r w:rsidR="007238A0" w:rsidRPr="007238A0">
        <w:t xml:space="preserve"> </w:t>
      </w:r>
      <w:r w:rsidR="007238A0" w:rsidRPr="007238A0">
        <w:rPr>
          <w:szCs w:val="20"/>
        </w:rPr>
        <w:t>Penetration rates were held constant over the forecast horizon because industrial facilities continually upgrade equipment and processes and it is likely that generic custom measures will be installed at the same rate as past program activity.</w:t>
      </w:r>
    </w:p>
    <w:p w14:paraId="416BD85D" w14:textId="77777777" w:rsidR="007238A0" w:rsidRDefault="0097308A" w:rsidP="0097308A">
      <w:pPr>
        <w:rPr>
          <w:szCs w:val="20"/>
        </w:rPr>
      </w:pPr>
      <w:r w:rsidRPr="00356E4C">
        <w:rPr>
          <w:szCs w:val="20"/>
        </w:rPr>
        <w:t xml:space="preserve">Savings from generic custom measures are based on an analysis of portfolio level savings from data available through the California </w:t>
      </w:r>
      <w:r w:rsidR="0025094E">
        <w:t>EEStats</w:t>
      </w:r>
      <w:r w:rsidRPr="00356E4C">
        <w:rPr>
          <w:szCs w:val="20"/>
        </w:rPr>
        <w:t xml:space="preserve"> portal</w:t>
      </w:r>
      <w:r w:rsidRPr="00356E4C">
        <w:rPr>
          <w:rStyle w:val="FootnoteReference"/>
          <w:szCs w:val="20"/>
        </w:rPr>
        <w:footnoteReference w:id="76"/>
      </w:r>
      <w:r w:rsidRPr="00356E4C">
        <w:rPr>
          <w:szCs w:val="20"/>
        </w:rPr>
        <w:t xml:space="preserve"> for programs operating from 2006 through 2015. Over this period, generic custom measures contributed 42% of industrial and 62% of agricultural sector net electricity savings, with similar percentage contributions for natural gas.</w:t>
      </w:r>
      <w:r w:rsidR="00E372D9">
        <w:rPr>
          <w:szCs w:val="20"/>
        </w:rPr>
        <w:t xml:space="preserve"> Navigant based </w:t>
      </w:r>
      <w:r w:rsidR="00E372D9" w:rsidRPr="00356E4C">
        <w:rPr>
          <w:szCs w:val="20"/>
        </w:rPr>
        <w:t xml:space="preserve">the savings values in the 2018 PG model on an analysis of generic custom measures savings in </w:t>
      </w:r>
      <w:r w:rsidR="00E372D9">
        <w:rPr>
          <w:szCs w:val="20"/>
        </w:rPr>
        <w:t xml:space="preserve">EEStats for </w:t>
      </w:r>
      <w:r w:rsidR="00E372D9" w:rsidRPr="00356E4C">
        <w:rPr>
          <w:szCs w:val="20"/>
        </w:rPr>
        <w:t>the 2013 and 2014 program years</w:t>
      </w:r>
      <w:r w:rsidR="00E372D9">
        <w:rPr>
          <w:szCs w:val="20"/>
        </w:rPr>
        <w:t>.</w:t>
      </w:r>
      <w:r w:rsidR="007238A0">
        <w:rPr>
          <w:szCs w:val="20"/>
        </w:rPr>
        <w:t xml:space="preserve"> </w:t>
      </w:r>
      <w:r w:rsidR="007238A0" w:rsidRPr="007238A0">
        <w:rPr>
          <w:szCs w:val="20"/>
        </w:rPr>
        <w:t xml:space="preserve">Data for these program years provided the level of detail necessary to separate </w:t>
      </w:r>
      <w:r w:rsidR="00617FE0">
        <w:rPr>
          <w:szCs w:val="20"/>
        </w:rPr>
        <w:t xml:space="preserve">generic custom </w:t>
      </w:r>
      <w:r w:rsidR="007238A0" w:rsidRPr="007238A0">
        <w:rPr>
          <w:szCs w:val="20"/>
        </w:rPr>
        <w:t>measures from savings attributable to deemed measures, or other custom measures that could be defined and model</w:t>
      </w:r>
      <w:r w:rsidR="007238A0">
        <w:rPr>
          <w:szCs w:val="20"/>
        </w:rPr>
        <w:t>led using a diffusion approach.</w:t>
      </w:r>
    </w:p>
    <w:p w14:paraId="61584E10" w14:textId="77777777" w:rsidR="007238A0" w:rsidRDefault="007238A0" w:rsidP="0097308A">
      <w:pPr>
        <w:rPr>
          <w:szCs w:val="20"/>
        </w:rPr>
      </w:pPr>
    </w:p>
    <w:p w14:paraId="13B79355" w14:textId="77777777" w:rsidR="002D74A6" w:rsidRPr="00356E4C" w:rsidRDefault="007238A0" w:rsidP="0097308A">
      <w:pPr>
        <w:rPr>
          <w:szCs w:val="20"/>
        </w:rPr>
      </w:pPr>
      <w:r w:rsidRPr="007238A0">
        <w:rPr>
          <w:szCs w:val="20"/>
        </w:rPr>
        <w:t>Using historic savings values defined by the analysis of EEStats data and sector level consumption forecasts provided by CEC, the team determined that generic custom measures would save roughly 0.16% and 0.17% of annual Industrial sector electricity and natural gas usage, respectively. Using a similar methodology, Navigant forecasted savings from generic custom measures</w:t>
      </w:r>
      <w:r>
        <w:rPr>
          <w:szCs w:val="20"/>
        </w:rPr>
        <w:t xml:space="preserve"> in the Agricultural sector at </w:t>
      </w:r>
      <w:r w:rsidRPr="007238A0">
        <w:rPr>
          <w:szCs w:val="20"/>
        </w:rPr>
        <w:t xml:space="preserve">0.28% of annual electricity consumption, and 1.19% of annual gas usage. These percentages are used in both the reference or aggressive cases and remain constant throughout the forecast horizon. </w:t>
      </w:r>
      <w:r>
        <w:rPr>
          <w:szCs w:val="20"/>
        </w:rPr>
        <w:fldChar w:fldCharType="begin"/>
      </w:r>
      <w:r>
        <w:rPr>
          <w:szCs w:val="20"/>
        </w:rPr>
        <w:instrText xml:space="preserve"> REF _Ref482611464 \r \h </w:instrText>
      </w:r>
      <w:r>
        <w:rPr>
          <w:szCs w:val="20"/>
        </w:rPr>
      </w:r>
      <w:r>
        <w:rPr>
          <w:szCs w:val="20"/>
        </w:rPr>
        <w:fldChar w:fldCharType="separate"/>
      </w:r>
      <w:r w:rsidR="00C407F4">
        <w:rPr>
          <w:szCs w:val="20"/>
        </w:rPr>
        <w:t>4.2Appendix E</w:t>
      </w:r>
      <w:r>
        <w:rPr>
          <w:szCs w:val="20"/>
        </w:rPr>
        <w:fldChar w:fldCharType="end"/>
      </w:r>
      <w:r w:rsidRPr="007238A0">
        <w:rPr>
          <w:szCs w:val="20"/>
        </w:rPr>
        <w:t xml:space="preserve"> provides addition details on the </w:t>
      </w:r>
      <w:r w:rsidR="00617FE0">
        <w:rPr>
          <w:szCs w:val="20"/>
        </w:rPr>
        <w:t>generic custom</w:t>
      </w:r>
      <w:r w:rsidRPr="007238A0">
        <w:rPr>
          <w:szCs w:val="20"/>
        </w:rPr>
        <w:t xml:space="preserve"> analysis and forecast methodology.</w:t>
      </w:r>
    </w:p>
    <w:p w14:paraId="049BDD5A" w14:textId="77777777" w:rsidR="007D4A2A" w:rsidRDefault="007D4A2A" w:rsidP="002D74A6">
      <w:pPr>
        <w:rPr>
          <w:szCs w:val="20"/>
        </w:rPr>
      </w:pPr>
    </w:p>
    <w:p w14:paraId="6A878562" w14:textId="77777777" w:rsidR="002D74A6" w:rsidRDefault="008F1039" w:rsidP="002D74A6">
      <w:pPr>
        <w:rPr>
          <w:szCs w:val="20"/>
        </w:rPr>
      </w:pPr>
      <w:r w:rsidRPr="008F1039">
        <w:rPr>
          <w:szCs w:val="20"/>
        </w:rPr>
        <w:t>Navigant</w:t>
      </w:r>
      <w:r>
        <w:rPr>
          <w:szCs w:val="20"/>
        </w:rPr>
        <w:t xml:space="preserve"> based c</w:t>
      </w:r>
      <w:r w:rsidRPr="008261F5">
        <w:rPr>
          <w:szCs w:val="20"/>
        </w:rPr>
        <w:t xml:space="preserve">osts for electricity and natural gas savings </w:t>
      </w:r>
      <w:r>
        <w:rPr>
          <w:szCs w:val="20"/>
        </w:rPr>
        <w:t xml:space="preserve">on an analysis of industrial and agricultural programs operating in California and across the nation throughout 2016. </w:t>
      </w:r>
      <w:r w:rsidR="002D74A6">
        <w:rPr>
          <w:szCs w:val="20"/>
        </w:rPr>
        <w:t>They</w:t>
      </w:r>
      <w:r w:rsidR="002D74A6" w:rsidRPr="008261F5">
        <w:rPr>
          <w:szCs w:val="20"/>
        </w:rPr>
        <w:t xml:space="preserve"> are estimated at $0.</w:t>
      </w:r>
      <w:r w:rsidR="002D74A6">
        <w:rPr>
          <w:szCs w:val="20"/>
        </w:rPr>
        <w:t>33</w:t>
      </w:r>
      <w:r w:rsidR="002D74A6" w:rsidRPr="008261F5">
        <w:rPr>
          <w:szCs w:val="20"/>
        </w:rPr>
        <w:t>/kWh and $</w:t>
      </w:r>
      <w:r w:rsidR="002D74A6">
        <w:rPr>
          <w:szCs w:val="20"/>
        </w:rPr>
        <w:t>2.25</w:t>
      </w:r>
      <w:r w:rsidR="002D74A6" w:rsidRPr="008261F5">
        <w:rPr>
          <w:szCs w:val="20"/>
        </w:rPr>
        <w:t xml:space="preserve">/therm, </w:t>
      </w:r>
      <w:r w:rsidR="002D74A6">
        <w:rPr>
          <w:szCs w:val="20"/>
        </w:rPr>
        <w:t xml:space="preserve">and they are </w:t>
      </w:r>
      <w:r w:rsidR="002D74A6" w:rsidRPr="008261F5">
        <w:rPr>
          <w:szCs w:val="20"/>
        </w:rPr>
        <w:t xml:space="preserve">applied consistently </w:t>
      </w:r>
      <w:r w:rsidR="002D74A6">
        <w:rPr>
          <w:szCs w:val="20"/>
        </w:rPr>
        <w:t>across</w:t>
      </w:r>
      <w:r w:rsidR="002D74A6" w:rsidRPr="008261F5">
        <w:rPr>
          <w:szCs w:val="20"/>
        </w:rPr>
        <w:t xml:space="preserve"> </w:t>
      </w:r>
      <w:r w:rsidR="002D74A6">
        <w:rPr>
          <w:szCs w:val="20"/>
        </w:rPr>
        <w:t>sectors and utilities</w:t>
      </w:r>
      <w:r w:rsidR="007238A0">
        <w:rPr>
          <w:szCs w:val="20"/>
        </w:rPr>
        <w:t xml:space="preserve"> through the 2018 study forecast horizon</w:t>
      </w:r>
      <w:r w:rsidR="002D74A6" w:rsidRPr="008261F5">
        <w:rPr>
          <w:szCs w:val="20"/>
        </w:rPr>
        <w:t>.</w:t>
      </w:r>
    </w:p>
    <w:p w14:paraId="6C14E993" w14:textId="77777777" w:rsidR="002D74A6" w:rsidRDefault="002D74A6" w:rsidP="002D74A6">
      <w:pPr>
        <w:pStyle w:val="Heading3"/>
        <w:keepLines/>
      </w:pPr>
      <w:bookmarkStart w:id="552" w:name="_Ref482620537"/>
      <w:bookmarkStart w:id="553" w:name="_Toc482634293"/>
      <w:bookmarkStart w:id="554" w:name="_Toc482626425"/>
      <w:bookmarkStart w:id="555" w:name="_Toc484092496"/>
      <w:bookmarkStart w:id="556" w:name="_Toc484172700"/>
      <w:bookmarkStart w:id="557" w:name="_Toc484183036"/>
      <w:bookmarkStart w:id="558" w:name="_Toc485126557"/>
      <w:r>
        <w:t>Emerging AIMS Technologies</w:t>
      </w:r>
      <w:bookmarkEnd w:id="552"/>
      <w:bookmarkEnd w:id="553"/>
      <w:bookmarkEnd w:id="554"/>
      <w:bookmarkEnd w:id="555"/>
      <w:bookmarkEnd w:id="556"/>
      <w:bookmarkEnd w:id="557"/>
      <w:bookmarkEnd w:id="558"/>
    </w:p>
    <w:p w14:paraId="79519898" w14:textId="77777777" w:rsidR="002D74A6" w:rsidRDefault="002D74A6" w:rsidP="002D74A6">
      <w:pPr>
        <w:autoSpaceDE w:val="0"/>
        <w:autoSpaceDN w:val="0"/>
        <w:adjustRightInd w:val="0"/>
        <w:spacing w:line="240" w:lineRule="auto"/>
        <w:rPr>
          <w:szCs w:val="20"/>
        </w:rPr>
      </w:pPr>
      <w:r w:rsidRPr="00356E4C">
        <w:rPr>
          <w:szCs w:val="20"/>
        </w:rPr>
        <w:t>New emerging technologies (ET) to reduce energy use and energy demand are continually being introduced in the California marketplace. For the 201</w:t>
      </w:r>
      <w:r w:rsidR="007238A0">
        <w:rPr>
          <w:szCs w:val="20"/>
        </w:rPr>
        <w:t>8 study,</w:t>
      </w:r>
      <w:r w:rsidRPr="00356E4C">
        <w:rPr>
          <w:szCs w:val="20"/>
        </w:rPr>
        <w:t xml:space="preserve"> </w:t>
      </w:r>
      <w:r>
        <w:rPr>
          <w:szCs w:val="20"/>
        </w:rPr>
        <w:t xml:space="preserve">Navigant </w:t>
      </w:r>
      <w:r w:rsidRPr="00356E4C">
        <w:rPr>
          <w:szCs w:val="20"/>
        </w:rPr>
        <w:t>initially identified ap</w:t>
      </w:r>
      <w:r w:rsidR="00BA08BB">
        <w:rPr>
          <w:szCs w:val="20"/>
        </w:rPr>
        <w:t xml:space="preserve">proximately 1,500 potential ETs. These ETs were run through </w:t>
      </w:r>
      <w:r w:rsidR="007238A0">
        <w:rPr>
          <w:szCs w:val="20"/>
        </w:rPr>
        <w:t>a</w:t>
      </w:r>
      <w:r w:rsidR="00BA08BB">
        <w:rPr>
          <w:szCs w:val="20"/>
        </w:rPr>
        <w:t xml:space="preserve"> screening process </w:t>
      </w:r>
      <w:r w:rsidR="005A5DC8">
        <w:rPr>
          <w:szCs w:val="20"/>
        </w:rPr>
        <w:t>to rate e</w:t>
      </w:r>
      <w:r w:rsidR="005A5DC8" w:rsidRPr="000C0B0E">
        <w:rPr>
          <w:szCs w:val="20"/>
        </w:rPr>
        <w:t xml:space="preserve">nergy </w:t>
      </w:r>
      <w:r w:rsidR="005A5DC8">
        <w:rPr>
          <w:szCs w:val="20"/>
        </w:rPr>
        <w:t>t</w:t>
      </w:r>
      <w:r w:rsidR="005A5DC8" w:rsidRPr="000C0B0E">
        <w:rPr>
          <w:szCs w:val="20"/>
        </w:rPr>
        <w:t xml:space="preserve">echnical </w:t>
      </w:r>
      <w:r w:rsidR="005A5DC8">
        <w:rPr>
          <w:szCs w:val="20"/>
        </w:rPr>
        <w:t>p</w:t>
      </w:r>
      <w:r w:rsidR="005A5DC8" w:rsidRPr="000C0B0E">
        <w:rPr>
          <w:szCs w:val="20"/>
        </w:rPr>
        <w:t>otential</w:t>
      </w:r>
      <w:r w:rsidR="005A5DC8">
        <w:rPr>
          <w:szCs w:val="20"/>
        </w:rPr>
        <w:t>, e</w:t>
      </w:r>
      <w:r w:rsidR="005A5DC8" w:rsidRPr="000C0B0E">
        <w:rPr>
          <w:szCs w:val="20"/>
        </w:rPr>
        <w:t xml:space="preserve">nergy </w:t>
      </w:r>
      <w:r w:rsidR="005A5DC8">
        <w:rPr>
          <w:szCs w:val="20"/>
        </w:rPr>
        <w:t>m</w:t>
      </w:r>
      <w:r w:rsidR="005A5DC8" w:rsidRPr="000C0B0E">
        <w:rPr>
          <w:szCs w:val="20"/>
        </w:rPr>
        <w:t xml:space="preserve">arket </w:t>
      </w:r>
      <w:r w:rsidR="005A5DC8">
        <w:rPr>
          <w:szCs w:val="20"/>
        </w:rPr>
        <w:t>p</w:t>
      </w:r>
      <w:r w:rsidR="005A5DC8" w:rsidRPr="000C0B0E">
        <w:rPr>
          <w:szCs w:val="20"/>
        </w:rPr>
        <w:t>otential</w:t>
      </w:r>
      <w:r w:rsidR="005A5DC8">
        <w:rPr>
          <w:szCs w:val="20"/>
        </w:rPr>
        <w:t>, m</w:t>
      </w:r>
      <w:r w:rsidR="005A5DC8" w:rsidRPr="000C0B0E">
        <w:rPr>
          <w:szCs w:val="20"/>
        </w:rPr>
        <w:t xml:space="preserve">arket </w:t>
      </w:r>
      <w:r w:rsidR="005A5DC8">
        <w:rPr>
          <w:szCs w:val="20"/>
        </w:rPr>
        <w:t>r</w:t>
      </w:r>
      <w:r w:rsidR="005A5DC8" w:rsidRPr="000C0B0E">
        <w:rPr>
          <w:szCs w:val="20"/>
        </w:rPr>
        <w:t>isk</w:t>
      </w:r>
      <w:r w:rsidR="005A5DC8">
        <w:rPr>
          <w:szCs w:val="20"/>
        </w:rPr>
        <w:t>, t</w:t>
      </w:r>
      <w:r w:rsidR="005A5DC8" w:rsidRPr="000C0B0E">
        <w:rPr>
          <w:szCs w:val="20"/>
        </w:rPr>
        <w:t xml:space="preserve">echnical </w:t>
      </w:r>
      <w:r w:rsidR="005A5DC8">
        <w:rPr>
          <w:szCs w:val="20"/>
        </w:rPr>
        <w:t>r</w:t>
      </w:r>
      <w:r w:rsidR="005A5DC8" w:rsidRPr="000C0B0E">
        <w:rPr>
          <w:szCs w:val="20"/>
        </w:rPr>
        <w:t>isk</w:t>
      </w:r>
      <w:r w:rsidR="005A5DC8">
        <w:rPr>
          <w:szCs w:val="20"/>
        </w:rPr>
        <w:t>, and u</w:t>
      </w:r>
      <w:r w:rsidR="005A5DC8" w:rsidRPr="000C0B0E">
        <w:rPr>
          <w:szCs w:val="20"/>
        </w:rPr>
        <w:t xml:space="preserve">tility </w:t>
      </w:r>
      <w:r w:rsidR="005A5DC8">
        <w:rPr>
          <w:szCs w:val="20"/>
        </w:rPr>
        <w:t>a</w:t>
      </w:r>
      <w:r w:rsidR="005A5DC8" w:rsidRPr="000C0B0E">
        <w:rPr>
          <w:szCs w:val="20"/>
        </w:rPr>
        <w:t xml:space="preserve">bility to </w:t>
      </w:r>
      <w:r w:rsidR="005A5DC8">
        <w:rPr>
          <w:szCs w:val="20"/>
        </w:rPr>
        <w:t>i</w:t>
      </w:r>
      <w:r w:rsidR="005A5DC8" w:rsidRPr="000C0B0E">
        <w:rPr>
          <w:szCs w:val="20"/>
        </w:rPr>
        <w:t xml:space="preserve">mpact </w:t>
      </w:r>
      <w:r w:rsidR="005A5DC8">
        <w:rPr>
          <w:szCs w:val="20"/>
        </w:rPr>
        <w:t>m</w:t>
      </w:r>
      <w:r w:rsidR="005A5DC8" w:rsidRPr="000C0B0E">
        <w:rPr>
          <w:szCs w:val="20"/>
        </w:rPr>
        <w:t>arket</w:t>
      </w:r>
      <w:r w:rsidR="009D62A9">
        <w:rPr>
          <w:szCs w:val="20"/>
        </w:rPr>
        <w:t xml:space="preserve"> adoption. This process </w:t>
      </w:r>
      <w:r w:rsidRPr="00356E4C">
        <w:rPr>
          <w:szCs w:val="20"/>
        </w:rPr>
        <w:t>ultimately y</w:t>
      </w:r>
      <w:r>
        <w:rPr>
          <w:szCs w:val="20"/>
        </w:rPr>
        <w:t>ielded 169 emerging technology processes</w:t>
      </w:r>
      <w:r>
        <w:rPr>
          <w:rStyle w:val="FootnoteReference"/>
          <w:szCs w:val="20"/>
        </w:rPr>
        <w:footnoteReference w:id="77"/>
      </w:r>
      <w:r w:rsidRPr="00356E4C">
        <w:rPr>
          <w:szCs w:val="20"/>
        </w:rPr>
        <w:t xml:space="preserve"> for final consideration within the model. </w:t>
      </w:r>
      <w:r w:rsidR="00FE1146">
        <w:rPr>
          <w:szCs w:val="20"/>
        </w:rPr>
        <w:t xml:space="preserve">For a summary of the ET literature reviewed, and details on screening process and how this was used to define sub-sector potential, </w:t>
      </w:r>
      <w:r w:rsidRPr="00D92CC2">
        <w:rPr>
          <w:szCs w:val="20"/>
        </w:rPr>
        <w:t xml:space="preserve">see </w:t>
      </w:r>
      <w:r w:rsidR="00D92CC2" w:rsidRPr="00D92CC2">
        <w:rPr>
          <w:szCs w:val="20"/>
        </w:rPr>
        <w:fldChar w:fldCharType="begin"/>
      </w:r>
      <w:r w:rsidR="00D92CC2" w:rsidRPr="00D92CC2">
        <w:rPr>
          <w:szCs w:val="20"/>
        </w:rPr>
        <w:instrText xml:space="preserve"> REF _Ref482611464 \n \h </w:instrText>
      </w:r>
      <w:r w:rsidR="00D92CC2">
        <w:rPr>
          <w:szCs w:val="20"/>
        </w:rPr>
        <w:instrText xml:space="preserve"> \* MERGEFORMAT </w:instrText>
      </w:r>
      <w:r w:rsidR="00D92CC2" w:rsidRPr="00D92CC2">
        <w:rPr>
          <w:szCs w:val="20"/>
        </w:rPr>
      </w:r>
      <w:r w:rsidR="00D92CC2" w:rsidRPr="00D92CC2">
        <w:rPr>
          <w:szCs w:val="20"/>
        </w:rPr>
        <w:fldChar w:fldCharType="separate"/>
      </w:r>
      <w:r w:rsidR="00C407F4">
        <w:rPr>
          <w:szCs w:val="20"/>
        </w:rPr>
        <w:t>Appendix E</w:t>
      </w:r>
      <w:r w:rsidR="00D92CC2" w:rsidRPr="00D92CC2">
        <w:rPr>
          <w:szCs w:val="20"/>
        </w:rPr>
        <w:fldChar w:fldCharType="end"/>
      </w:r>
      <w:r w:rsidRPr="00D92CC2">
        <w:rPr>
          <w:szCs w:val="20"/>
        </w:rPr>
        <w:t>.</w:t>
      </w:r>
      <w:r>
        <w:rPr>
          <w:szCs w:val="20"/>
        </w:rPr>
        <w:t xml:space="preserve"> </w:t>
      </w:r>
    </w:p>
    <w:p w14:paraId="4A580A83" w14:textId="77777777" w:rsidR="002D74A6" w:rsidRDefault="002D74A6" w:rsidP="002D74A6">
      <w:pPr>
        <w:autoSpaceDE w:val="0"/>
        <w:autoSpaceDN w:val="0"/>
        <w:adjustRightInd w:val="0"/>
        <w:spacing w:line="240" w:lineRule="auto"/>
        <w:rPr>
          <w:szCs w:val="20"/>
        </w:rPr>
      </w:pPr>
    </w:p>
    <w:p w14:paraId="2E9810D8" w14:textId="77777777" w:rsidR="002D74A6" w:rsidRDefault="00A93CE5" w:rsidP="002D74A6">
      <w:pPr>
        <w:autoSpaceDE w:val="0"/>
        <w:autoSpaceDN w:val="0"/>
        <w:adjustRightInd w:val="0"/>
        <w:spacing w:line="240" w:lineRule="auto"/>
        <w:rPr>
          <w:szCs w:val="20"/>
        </w:rPr>
      </w:pPr>
      <w:r>
        <w:rPr>
          <w:szCs w:val="20"/>
        </w:rPr>
        <w:fldChar w:fldCharType="begin"/>
      </w:r>
      <w:r>
        <w:rPr>
          <w:szCs w:val="20"/>
        </w:rPr>
        <w:instrText xml:space="preserve"> REF _Ref484634989 \h </w:instrText>
      </w:r>
      <w:r>
        <w:rPr>
          <w:szCs w:val="20"/>
        </w:rPr>
      </w:r>
      <w:r>
        <w:rPr>
          <w:szCs w:val="20"/>
        </w:rPr>
        <w:fldChar w:fldCharType="separate"/>
      </w:r>
      <w:r w:rsidR="00C407F4">
        <w:t xml:space="preserve">Table </w:t>
      </w:r>
      <w:r w:rsidR="00C407F4">
        <w:rPr>
          <w:noProof/>
        </w:rPr>
        <w:t>3</w:t>
      </w:r>
      <w:r w:rsidR="00C407F4">
        <w:noBreakHyphen/>
      </w:r>
      <w:r w:rsidR="00C407F4">
        <w:rPr>
          <w:noProof/>
        </w:rPr>
        <w:t>18</w:t>
      </w:r>
      <w:r>
        <w:rPr>
          <w:szCs w:val="20"/>
        </w:rPr>
        <w:fldChar w:fldCharType="end"/>
      </w:r>
      <w:r>
        <w:rPr>
          <w:szCs w:val="20"/>
        </w:rPr>
        <w:t xml:space="preserve"> </w:t>
      </w:r>
      <w:r w:rsidR="00EA339D">
        <w:rPr>
          <w:szCs w:val="20"/>
        </w:rPr>
        <w:t>summarize</w:t>
      </w:r>
      <w:r w:rsidR="007D4A2A">
        <w:rPr>
          <w:szCs w:val="20"/>
        </w:rPr>
        <w:t xml:space="preserve">s </w:t>
      </w:r>
      <w:r w:rsidR="00EA339D">
        <w:rPr>
          <w:szCs w:val="20"/>
        </w:rPr>
        <w:t>the resulting savings and cost factors.</w:t>
      </w:r>
      <w:r w:rsidR="002D74A6" w:rsidRPr="00356E4C">
        <w:rPr>
          <w:szCs w:val="20"/>
        </w:rPr>
        <w:t xml:space="preserve"> </w:t>
      </w:r>
      <w:r w:rsidR="002D74A6">
        <w:rPr>
          <w:szCs w:val="20"/>
        </w:rPr>
        <w:t>Navigant applied s</w:t>
      </w:r>
      <w:r w:rsidR="002D74A6" w:rsidRPr="00356E4C">
        <w:rPr>
          <w:szCs w:val="20"/>
        </w:rPr>
        <w:t>egment-specific electric and gas savings</w:t>
      </w:r>
      <w:r w:rsidR="002D74A6">
        <w:rPr>
          <w:szCs w:val="20"/>
        </w:rPr>
        <w:t>, as well as c</w:t>
      </w:r>
      <w:r w:rsidR="002D74A6" w:rsidRPr="00356E4C">
        <w:rPr>
          <w:szCs w:val="20"/>
        </w:rPr>
        <w:t xml:space="preserve">osts, EUL, and </w:t>
      </w:r>
      <w:r w:rsidR="002D74A6">
        <w:rPr>
          <w:szCs w:val="20"/>
        </w:rPr>
        <w:t xml:space="preserve">the </w:t>
      </w:r>
      <w:r w:rsidR="002D74A6" w:rsidRPr="00356E4C">
        <w:rPr>
          <w:szCs w:val="20"/>
        </w:rPr>
        <w:t>kW/kWh savings ratio consistently across all utilities.</w:t>
      </w:r>
      <w:r w:rsidR="002D74A6">
        <w:rPr>
          <w:szCs w:val="20"/>
        </w:rPr>
        <w:t xml:space="preserve"> </w:t>
      </w:r>
    </w:p>
    <w:p w14:paraId="1ACAEC5D" w14:textId="77777777" w:rsidR="002D74A6" w:rsidRDefault="002D74A6" w:rsidP="002D74A6">
      <w:pPr>
        <w:autoSpaceDE w:val="0"/>
        <w:autoSpaceDN w:val="0"/>
        <w:adjustRightInd w:val="0"/>
        <w:spacing w:line="240" w:lineRule="auto"/>
        <w:rPr>
          <w:szCs w:val="20"/>
        </w:rPr>
      </w:pPr>
    </w:p>
    <w:p w14:paraId="75DA609B" w14:textId="77777777" w:rsidR="002D74A6" w:rsidRPr="00FA3818" w:rsidRDefault="002D74A6" w:rsidP="002D74A6">
      <w:pPr>
        <w:pStyle w:val="Caption"/>
        <w:rPr>
          <w:b w:val="0"/>
        </w:rPr>
      </w:pPr>
      <w:bookmarkStart w:id="559" w:name="_Ref484634989"/>
      <w:bookmarkStart w:id="560" w:name="_Toc482634226"/>
      <w:bookmarkStart w:id="561" w:name="_Toc484436965"/>
      <w:bookmarkStart w:id="562" w:name="_Toc485125676"/>
      <w:r>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18</w:t>
      </w:r>
      <w:r w:rsidR="00272F76">
        <w:rPr>
          <w:noProof/>
        </w:rPr>
        <w:fldChar w:fldCharType="end"/>
      </w:r>
      <w:bookmarkEnd w:id="559"/>
      <w:r>
        <w:t>. Emerging Technologies - Key Assumptions</w:t>
      </w:r>
      <w:bookmarkEnd w:id="560"/>
      <w:bookmarkEnd w:id="561"/>
      <w:bookmarkEnd w:id="562"/>
    </w:p>
    <w:tbl>
      <w:tblPr>
        <w:tblStyle w:val="ListTable3-Accent11"/>
        <w:tblW w:w="9580" w:type="dxa"/>
        <w:tblLook w:val="04A0" w:firstRow="1" w:lastRow="0" w:firstColumn="1" w:lastColumn="0" w:noHBand="0" w:noVBand="1"/>
      </w:tblPr>
      <w:tblGrid>
        <w:gridCol w:w="939"/>
        <w:gridCol w:w="1429"/>
        <w:gridCol w:w="832"/>
        <w:gridCol w:w="1390"/>
        <w:gridCol w:w="1432"/>
        <w:gridCol w:w="804"/>
        <w:gridCol w:w="1347"/>
        <w:gridCol w:w="1407"/>
      </w:tblGrid>
      <w:tr w:rsidR="004A09CC" w:rsidRPr="00657865" w14:paraId="0BD9D385" w14:textId="77777777" w:rsidTr="003E3C9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939" w:type="dxa"/>
            <w:vMerge w:val="restart"/>
            <w:shd w:val="clear" w:color="auto" w:fill="555759" w:themeFill="text2"/>
            <w:hideMark/>
          </w:tcPr>
          <w:p w14:paraId="55B91CAF" w14:textId="77777777" w:rsidR="002D74A6" w:rsidRPr="00657865" w:rsidRDefault="002D74A6" w:rsidP="003E3C94">
            <w:pPr>
              <w:rPr>
                <w:rFonts w:ascii="Arial Narrow" w:hAnsi="Arial Narrow"/>
                <w:b w:val="0"/>
                <w:sz w:val="18"/>
                <w:szCs w:val="18"/>
              </w:rPr>
            </w:pPr>
            <w:r w:rsidRPr="00657865">
              <w:rPr>
                <w:rFonts w:ascii="Arial Narrow" w:hAnsi="Arial Narrow"/>
                <w:sz w:val="18"/>
                <w:szCs w:val="18"/>
              </w:rPr>
              <w:t>Sector</w:t>
            </w:r>
          </w:p>
        </w:tc>
        <w:tc>
          <w:tcPr>
            <w:tcW w:w="1429" w:type="dxa"/>
            <w:vMerge w:val="restart"/>
            <w:shd w:val="clear" w:color="auto" w:fill="555759" w:themeFill="text2"/>
            <w:hideMark/>
          </w:tcPr>
          <w:p w14:paraId="398E4183"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Type</w:t>
            </w:r>
          </w:p>
        </w:tc>
        <w:tc>
          <w:tcPr>
            <w:tcW w:w="832" w:type="dxa"/>
            <w:vMerge w:val="restart"/>
            <w:shd w:val="clear" w:color="auto" w:fill="555759" w:themeFill="text2"/>
            <w:hideMark/>
          </w:tcPr>
          <w:p w14:paraId="21741390"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EUL years</w:t>
            </w:r>
          </w:p>
        </w:tc>
        <w:tc>
          <w:tcPr>
            <w:tcW w:w="2822" w:type="dxa"/>
            <w:gridSpan w:val="2"/>
            <w:tcBorders>
              <w:bottom w:val="single" w:sz="2" w:space="0" w:color="FFFFFF" w:themeColor="background1"/>
            </w:tcBorders>
            <w:shd w:val="clear" w:color="auto" w:fill="555759" w:themeFill="text2"/>
            <w:hideMark/>
          </w:tcPr>
          <w:p w14:paraId="7D1F2E09"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Savings Range</w:t>
            </w:r>
            <w:r w:rsidR="00EA339D" w:rsidRPr="00657865">
              <w:rPr>
                <w:rFonts w:ascii="Arial Narrow" w:hAnsi="Arial Narrow"/>
                <w:sz w:val="18"/>
                <w:szCs w:val="18"/>
              </w:rPr>
              <w:t xml:space="preserve"> (Percent of Building Energy Consumption)</w:t>
            </w:r>
          </w:p>
        </w:tc>
        <w:tc>
          <w:tcPr>
            <w:tcW w:w="2151" w:type="dxa"/>
            <w:gridSpan w:val="2"/>
            <w:tcBorders>
              <w:bottom w:val="single" w:sz="2" w:space="0" w:color="FFFFFF" w:themeColor="background1"/>
            </w:tcBorders>
            <w:shd w:val="clear" w:color="auto" w:fill="555759" w:themeFill="text2"/>
            <w:hideMark/>
          </w:tcPr>
          <w:p w14:paraId="30360E59"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Cost</w:t>
            </w:r>
          </w:p>
        </w:tc>
        <w:tc>
          <w:tcPr>
            <w:tcW w:w="1407" w:type="dxa"/>
            <w:vMerge w:val="restart"/>
            <w:shd w:val="clear" w:color="auto" w:fill="555759" w:themeFill="text2"/>
            <w:hideMark/>
          </w:tcPr>
          <w:p w14:paraId="24D14892"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kW/kWh Savings Ratio</w:t>
            </w:r>
          </w:p>
        </w:tc>
      </w:tr>
      <w:tr w:rsidR="004A09CC" w:rsidRPr="00657865" w14:paraId="20A2D707" w14:textId="77777777" w:rsidTr="003E3C9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39" w:type="dxa"/>
            <w:vMerge/>
            <w:tcBorders>
              <w:bottom w:val="single" w:sz="12" w:space="0" w:color="95D600" w:themeColor="accent1"/>
            </w:tcBorders>
            <w:hideMark/>
          </w:tcPr>
          <w:p w14:paraId="3E945DEC" w14:textId="77777777" w:rsidR="002D74A6" w:rsidRPr="00657865" w:rsidRDefault="002D74A6" w:rsidP="003E3C94">
            <w:pPr>
              <w:rPr>
                <w:rFonts w:ascii="Arial Narrow" w:hAnsi="Arial Narrow"/>
                <w:sz w:val="18"/>
                <w:szCs w:val="18"/>
              </w:rPr>
            </w:pPr>
          </w:p>
        </w:tc>
        <w:tc>
          <w:tcPr>
            <w:tcW w:w="1429" w:type="dxa"/>
            <w:vMerge/>
            <w:tcBorders>
              <w:bottom w:val="single" w:sz="12" w:space="0" w:color="95D600" w:themeColor="accent1"/>
            </w:tcBorders>
            <w:hideMark/>
          </w:tcPr>
          <w:p w14:paraId="5CE400F2"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832" w:type="dxa"/>
            <w:vMerge/>
            <w:tcBorders>
              <w:bottom w:val="single" w:sz="12" w:space="0" w:color="95D600" w:themeColor="accent1"/>
            </w:tcBorders>
            <w:shd w:val="clear" w:color="auto" w:fill="555759" w:themeFill="text2"/>
            <w:hideMark/>
          </w:tcPr>
          <w:p w14:paraId="3205386E"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90" w:type="dxa"/>
            <w:tcBorders>
              <w:top w:val="single" w:sz="2" w:space="0" w:color="FFFFFF" w:themeColor="background1"/>
              <w:bottom w:val="single" w:sz="12" w:space="0" w:color="95D600" w:themeColor="accent1"/>
            </w:tcBorders>
            <w:shd w:val="clear" w:color="auto" w:fill="555759" w:themeFill="text2"/>
            <w:hideMark/>
          </w:tcPr>
          <w:p w14:paraId="0D5298C0"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1432" w:type="dxa"/>
            <w:tcBorders>
              <w:top w:val="single" w:sz="2" w:space="0" w:color="FFFFFF" w:themeColor="background1"/>
              <w:bottom w:val="single" w:sz="12" w:space="0" w:color="95D600" w:themeColor="accent1"/>
            </w:tcBorders>
            <w:shd w:val="clear" w:color="auto" w:fill="555759" w:themeFill="text2"/>
            <w:hideMark/>
          </w:tcPr>
          <w:p w14:paraId="34BAA77C"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804" w:type="dxa"/>
            <w:tcBorders>
              <w:top w:val="single" w:sz="2" w:space="0" w:color="FFFFFF" w:themeColor="background1"/>
              <w:bottom w:val="single" w:sz="12" w:space="0" w:color="95D600" w:themeColor="accent1"/>
            </w:tcBorders>
            <w:shd w:val="clear" w:color="auto" w:fill="555759" w:themeFill="text2"/>
            <w:hideMark/>
          </w:tcPr>
          <w:p w14:paraId="77B8208D"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1347" w:type="dxa"/>
            <w:tcBorders>
              <w:top w:val="single" w:sz="2" w:space="0" w:color="FFFFFF" w:themeColor="background1"/>
              <w:bottom w:val="single" w:sz="12" w:space="0" w:color="95D600" w:themeColor="accent1"/>
            </w:tcBorders>
            <w:shd w:val="clear" w:color="auto" w:fill="555759" w:themeFill="text2"/>
            <w:hideMark/>
          </w:tcPr>
          <w:p w14:paraId="6DC5BFA0"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1407" w:type="dxa"/>
            <w:vMerge/>
            <w:tcBorders>
              <w:bottom w:val="single" w:sz="12" w:space="0" w:color="95D600" w:themeColor="accent1"/>
            </w:tcBorders>
            <w:hideMark/>
          </w:tcPr>
          <w:p w14:paraId="56554772"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r w:rsidR="002D74A6" w:rsidRPr="00657865" w14:paraId="306794F9" w14:textId="77777777" w:rsidTr="00110120">
        <w:trPr>
          <w:trHeight w:val="738"/>
        </w:trPr>
        <w:tc>
          <w:tcPr>
            <w:cnfStyle w:val="001000000000" w:firstRow="0" w:lastRow="0" w:firstColumn="1" w:lastColumn="0" w:oddVBand="0" w:evenVBand="0" w:oddHBand="0" w:evenHBand="0" w:firstRowFirstColumn="0" w:firstRowLastColumn="0" w:lastRowFirstColumn="0" w:lastRowLastColumn="0"/>
            <w:tcW w:w="939" w:type="dxa"/>
            <w:tcBorders>
              <w:top w:val="single" w:sz="12" w:space="0" w:color="95D600" w:themeColor="accent1"/>
            </w:tcBorders>
            <w:hideMark/>
          </w:tcPr>
          <w:p w14:paraId="221FEFA0" w14:textId="77777777" w:rsidR="002D74A6" w:rsidRPr="00657865" w:rsidRDefault="002D74A6" w:rsidP="003E3C94">
            <w:pPr>
              <w:rPr>
                <w:rFonts w:ascii="Arial Narrow" w:hAnsi="Arial Narrow"/>
                <w:sz w:val="18"/>
                <w:szCs w:val="18"/>
              </w:rPr>
            </w:pPr>
            <w:r w:rsidRPr="00657865">
              <w:rPr>
                <w:rFonts w:ascii="Arial Narrow" w:hAnsi="Arial Narrow"/>
                <w:sz w:val="18"/>
                <w:szCs w:val="18"/>
              </w:rPr>
              <w:t>AIMS</w:t>
            </w:r>
          </w:p>
        </w:tc>
        <w:tc>
          <w:tcPr>
            <w:tcW w:w="1429" w:type="dxa"/>
            <w:tcBorders>
              <w:top w:val="single" w:sz="12" w:space="0" w:color="95D600" w:themeColor="accent1"/>
            </w:tcBorders>
            <w:hideMark/>
          </w:tcPr>
          <w:p w14:paraId="3E389CED"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Emerging Technologies</w:t>
            </w:r>
          </w:p>
        </w:tc>
        <w:tc>
          <w:tcPr>
            <w:tcW w:w="832" w:type="dxa"/>
            <w:tcBorders>
              <w:top w:val="single" w:sz="12" w:space="0" w:color="95D600" w:themeColor="accent1"/>
            </w:tcBorders>
            <w:hideMark/>
          </w:tcPr>
          <w:p w14:paraId="1CE8F4BC"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15</w:t>
            </w:r>
          </w:p>
        </w:tc>
        <w:tc>
          <w:tcPr>
            <w:tcW w:w="1390" w:type="dxa"/>
            <w:tcBorders>
              <w:top w:val="single" w:sz="12" w:space="0" w:color="95D600" w:themeColor="accent1"/>
            </w:tcBorders>
            <w:hideMark/>
          </w:tcPr>
          <w:p w14:paraId="30019276"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0.18% - 4.8%</w:t>
            </w:r>
          </w:p>
        </w:tc>
        <w:tc>
          <w:tcPr>
            <w:tcW w:w="1432" w:type="dxa"/>
            <w:tcBorders>
              <w:top w:val="single" w:sz="12" w:space="0" w:color="95D600" w:themeColor="accent1"/>
            </w:tcBorders>
            <w:hideMark/>
          </w:tcPr>
          <w:p w14:paraId="475C7B41"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0.44% - 9.5%</w:t>
            </w:r>
          </w:p>
        </w:tc>
        <w:tc>
          <w:tcPr>
            <w:tcW w:w="804" w:type="dxa"/>
            <w:tcBorders>
              <w:top w:val="single" w:sz="12" w:space="0" w:color="95D600" w:themeColor="accent1"/>
            </w:tcBorders>
            <w:hideMark/>
          </w:tcPr>
          <w:p w14:paraId="41F143E8"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$0.42 </w:t>
            </w:r>
          </w:p>
        </w:tc>
        <w:tc>
          <w:tcPr>
            <w:tcW w:w="1347" w:type="dxa"/>
            <w:tcBorders>
              <w:top w:val="single" w:sz="12" w:space="0" w:color="95D600" w:themeColor="accent1"/>
            </w:tcBorders>
            <w:hideMark/>
          </w:tcPr>
          <w:p w14:paraId="5FC6E635"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highlight w:val="red"/>
              </w:rPr>
            </w:pPr>
            <w:r w:rsidRPr="00657865">
              <w:rPr>
                <w:rFonts w:ascii="Arial Narrow" w:hAnsi="Arial Narrow"/>
                <w:sz w:val="18"/>
                <w:szCs w:val="18"/>
              </w:rPr>
              <w:t>$2.83</w:t>
            </w:r>
          </w:p>
        </w:tc>
        <w:tc>
          <w:tcPr>
            <w:tcW w:w="1407" w:type="dxa"/>
            <w:tcBorders>
              <w:top w:val="single" w:sz="12" w:space="0" w:color="95D600" w:themeColor="accent1"/>
            </w:tcBorders>
            <w:hideMark/>
          </w:tcPr>
          <w:p w14:paraId="6C7A71AB"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0.000195</w:t>
            </w:r>
          </w:p>
        </w:tc>
      </w:tr>
    </w:tbl>
    <w:p w14:paraId="10CAE502" w14:textId="77777777" w:rsidR="007D4A2A" w:rsidRDefault="007D4A2A" w:rsidP="007D4A2A"/>
    <w:p w14:paraId="52C03B51" w14:textId="77777777" w:rsidR="002D74A6" w:rsidRDefault="002D74A6" w:rsidP="007D4A2A">
      <w:r>
        <w:t>Emerging technologies apply to different industrial and agricultural sectors in varying degrees. However, because Navigant conducted sector-specific technology applicability calculations during the screening process, the team assign</w:t>
      </w:r>
      <w:r w:rsidR="00EA339D">
        <w:t>ed</w:t>
      </w:r>
      <w:r>
        <w:t xml:space="preserve"> each sector a 100% eligibility factor for modeling purposes. This was possible because the forecasted savings for that sector are derived only from those technologies that are relevant to the end uses within that respective industrial or agricultural sector. </w:t>
      </w:r>
    </w:p>
    <w:p w14:paraId="33B0781B" w14:textId="77777777" w:rsidR="007D4A2A" w:rsidRDefault="007D4A2A" w:rsidP="007D4A2A">
      <w:pPr>
        <w:rPr>
          <w:szCs w:val="20"/>
        </w:rPr>
      </w:pPr>
    </w:p>
    <w:p w14:paraId="13FC69F2" w14:textId="77777777" w:rsidR="002D74A6" w:rsidRDefault="00FE1146" w:rsidP="007D4A2A">
      <w:pPr>
        <w:rPr>
          <w:szCs w:val="20"/>
        </w:rPr>
      </w:pPr>
      <w:r>
        <w:rPr>
          <w:szCs w:val="20"/>
        </w:rPr>
        <w:t>Electric savings range from 0.18</w:t>
      </w:r>
      <w:r w:rsidRPr="0044100C">
        <w:rPr>
          <w:szCs w:val="20"/>
        </w:rPr>
        <w:t>%</w:t>
      </w:r>
      <w:r>
        <w:rPr>
          <w:szCs w:val="20"/>
        </w:rPr>
        <w:t xml:space="preserve"> to 4.8</w:t>
      </w:r>
      <w:r w:rsidRPr="0044100C">
        <w:rPr>
          <w:szCs w:val="20"/>
        </w:rPr>
        <w:t>%</w:t>
      </w:r>
      <w:r>
        <w:rPr>
          <w:szCs w:val="20"/>
        </w:rPr>
        <w:t>, with an average of 1.74%.</w:t>
      </w:r>
      <w:r w:rsidR="00914FC1">
        <w:rPr>
          <w:szCs w:val="20"/>
        </w:rPr>
        <w:t xml:space="preserve"> Natural g</w:t>
      </w:r>
      <w:r>
        <w:rPr>
          <w:szCs w:val="20"/>
        </w:rPr>
        <w:t xml:space="preserve">as savings </w:t>
      </w:r>
      <w:r w:rsidRPr="00B86184">
        <w:rPr>
          <w:szCs w:val="20"/>
        </w:rPr>
        <w:t xml:space="preserve">range from </w:t>
      </w:r>
      <w:r w:rsidR="00914FC1">
        <w:rPr>
          <w:szCs w:val="20"/>
        </w:rPr>
        <w:t xml:space="preserve">0.44% </w:t>
      </w:r>
      <w:r w:rsidRPr="00B86184">
        <w:rPr>
          <w:szCs w:val="20"/>
        </w:rPr>
        <w:t>to 9.</w:t>
      </w:r>
      <w:r w:rsidR="00914FC1">
        <w:rPr>
          <w:szCs w:val="20"/>
        </w:rPr>
        <w:t>5</w:t>
      </w:r>
      <w:r w:rsidRPr="00B86184">
        <w:rPr>
          <w:szCs w:val="20"/>
        </w:rPr>
        <w:t xml:space="preserve">%, with an average of 3.99%. </w:t>
      </w:r>
    </w:p>
    <w:p w14:paraId="55791CFD" w14:textId="77777777" w:rsidR="002D74A6" w:rsidRDefault="002D74A6" w:rsidP="007D4A2A">
      <w:pPr>
        <w:rPr>
          <w:szCs w:val="20"/>
        </w:rPr>
      </w:pPr>
    </w:p>
    <w:p w14:paraId="2259F8F8" w14:textId="77777777" w:rsidR="002D74A6" w:rsidRDefault="002D74A6" w:rsidP="007D4A2A">
      <w:r w:rsidRPr="00FD415E">
        <w:t xml:space="preserve">The model uses </w:t>
      </w:r>
      <w:r>
        <w:t>a universal</w:t>
      </w:r>
      <w:r w:rsidRPr="00FD415E">
        <w:t xml:space="preserve"> EUL of 15 years to accommodate </w:t>
      </w:r>
      <w:r>
        <w:t xml:space="preserve">the broad range of </w:t>
      </w:r>
      <w:r w:rsidRPr="00FD415E">
        <w:t xml:space="preserve">emerging technology adoption curves. </w:t>
      </w:r>
      <w:r>
        <w:t>Similarly, a universal</w:t>
      </w:r>
      <w:r w:rsidRPr="00FD415E">
        <w:t xml:space="preserve"> 0.000195</w:t>
      </w:r>
      <w:r>
        <w:t xml:space="preserve"> </w:t>
      </w:r>
      <w:r w:rsidRPr="00FD415E">
        <w:rPr>
          <w:szCs w:val="20"/>
        </w:rPr>
        <w:t xml:space="preserve">ratio of kW to kWh </w:t>
      </w:r>
      <w:r w:rsidRPr="00FD415E">
        <w:t>was applied to all three electric utilities. This is same value used for SEM, and it based on an analysis of several third-party SEM programs operating in California during the 2014-2015 portfolio cycle.</w:t>
      </w:r>
      <w:r>
        <w:t xml:space="preserve"> Actual ET-specific EULs and kW/kWh are presently unknown and </w:t>
      </w:r>
      <w:r w:rsidR="009D62A9">
        <w:t>can</w:t>
      </w:r>
      <w:r>
        <w:t xml:space="preserve"> be refined during future </w:t>
      </w:r>
      <w:r w:rsidR="009D62A9">
        <w:t>ET market studies as</w:t>
      </w:r>
      <w:r w:rsidRPr="00FD415E">
        <w:t xml:space="preserve"> additional information becomes available.</w:t>
      </w:r>
    </w:p>
    <w:p w14:paraId="70B0FA83" w14:textId="77777777" w:rsidR="007D4A2A" w:rsidRPr="00FD415E" w:rsidRDefault="007D4A2A" w:rsidP="007D4A2A">
      <w:pPr>
        <w:rPr>
          <w:szCs w:val="20"/>
        </w:rPr>
      </w:pPr>
    </w:p>
    <w:p w14:paraId="50876B2D" w14:textId="77777777" w:rsidR="00EA339D" w:rsidRDefault="00EA339D" w:rsidP="007D4A2A">
      <w:r>
        <w:t xml:space="preserve">Adoption of future ETs will vary by technology. Some ETs will gain widespread customer acceptance and capture broad market share based on price, energy savings, and other customer-driven factors, while other ETs will see a more limited adoption. Although Navigant assigned unique risk factors to each new technology during the screening process, it is impossible to definitively predetermine which technology will be successful. Therefore, the model considers all emerging technologies in aggregate and applies a consistent participation rate to all ETs. As such, penetration forecasts for both the industrial and agricultural sectors begin with a saturation level of 1% for the reference case and follow a compound annual growth rate of 2.95%, yielding a target saturation of </w:t>
      </w:r>
      <w:r w:rsidRPr="00550C38">
        <w:t>21.17%</w:t>
      </w:r>
      <w:r>
        <w:t xml:space="preserve"> by 2030. The 2030 target saturation of the portfolio of AIMS relevant ETs of approximately 20% is an estimate that acknowledges the timeline over which new technologies move through the adoption cycle to reach 80% saturation (typically ranging from 10 to 30 years), and the relatively slow turnover of the diverse set of production equipment associated with many industrial processes.</w:t>
      </w:r>
    </w:p>
    <w:p w14:paraId="7627734A" w14:textId="77777777" w:rsidR="007D4A2A" w:rsidRDefault="007D4A2A" w:rsidP="007D4A2A">
      <w:pPr>
        <w:rPr>
          <w:szCs w:val="20"/>
        </w:rPr>
      </w:pPr>
    </w:p>
    <w:p w14:paraId="627EC4D5" w14:textId="77777777" w:rsidR="002D74A6" w:rsidRDefault="00FE1146" w:rsidP="007D4A2A">
      <w:pPr>
        <w:rPr>
          <w:szCs w:val="20"/>
        </w:rPr>
      </w:pPr>
      <w:r>
        <w:rPr>
          <w:szCs w:val="20"/>
        </w:rPr>
        <w:t>Navigant estimated c</w:t>
      </w:r>
      <w:r w:rsidRPr="008261F5">
        <w:rPr>
          <w:szCs w:val="20"/>
        </w:rPr>
        <w:t xml:space="preserve">osts for electricity and natural gas </w:t>
      </w:r>
      <w:r>
        <w:rPr>
          <w:szCs w:val="20"/>
        </w:rPr>
        <w:t xml:space="preserve">ET </w:t>
      </w:r>
      <w:r w:rsidRPr="008261F5">
        <w:rPr>
          <w:szCs w:val="20"/>
        </w:rPr>
        <w:t xml:space="preserve">savings </w:t>
      </w:r>
      <w:r>
        <w:rPr>
          <w:szCs w:val="20"/>
        </w:rPr>
        <w:t xml:space="preserve">based on an analysis of industrial and agricultural programs operating throughout 2016. </w:t>
      </w:r>
      <w:r w:rsidRPr="00EB5927">
        <w:rPr>
          <w:szCs w:val="20"/>
        </w:rPr>
        <w:t xml:space="preserve">Costs for electricity and natural gas savings are estimated at $0.42/kWh and $2.83/therm, and are applied consistently for all utilities and across all industrial and agricultural </w:t>
      </w:r>
      <w:r w:rsidRPr="00FE1146">
        <w:rPr>
          <w:szCs w:val="20"/>
        </w:rPr>
        <w:t xml:space="preserve">sectors. Additional information on the methodology used to derives UES values and costs for ET measure can be found in </w:t>
      </w:r>
      <w:r w:rsidRPr="00FE1146">
        <w:rPr>
          <w:szCs w:val="20"/>
        </w:rPr>
        <w:fldChar w:fldCharType="begin"/>
      </w:r>
      <w:r w:rsidRPr="00FE1146">
        <w:rPr>
          <w:szCs w:val="20"/>
        </w:rPr>
        <w:instrText xml:space="preserve"> REF _Ref482611464 \n \h </w:instrText>
      </w:r>
      <w:r>
        <w:rPr>
          <w:szCs w:val="20"/>
        </w:rPr>
        <w:instrText xml:space="preserve"> \* MERGEFORMAT </w:instrText>
      </w:r>
      <w:r w:rsidRPr="00FE1146">
        <w:rPr>
          <w:szCs w:val="20"/>
        </w:rPr>
      </w:r>
      <w:r w:rsidRPr="00FE1146">
        <w:rPr>
          <w:szCs w:val="20"/>
        </w:rPr>
        <w:fldChar w:fldCharType="separate"/>
      </w:r>
      <w:r w:rsidR="00C407F4">
        <w:rPr>
          <w:szCs w:val="20"/>
        </w:rPr>
        <w:t>Appendix E</w:t>
      </w:r>
      <w:r w:rsidRPr="00FE1146">
        <w:rPr>
          <w:szCs w:val="20"/>
        </w:rPr>
        <w:fldChar w:fldCharType="end"/>
      </w:r>
      <w:r w:rsidRPr="00FE1146">
        <w:rPr>
          <w:szCs w:val="20"/>
        </w:rPr>
        <w:t>.</w:t>
      </w:r>
    </w:p>
    <w:p w14:paraId="34520F66" w14:textId="77777777" w:rsidR="00412E8E" w:rsidRDefault="00412E8E" w:rsidP="00412E8E">
      <w:pPr>
        <w:pStyle w:val="Heading2"/>
      </w:pPr>
      <w:bookmarkStart w:id="563" w:name="_Toc478990518"/>
      <w:bookmarkStart w:id="564" w:name="_Toc479768596"/>
      <w:bookmarkStart w:id="565" w:name="_Toc482357319"/>
      <w:bookmarkStart w:id="566" w:name="_Toc482634294"/>
      <w:bookmarkStart w:id="567" w:name="_Toc482626426"/>
      <w:bookmarkStart w:id="568" w:name="_Toc484092497"/>
      <w:bookmarkStart w:id="569" w:name="_Toc484172701"/>
      <w:bookmarkStart w:id="570" w:name="_Toc484183037"/>
      <w:bookmarkStart w:id="571" w:name="_Toc485126558"/>
      <w:r>
        <w:t>Whole Building Initiatives</w:t>
      </w:r>
      <w:bookmarkEnd w:id="563"/>
      <w:bookmarkEnd w:id="564"/>
      <w:bookmarkEnd w:id="565"/>
      <w:bookmarkEnd w:id="566"/>
      <w:bookmarkEnd w:id="567"/>
      <w:bookmarkEnd w:id="568"/>
      <w:bookmarkEnd w:id="569"/>
      <w:bookmarkEnd w:id="570"/>
      <w:bookmarkEnd w:id="571"/>
    </w:p>
    <w:p w14:paraId="4B2584BC" w14:textId="4C1A818B" w:rsidR="00412E8E" w:rsidRPr="00CB6DF9" w:rsidRDefault="00412E8E" w:rsidP="007D4A2A">
      <w:r w:rsidRPr="00412E8E">
        <w:t>Whole</w:t>
      </w:r>
      <w:r w:rsidR="003F4F34">
        <w:t xml:space="preserve"> </w:t>
      </w:r>
      <w:r w:rsidRPr="00412E8E">
        <w:t xml:space="preserve">building initiatives aim to deliver savings to residential and commercial customers as a </w:t>
      </w:r>
      <w:r w:rsidR="004610B0">
        <w:t>package</w:t>
      </w:r>
      <w:r w:rsidR="004610B0" w:rsidRPr="00412E8E">
        <w:t xml:space="preserve"> </w:t>
      </w:r>
      <w:r w:rsidRPr="00412E8E">
        <w:t>of multiple efficiency measures that are all installed at th</w:t>
      </w:r>
      <w:r>
        <w:t>e same time. Th</w:t>
      </w:r>
      <w:r w:rsidRPr="00412E8E">
        <w:t>e</w:t>
      </w:r>
      <w:r w:rsidRPr="00412E8E" w:rsidDel="004610B0">
        <w:t xml:space="preserve"> </w:t>
      </w:r>
      <w:r w:rsidR="004610B0" w:rsidRPr="00412E8E">
        <w:t>201</w:t>
      </w:r>
      <w:r w:rsidR="004610B0">
        <w:t>8</w:t>
      </w:r>
      <w:r w:rsidR="004610B0" w:rsidRPr="00412E8E">
        <w:t xml:space="preserve"> </w:t>
      </w:r>
      <w:r w:rsidRPr="00412E8E">
        <w:t xml:space="preserve">Study </w:t>
      </w:r>
      <w:r w:rsidR="003F4F34">
        <w:t xml:space="preserve">models </w:t>
      </w:r>
      <w:r w:rsidRPr="00CB6DF9">
        <w:t>whole</w:t>
      </w:r>
      <w:r w:rsidR="003F4F34">
        <w:t xml:space="preserve"> </w:t>
      </w:r>
      <w:r w:rsidRPr="00CB6DF9">
        <w:t xml:space="preserve">building initiatives </w:t>
      </w:r>
      <w:r w:rsidR="003F4F34">
        <w:t xml:space="preserve">via the technology levels </w:t>
      </w:r>
      <w:r w:rsidRPr="00CB6DF9">
        <w:t xml:space="preserve">indicated in </w:t>
      </w:r>
      <w:r w:rsidR="005C3B4A" w:rsidRPr="005C3B4A">
        <w:fldChar w:fldCharType="begin"/>
      </w:r>
      <w:r w:rsidR="005C3B4A" w:rsidRPr="005C3B4A">
        <w:instrText xml:space="preserve"> REF _Ref482351520 \h </w:instrText>
      </w:r>
      <w:r w:rsidR="005C3B4A">
        <w:instrText xml:space="preserve"> \* MERGEFORMAT </w:instrText>
      </w:r>
      <w:r w:rsidR="005C3B4A" w:rsidRPr="005C3B4A">
        <w:fldChar w:fldCharType="separate"/>
      </w:r>
      <w:r w:rsidR="00C407F4" w:rsidRPr="00CB6DF9">
        <w:t xml:space="preserve">Table </w:t>
      </w:r>
      <w:r w:rsidR="00C407F4">
        <w:rPr>
          <w:noProof/>
        </w:rPr>
        <w:t>3</w:t>
      </w:r>
      <w:r w:rsidR="00C407F4">
        <w:rPr>
          <w:noProof/>
        </w:rPr>
        <w:noBreakHyphen/>
        <w:t>19</w:t>
      </w:r>
      <w:r w:rsidR="005C3B4A" w:rsidRPr="005C3B4A">
        <w:fldChar w:fldCharType="end"/>
      </w:r>
      <w:r w:rsidRPr="005C3B4A">
        <w:t>.</w:t>
      </w:r>
      <w:r w:rsidR="003F4F34">
        <w:t xml:space="preserve"> </w:t>
      </w:r>
      <w:r w:rsidR="004610B0">
        <w:t xml:space="preserve">As described in section </w:t>
      </w:r>
      <w:r w:rsidR="004610B0">
        <w:fldChar w:fldCharType="begin"/>
      </w:r>
      <w:r w:rsidR="004610B0">
        <w:instrText xml:space="preserve"> REF _Ref477347831 \n \h </w:instrText>
      </w:r>
      <w:r w:rsidR="007D4A2A">
        <w:instrText xml:space="preserve"> \* MERGEFORMAT </w:instrText>
      </w:r>
      <w:r w:rsidR="004610B0">
        <w:fldChar w:fldCharType="separate"/>
      </w:r>
      <w:r w:rsidR="00C407F4">
        <w:t>2.1.1.2</w:t>
      </w:r>
      <w:r w:rsidR="004610B0">
        <w:fldChar w:fldCharType="end"/>
      </w:r>
      <w:r w:rsidR="005C3B4A">
        <w:t>,</w:t>
      </w:r>
      <w:r w:rsidR="004610B0">
        <w:t xml:space="preserve"> t</w:t>
      </w:r>
      <w:r w:rsidR="003F4F34">
        <w:t xml:space="preserve">he </w:t>
      </w:r>
      <w:r w:rsidR="003F4F34">
        <w:lastRenderedPageBreak/>
        <w:t xml:space="preserve">technology levels </w:t>
      </w:r>
      <w:r w:rsidR="004610B0">
        <w:t>within the technology group include ex</w:t>
      </w:r>
      <w:r w:rsidR="005C3B4A">
        <w:t>is</w:t>
      </w:r>
      <w:r w:rsidR="004610B0">
        <w:t>t</w:t>
      </w:r>
      <w:r w:rsidR="005C3B4A">
        <w:t>i</w:t>
      </w:r>
      <w:r w:rsidR="004610B0">
        <w:t xml:space="preserve">ng </w:t>
      </w:r>
      <w:r w:rsidR="003F4F34">
        <w:t>baseline</w:t>
      </w:r>
      <w:r w:rsidR="004610B0">
        <w:t xml:space="preserve">, code baseline, </w:t>
      </w:r>
      <w:r w:rsidR="003F4F34">
        <w:t xml:space="preserve">and the efficient result of a whole building initiative. </w:t>
      </w:r>
    </w:p>
    <w:p w14:paraId="7962017A" w14:textId="77777777" w:rsidR="00412E8E" w:rsidRPr="00CB6DF9" w:rsidRDefault="00412E8E" w:rsidP="00412E8E"/>
    <w:p w14:paraId="3FDF95B7" w14:textId="77777777" w:rsidR="00412E8E" w:rsidRPr="00CB6DF9" w:rsidRDefault="00412E8E" w:rsidP="00412E8E">
      <w:pPr>
        <w:pStyle w:val="Caption"/>
      </w:pPr>
      <w:bookmarkStart w:id="572" w:name="_Ref474593561"/>
      <w:bookmarkStart w:id="573" w:name="_Ref482351520"/>
      <w:bookmarkStart w:id="574" w:name="_Toc482634227"/>
      <w:bookmarkStart w:id="575" w:name="_Toc484436966"/>
      <w:bookmarkStart w:id="576" w:name="_Toc485125677"/>
      <w:r w:rsidRPr="00CB6DF9">
        <w:t xml:space="preserve">Table </w:t>
      </w:r>
      <w:bookmarkEnd w:id="572"/>
      <w:r w:rsidR="00C17D59">
        <w:fldChar w:fldCharType="begin"/>
      </w:r>
      <w:r w:rsidR="00C17D59">
        <w:instrText xml:space="preserve"> STYLEREF 1 \s </w:instrText>
      </w:r>
      <w:r w:rsidR="00C17D59">
        <w:fldChar w:fldCharType="separate"/>
      </w:r>
      <w:r w:rsidR="00C407F4">
        <w:rPr>
          <w:noProof/>
        </w:rPr>
        <w:t>3</w:t>
      </w:r>
      <w:r w:rsidR="00C17D59">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19</w:t>
      </w:r>
      <w:r w:rsidR="00272F76">
        <w:rPr>
          <w:noProof/>
        </w:rPr>
        <w:fldChar w:fldCharType="end"/>
      </w:r>
      <w:bookmarkEnd w:id="573"/>
      <w:r w:rsidRPr="00CB6DF9">
        <w:t xml:space="preserve">. </w:t>
      </w:r>
      <w:r w:rsidR="009B63B0">
        <w:t xml:space="preserve">Whole Building </w:t>
      </w:r>
      <w:r w:rsidR="003F4F34">
        <w:t>Technology Levels</w:t>
      </w:r>
      <w:bookmarkEnd w:id="574"/>
      <w:bookmarkEnd w:id="575"/>
      <w:bookmarkEnd w:id="576"/>
    </w:p>
    <w:tbl>
      <w:tblPr>
        <w:tblStyle w:val="EnergyTable1"/>
        <w:tblW w:w="9360" w:type="dxa"/>
        <w:tblLayout w:type="fixed"/>
        <w:tblLook w:val="06A0" w:firstRow="1" w:lastRow="0" w:firstColumn="1" w:lastColumn="0" w:noHBand="1" w:noVBand="1"/>
      </w:tblPr>
      <w:tblGrid>
        <w:gridCol w:w="3120"/>
        <w:gridCol w:w="3120"/>
        <w:gridCol w:w="3120"/>
      </w:tblGrid>
      <w:tr w:rsidR="009B63B0" w:rsidRPr="00657865" w14:paraId="4EB797FB" w14:textId="77777777" w:rsidTr="0011012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20" w:type="dxa"/>
          </w:tcPr>
          <w:p w14:paraId="7F7F52A3" w14:textId="77777777" w:rsidR="009B63B0" w:rsidRPr="00657865" w:rsidRDefault="004610B0" w:rsidP="00CB6DF9">
            <w:pPr>
              <w:keepNext/>
              <w:keepLines/>
              <w:rPr>
                <w:rFonts w:ascii="Arial Narrow" w:hAnsi="Arial Narrow"/>
                <w:sz w:val="18"/>
                <w:szCs w:val="18"/>
              </w:rPr>
            </w:pPr>
            <w:r w:rsidRPr="00657865">
              <w:rPr>
                <w:rFonts w:ascii="Arial Narrow" w:hAnsi="Arial Narrow"/>
                <w:sz w:val="18"/>
                <w:szCs w:val="18"/>
              </w:rPr>
              <w:t>Technology Group</w:t>
            </w:r>
          </w:p>
        </w:tc>
        <w:tc>
          <w:tcPr>
            <w:tcW w:w="3120" w:type="dxa"/>
            <w:noWrap/>
          </w:tcPr>
          <w:p w14:paraId="52922A27" w14:textId="77777777" w:rsidR="009B63B0" w:rsidRPr="00657865" w:rsidRDefault="009B63B0" w:rsidP="00CB6DF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Residential</w:t>
            </w:r>
            <w:r w:rsidR="004610B0" w:rsidRPr="00657865">
              <w:rPr>
                <w:rFonts w:ascii="Arial Narrow" w:hAnsi="Arial Narrow"/>
                <w:sz w:val="18"/>
                <w:szCs w:val="18"/>
              </w:rPr>
              <w:t xml:space="preserve"> Technology Level</w:t>
            </w:r>
          </w:p>
        </w:tc>
        <w:tc>
          <w:tcPr>
            <w:tcW w:w="3120" w:type="dxa"/>
          </w:tcPr>
          <w:p w14:paraId="4C680C95" w14:textId="77777777" w:rsidR="009B63B0" w:rsidRPr="00657865" w:rsidRDefault="009B63B0" w:rsidP="00CB6DF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Commercial</w:t>
            </w:r>
            <w:r w:rsidR="004610B0" w:rsidRPr="00657865">
              <w:rPr>
                <w:rFonts w:ascii="Arial Narrow" w:hAnsi="Arial Narrow"/>
                <w:sz w:val="18"/>
                <w:szCs w:val="18"/>
              </w:rPr>
              <w:t xml:space="preserve"> Technology Level</w:t>
            </w:r>
          </w:p>
        </w:tc>
      </w:tr>
      <w:tr w:rsidR="009B63B0" w:rsidRPr="00657865" w14:paraId="0F2C0C3F"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val="restart"/>
          </w:tcPr>
          <w:p w14:paraId="744E4894" w14:textId="77777777" w:rsidR="009B63B0" w:rsidRPr="00657865" w:rsidRDefault="009B63B0" w:rsidP="009B63B0">
            <w:pPr>
              <w:keepNext/>
              <w:keepLines/>
              <w:rPr>
                <w:rFonts w:ascii="Arial Narrow" w:hAnsi="Arial Narrow"/>
                <w:sz w:val="18"/>
                <w:szCs w:val="18"/>
              </w:rPr>
            </w:pPr>
            <w:r w:rsidRPr="00657865">
              <w:rPr>
                <w:rFonts w:ascii="Arial Narrow" w:hAnsi="Arial Narrow"/>
                <w:sz w:val="18"/>
                <w:szCs w:val="18"/>
              </w:rPr>
              <w:t>New Construction</w:t>
            </w:r>
          </w:p>
        </w:tc>
        <w:tc>
          <w:tcPr>
            <w:tcW w:w="3120" w:type="dxa"/>
            <w:noWrap/>
          </w:tcPr>
          <w:p w14:paraId="7A435225"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2008 Code</w:t>
            </w:r>
          </w:p>
        </w:tc>
        <w:tc>
          <w:tcPr>
            <w:tcW w:w="3120" w:type="dxa"/>
          </w:tcPr>
          <w:p w14:paraId="03B3435D"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2008 Code</w:t>
            </w:r>
          </w:p>
        </w:tc>
      </w:tr>
      <w:tr w:rsidR="009B63B0" w:rsidRPr="00657865" w14:paraId="1D967CF5"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tcPr>
          <w:p w14:paraId="27DE8EFA" w14:textId="77777777" w:rsidR="009B63B0" w:rsidRPr="00657865" w:rsidRDefault="009B63B0" w:rsidP="009B63B0">
            <w:pPr>
              <w:keepNext/>
              <w:keepLines/>
              <w:rPr>
                <w:rFonts w:ascii="Arial Narrow" w:hAnsi="Arial Narrow"/>
                <w:sz w:val="18"/>
                <w:szCs w:val="18"/>
              </w:rPr>
            </w:pPr>
          </w:p>
        </w:tc>
        <w:tc>
          <w:tcPr>
            <w:tcW w:w="3120" w:type="dxa"/>
            <w:noWrap/>
          </w:tcPr>
          <w:p w14:paraId="201FC83E"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2013 Code</w:t>
            </w:r>
          </w:p>
        </w:tc>
        <w:tc>
          <w:tcPr>
            <w:tcW w:w="3120" w:type="dxa"/>
          </w:tcPr>
          <w:p w14:paraId="7E51A792"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2013 Code</w:t>
            </w:r>
          </w:p>
        </w:tc>
      </w:tr>
      <w:tr w:rsidR="009B63B0" w:rsidRPr="00657865" w14:paraId="0C8A703F"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tcPr>
          <w:p w14:paraId="314492A7" w14:textId="77777777" w:rsidR="009B63B0" w:rsidRPr="00657865" w:rsidRDefault="009B63B0" w:rsidP="009B63B0">
            <w:pPr>
              <w:keepNext/>
              <w:keepLines/>
              <w:rPr>
                <w:rFonts w:ascii="Arial Narrow" w:hAnsi="Arial Narrow"/>
                <w:sz w:val="18"/>
                <w:szCs w:val="18"/>
              </w:rPr>
            </w:pPr>
          </w:p>
        </w:tc>
        <w:tc>
          <w:tcPr>
            <w:tcW w:w="3120" w:type="dxa"/>
            <w:noWrap/>
          </w:tcPr>
          <w:p w14:paraId="2EBAEDBB"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2016 Code</w:t>
            </w:r>
          </w:p>
        </w:tc>
        <w:tc>
          <w:tcPr>
            <w:tcW w:w="3120" w:type="dxa"/>
          </w:tcPr>
          <w:p w14:paraId="543EE956"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2016 Code</w:t>
            </w:r>
          </w:p>
        </w:tc>
      </w:tr>
      <w:tr w:rsidR="009B63B0" w:rsidRPr="00657865" w14:paraId="34A3D595"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tcPr>
          <w:p w14:paraId="3600D8DC" w14:textId="77777777" w:rsidR="009B63B0" w:rsidRPr="00657865" w:rsidRDefault="009B63B0" w:rsidP="009B63B0">
            <w:pPr>
              <w:keepNext/>
              <w:keepLines/>
              <w:rPr>
                <w:rFonts w:ascii="Arial Narrow" w:hAnsi="Arial Narrow"/>
                <w:sz w:val="18"/>
                <w:szCs w:val="18"/>
              </w:rPr>
            </w:pPr>
          </w:p>
        </w:tc>
        <w:tc>
          <w:tcPr>
            <w:tcW w:w="3120" w:type="dxa"/>
            <w:noWrap/>
          </w:tcPr>
          <w:p w14:paraId="598C3DB2"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2019 Code</w:t>
            </w:r>
          </w:p>
        </w:tc>
        <w:tc>
          <w:tcPr>
            <w:tcW w:w="3120" w:type="dxa"/>
          </w:tcPr>
          <w:p w14:paraId="7427C455"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2019 Code</w:t>
            </w:r>
          </w:p>
        </w:tc>
      </w:tr>
      <w:tr w:rsidR="009B63B0" w:rsidRPr="00657865" w14:paraId="34B6D36C"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tcPr>
          <w:p w14:paraId="0C4593C4" w14:textId="77777777" w:rsidR="009B63B0" w:rsidRPr="00657865" w:rsidRDefault="009B63B0" w:rsidP="009B63B0">
            <w:pPr>
              <w:keepNext/>
              <w:keepLines/>
              <w:rPr>
                <w:rFonts w:ascii="Arial Narrow" w:hAnsi="Arial Narrow"/>
                <w:sz w:val="18"/>
                <w:szCs w:val="18"/>
              </w:rPr>
            </w:pPr>
          </w:p>
        </w:tc>
        <w:tc>
          <w:tcPr>
            <w:tcW w:w="3120" w:type="dxa"/>
            <w:noWrap/>
          </w:tcPr>
          <w:p w14:paraId="6442897D"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ZNE</w:t>
            </w:r>
          </w:p>
        </w:tc>
        <w:tc>
          <w:tcPr>
            <w:tcW w:w="3120" w:type="dxa"/>
          </w:tcPr>
          <w:p w14:paraId="67A15E98"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ZNE</w:t>
            </w:r>
          </w:p>
        </w:tc>
      </w:tr>
      <w:tr w:rsidR="009B63B0" w:rsidRPr="00657865" w14:paraId="4AAEAAD4"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val="restart"/>
          </w:tcPr>
          <w:p w14:paraId="64D9A6C8" w14:textId="77777777" w:rsidR="009B63B0" w:rsidRPr="00657865" w:rsidRDefault="009B63B0" w:rsidP="009B63B0">
            <w:pPr>
              <w:keepNext/>
              <w:keepLines/>
              <w:rPr>
                <w:rFonts w:ascii="Arial Narrow" w:hAnsi="Arial Narrow"/>
                <w:sz w:val="18"/>
                <w:szCs w:val="18"/>
              </w:rPr>
            </w:pPr>
            <w:r w:rsidRPr="00657865">
              <w:rPr>
                <w:rFonts w:ascii="Arial Narrow" w:hAnsi="Arial Narrow"/>
                <w:sz w:val="18"/>
                <w:szCs w:val="18"/>
              </w:rPr>
              <w:t>Retrofit</w:t>
            </w:r>
          </w:p>
        </w:tc>
        <w:tc>
          <w:tcPr>
            <w:tcW w:w="3120" w:type="dxa"/>
            <w:noWrap/>
          </w:tcPr>
          <w:p w14:paraId="0CE02A9D"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Existing Building – No Retrofit</w:t>
            </w:r>
          </w:p>
        </w:tc>
        <w:tc>
          <w:tcPr>
            <w:tcW w:w="3120" w:type="dxa"/>
          </w:tcPr>
          <w:p w14:paraId="0ECF885A"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Existing Building – No Retrofit</w:t>
            </w:r>
          </w:p>
        </w:tc>
      </w:tr>
      <w:tr w:rsidR="009B63B0" w:rsidRPr="00657865" w14:paraId="0609B981"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tcPr>
          <w:p w14:paraId="29DC6175" w14:textId="77777777" w:rsidR="009B63B0" w:rsidRPr="00657865" w:rsidRDefault="009B63B0" w:rsidP="009B63B0">
            <w:pPr>
              <w:keepNext/>
              <w:keepLines/>
              <w:rPr>
                <w:rFonts w:ascii="Arial Narrow" w:hAnsi="Arial Narrow"/>
                <w:sz w:val="18"/>
                <w:szCs w:val="18"/>
              </w:rPr>
            </w:pPr>
          </w:p>
        </w:tc>
        <w:tc>
          <w:tcPr>
            <w:tcW w:w="3120" w:type="dxa"/>
            <w:noWrap/>
          </w:tcPr>
          <w:p w14:paraId="06938233"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Energy Upgrade CA - Basic</w:t>
            </w:r>
          </w:p>
        </w:tc>
        <w:tc>
          <w:tcPr>
            <w:tcW w:w="3120" w:type="dxa"/>
          </w:tcPr>
          <w:p w14:paraId="63F696F2"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Retrofit – 15% Savings</w:t>
            </w:r>
          </w:p>
        </w:tc>
      </w:tr>
      <w:tr w:rsidR="009B63B0" w:rsidRPr="00657865" w14:paraId="23E51BC2" w14:textId="77777777" w:rsidTr="00110120">
        <w:trPr>
          <w:trHeight w:val="300"/>
        </w:trPr>
        <w:tc>
          <w:tcPr>
            <w:cnfStyle w:val="001000000000" w:firstRow="0" w:lastRow="0" w:firstColumn="1" w:lastColumn="0" w:oddVBand="0" w:evenVBand="0" w:oddHBand="0" w:evenHBand="0" w:firstRowFirstColumn="0" w:firstRowLastColumn="0" w:lastRowFirstColumn="0" w:lastRowLastColumn="0"/>
            <w:tcW w:w="3120" w:type="dxa"/>
            <w:vMerge/>
          </w:tcPr>
          <w:p w14:paraId="3E1E3971" w14:textId="77777777" w:rsidR="009B63B0" w:rsidRPr="00657865" w:rsidRDefault="009B63B0" w:rsidP="009B63B0">
            <w:pPr>
              <w:keepNext/>
              <w:keepLines/>
              <w:rPr>
                <w:rFonts w:ascii="Arial Narrow" w:hAnsi="Arial Narrow"/>
                <w:sz w:val="18"/>
                <w:szCs w:val="18"/>
              </w:rPr>
            </w:pPr>
          </w:p>
        </w:tc>
        <w:tc>
          <w:tcPr>
            <w:tcW w:w="3120" w:type="dxa"/>
            <w:noWrap/>
          </w:tcPr>
          <w:p w14:paraId="288E8B01"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Energy Upgrade CA - Advanced</w:t>
            </w:r>
          </w:p>
        </w:tc>
        <w:tc>
          <w:tcPr>
            <w:tcW w:w="3120" w:type="dxa"/>
          </w:tcPr>
          <w:p w14:paraId="7F776EDD"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bl>
    <w:p w14:paraId="2766A48A" w14:textId="77777777" w:rsidR="00412E8E" w:rsidRPr="00CB6DF9" w:rsidRDefault="00412E8E" w:rsidP="007D4A2A">
      <w:pPr>
        <w:pStyle w:val="Source"/>
        <w:jc w:val="center"/>
      </w:pPr>
      <w:r w:rsidRPr="00CB6DF9">
        <w:t>Source: Navigant team analysis, 2017.</w:t>
      </w:r>
    </w:p>
    <w:p w14:paraId="27C30B6A" w14:textId="77777777" w:rsidR="004A3B26" w:rsidRPr="008567A0" w:rsidRDefault="00A07F57" w:rsidP="00412E8E">
      <w:r>
        <w:t xml:space="preserve">The Navigant team presented measures and methodology overviews at the Demand Analysis Working Group (DAWG) Meeting on November 4, 2016 and requested additional data sources of stakeholders. </w:t>
      </w:r>
      <w:r w:rsidR="008567A0">
        <w:t xml:space="preserve">No additional data sources were provided to support this analysis. </w:t>
      </w:r>
      <w:r w:rsidR="00412E8E" w:rsidRPr="00CB6DF9">
        <w:t xml:space="preserve">The following sections discuss the </w:t>
      </w:r>
      <w:r w:rsidR="00FF140D">
        <w:t xml:space="preserve">technology levels used in the </w:t>
      </w:r>
      <w:r w:rsidR="00BB59F5">
        <w:t>2018</w:t>
      </w:r>
      <w:r w:rsidR="00412E8E" w:rsidRPr="00CB6DF9">
        <w:t xml:space="preserve"> Study. The final values for savings, cost, measure life, and other key model inputs can be found in the MICS spreadsheet.</w:t>
      </w:r>
    </w:p>
    <w:p w14:paraId="0099ADB7" w14:textId="77777777" w:rsidR="00FF140D" w:rsidRDefault="00FF140D" w:rsidP="00412E8E">
      <w:pPr>
        <w:pStyle w:val="Heading3"/>
      </w:pPr>
      <w:bookmarkStart w:id="577" w:name="_Ref478377041"/>
      <w:bookmarkStart w:id="578" w:name="_Toc478990519"/>
      <w:bookmarkStart w:id="579" w:name="_Toc479768597"/>
      <w:bookmarkStart w:id="580" w:name="_Toc482357320"/>
      <w:bookmarkStart w:id="581" w:name="_Toc482634295"/>
      <w:bookmarkStart w:id="582" w:name="_Toc482626427"/>
      <w:bookmarkStart w:id="583" w:name="_Toc484092498"/>
      <w:bookmarkStart w:id="584" w:name="_Toc484172702"/>
      <w:bookmarkStart w:id="585" w:name="_Toc484183038"/>
      <w:bookmarkStart w:id="586" w:name="_Toc485126559"/>
      <w:r>
        <w:t>New Construction</w:t>
      </w:r>
      <w:bookmarkEnd w:id="577"/>
      <w:bookmarkEnd w:id="578"/>
      <w:bookmarkEnd w:id="579"/>
      <w:bookmarkEnd w:id="580"/>
      <w:bookmarkEnd w:id="581"/>
      <w:bookmarkEnd w:id="582"/>
      <w:bookmarkEnd w:id="583"/>
      <w:bookmarkEnd w:id="584"/>
      <w:bookmarkEnd w:id="585"/>
      <w:bookmarkEnd w:id="586"/>
    </w:p>
    <w:p w14:paraId="22A9EE8B" w14:textId="77777777" w:rsidR="003623AB" w:rsidRPr="003623AB" w:rsidRDefault="003623AB" w:rsidP="003623AB">
      <w:r>
        <w:t>The 201</w:t>
      </w:r>
      <w:r w:rsidR="00D55732">
        <w:t>8</w:t>
      </w:r>
      <w:r>
        <w:t xml:space="preserve"> Study refines results to represent each Title 24 code level as it becomes the baseline for ZNE construction as the efficient measure, with energy consumption in absolute terms and costs represented as incremental to 2008 Title 24 levels. </w:t>
      </w:r>
      <w:r w:rsidR="00D55732">
        <w:t xml:space="preserve">Though analysis is ongoing, communications with the CEC indicate that 10 percent energy savings are expected for 2019 Title 24 over 2016 Title 24. </w:t>
      </w:r>
      <w:r>
        <w:t xml:space="preserve"> </w:t>
      </w:r>
    </w:p>
    <w:p w14:paraId="6C3112A7" w14:textId="77777777" w:rsidR="00FF140D" w:rsidRDefault="00661D3D" w:rsidP="00661D3D">
      <w:pPr>
        <w:pStyle w:val="Heading4"/>
      </w:pPr>
      <w:r>
        <w:t>Commercial</w:t>
      </w:r>
    </w:p>
    <w:p w14:paraId="31A572F0" w14:textId="77777777" w:rsidR="002E53FD" w:rsidRDefault="003623AB" w:rsidP="00583EE2">
      <w:r>
        <w:fldChar w:fldCharType="begin"/>
      </w:r>
      <w:r>
        <w:instrText xml:space="preserve"> REF _Ref482351664 \h </w:instrText>
      </w:r>
      <w:r>
        <w:fldChar w:fldCharType="separate"/>
      </w:r>
      <w:r w:rsidR="00C407F4">
        <w:t xml:space="preserve">Table </w:t>
      </w:r>
      <w:r w:rsidR="00C407F4">
        <w:rPr>
          <w:noProof/>
        </w:rPr>
        <w:t>3</w:t>
      </w:r>
      <w:r w:rsidR="00C407F4">
        <w:noBreakHyphen/>
      </w:r>
      <w:r w:rsidR="00C407F4">
        <w:rPr>
          <w:noProof/>
        </w:rPr>
        <w:t>20</w:t>
      </w:r>
      <w:r>
        <w:fldChar w:fldCharType="end"/>
      </w:r>
      <w:r w:rsidR="002E53FD">
        <w:t xml:space="preserve"> provides the sources for the characterization of commercial new construction whole building initiatives. </w:t>
      </w:r>
      <w:r w:rsidR="007D4A2A">
        <w:t xml:space="preserve">These represent the best and usable data sets available to the team at the time of characterization. </w:t>
      </w:r>
      <w:r w:rsidR="002E53FD">
        <w:t>Of particular value was the data from the 2016 CBECC-Com software, which provided variability by climate zone.</w:t>
      </w:r>
      <w:r w:rsidR="00583EE2" w:rsidRPr="00583EE2">
        <w:t xml:space="preserve"> </w:t>
      </w:r>
    </w:p>
    <w:p w14:paraId="33373063" w14:textId="77777777" w:rsidR="003F5D19" w:rsidRDefault="003F5D19" w:rsidP="003F5D19"/>
    <w:p w14:paraId="67481F94" w14:textId="77777777" w:rsidR="002E53FD" w:rsidRDefault="002E53FD" w:rsidP="007D4A2A">
      <w:pPr>
        <w:pStyle w:val="Caption"/>
      </w:pPr>
      <w:bookmarkStart w:id="587" w:name="_Ref478029707"/>
      <w:bookmarkStart w:id="588" w:name="_Ref482351664"/>
      <w:bookmarkStart w:id="589" w:name="_Toc482634228"/>
      <w:bookmarkStart w:id="590" w:name="_Toc484436967"/>
      <w:bookmarkStart w:id="591" w:name="_Toc485125678"/>
      <w:r>
        <w:lastRenderedPageBreak/>
        <w:t xml:space="preserve">Table </w:t>
      </w:r>
      <w:bookmarkEnd w:id="587"/>
      <w:r w:rsidR="00C17D59">
        <w:fldChar w:fldCharType="begin"/>
      </w:r>
      <w:r w:rsidR="00C17D59">
        <w:instrText xml:space="preserve"> STYLEREF 1 \s </w:instrText>
      </w:r>
      <w:r w:rsidR="00C17D59">
        <w:fldChar w:fldCharType="separate"/>
      </w:r>
      <w:r w:rsidR="00C407F4">
        <w:rPr>
          <w:noProof/>
        </w:rPr>
        <w:t>3</w:t>
      </w:r>
      <w:r w:rsidR="00C17D59">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20</w:t>
      </w:r>
      <w:r w:rsidR="00272F76">
        <w:rPr>
          <w:noProof/>
        </w:rPr>
        <w:fldChar w:fldCharType="end"/>
      </w:r>
      <w:bookmarkEnd w:id="588"/>
      <w:r>
        <w:t xml:space="preserve">. Commercial New Construction </w:t>
      </w:r>
      <w:r w:rsidR="003E10D5">
        <w:t xml:space="preserve">Whole Building </w:t>
      </w:r>
      <w:r>
        <w:t xml:space="preserve">Data </w:t>
      </w:r>
      <w:r w:rsidR="00526C1F">
        <w:t>Sources</w:t>
      </w:r>
      <w:bookmarkEnd w:id="589"/>
      <w:bookmarkEnd w:id="590"/>
      <w:bookmarkEnd w:id="591"/>
    </w:p>
    <w:tbl>
      <w:tblPr>
        <w:tblStyle w:val="EnergyTable1"/>
        <w:tblW w:w="0" w:type="auto"/>
        <w:tblLayout w:type="fixed"/>
        <w:tblLook w:val="04A0" w:firstRow="1" w:lastRow="0" w:firstColumn="1" w:lastColumn="0" w:noHBand="0" w:noVBand="1"/>
      </w:tblPr>
      <w:tblGrid>
        <w:gridCol w:w="1835"/>
        <w:gridCol w:w="1834"/>
        <w:gridCol w:w="5691"/>
      </w:tblGrid>
      <w:tr w:rsidR="003F5D19" w:rsidRPr="00657865" w14:paraId="13DFA1C6" w14:textId="77777777" w:rsidTr="00110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5" w:type="dxa"/>
          </w:tcPr>
          <w:p w14:paraId="54F053E5" w14:textId="77777777" w:rsidR="00B55315" w:rsidRPr="00657865" w:rsidRDefault="00B55315" w:rsidP="007D4A2A">
            <w:pPr>
              <w:keepNext/>
              <w:rPr>
                <w:rFonts w:ascii="Arial Narrow" w:hAnsi="Arial Narrow"/>
                <w:sz w:val="18"/>
                <w:szCs w:val="18"/>
              </w:rPr>
            </w:pPr>
            <w:r w:rsidRPr="00657865">
              <w:rPr>
                <w:rFonts w:ascii="Arial Narrow" w:hAnsi="Arial Narrow"/>
                <w:sz w:val="18"/>
                <w:szCs w:val="18"/>
              </w:rPr>
              <w:t>Data Category</w:t>
            </w:r>
          </w:p>
        </w:tc>
        <w:tc>
          <w:tcPr>
            <w:tcW w:w="1834" w:type="dxa"/>
          </w:tcPr>
          <w:p w14:paraId="22CF5DF2" w14:textId="77777777" w:rsidR="003F5D19" w:rsidRPr="00657865" w:rsidRDefault="003F5D19" w:rsidP="007D4A2A">
            <w:pPr>
              <w:keepNex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Data Items</w:t>
            </w:r>
          </w:p>
        </w:tc>
        <w:tc>
          <w:tcPr>
            <w:tcW w:w="5691" w:type="dxa"/>
          </w:tcPr>
          <w:p w14:paraId="0853DA05" w14:textId="77777777" w:rsidR="003F5D19" w:rsidRPr="00657865" w:rsidRDefault="003F5D19" w:rsidP="007D4A2A">
            <w:pPr>
              <w:keepNex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Data Sources</w:t>
            </w:r>
          </w:p>
        </w:tc>
      </w:tr>
      <w:tr w:rsidR="003F5D19" w:rsidRPr="00657865" w14:paraId="74C3E395"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14:paraId="054DE600" w14:textId="77777777" w:rsidR="00B55315" w:rsidRPr="00657865" w:rsidRDefault="00B55315" w:rsidP="007D4A2A">
            <w:pPr>
              <w:keepNext/>
              <w:rPr>
                <w:rFonts w:ascii="Arial Narrow" w:hAnsi="Arial Narrow"/>
                <w:b/>
                <w:sz w:val="18"/>
                <w:szCs w:val="18"/>
              </w:rPr>
            </w:pPr>
            <w:r w:rsidRPr="00657865">
              <w:rPr>
                <w:rFonts w:ascii="Arial Narrow" w:hAnsi="Arial Narrow"/>
                <w:b/>
                <w:sz w:val="18"/>
                <w:szCs w:val="18"/>
              </w:rPr>
              <w:t>Cost</w:t>
            </w:r>
          </w:p>
        </w:tc>
        <w:tc>
          <w:tcPr>
            <w:tcW w:w="1834" w:type="dxa"/>
          </w:tcPr>
          <w:p w14:paraId="187D42E7" w14:textId="77777777" w:rsidR="003F5D19" w:rsidRPr="00657865" w:rsidRDefault="003F5D19"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r>
            <w:r w:rsidR="004E71B4" w:rsidRPr="00657865">
              <w:rPr>
                <w:rFonts w:ascii="Arial Narrow" w:hAnsi="Arial Narrow"/>
                <w:sz w:val="18"/>
                <w:szCs w:val="18"/>
              </w:rPr>
              <w:t xml:space="preserve">2013 </w:t>
            </w:r>
            <w:r w:rsidRPr="00657865">
              <w:rPr>
                <w:rFonts w:ascii="Arial Narrow" w:hAnsi="Arial Narrow"/>
                <w:sz w:val="18"/>
                <w:szCs w:val="18"/>
              </w:rPr>
              <w:t xml:space="preserve">Title 24 </w:t>
            </w:r>
            <w:r w:rsidR="004E71B4" w:rsidRPr="00657865">
              <w:rPr>
                <w:rFonts w:ascii="Arial Narrow" w:hAnsi="Arial Narrow"/>
                <w:sz w:val="18"/>
                <w:szCs w:val="18"/>
              </w:rPr>
              <w:t>over 2008 Title 24</w:t>
            </w:r>
          </w:p>
        </w:tc>
        <w:tc>
          <w:tcPr>
            <w:tcW w:w="5691" w:type="dxa"/>
          </w:tcPr>
          <w:p w14:paraId="187C548A" w14:textId="77777777" w:rsidR="005037D7" w:rsidRPr="00657865" w:rsidRDefault="003F5D19"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2013 Standard Cost Impact Analysis: </w:t>
            </w:r>
            <w:hyperlink r:id="rId40" w:history="1">
              <w:r w:rsidR="005037D7" w:rsidRPr="00657865">
                <w:rPr>
                  <w:rStyle w:val="Hyperlink"/>
                  <w:rFonts w:ascii="Arial Narrow" w:hAnsi="Arial Narrow"/>
                  <w:sz w:val="18"/>
                  <w:szCs w:val="18"/>
                </w:rPr>
                <w:t>http://www.energy.ca.gov/title24/2013standards/rulemaking/documents/final_rulemaking_documents/05_Impact_Analysis.pdf</w:t>
              </w:r>
            </w:hyperlink>
          </w:p>
        </w:tc>
      </w:tr>
      <w:tr w:rsidR="003F5D19" w:rsidRPr="00657865" w14:paraId="227439FD"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19FEC6D7" w14:textId="77777777" w:rsidR="00B55315" w:rsidRPr="00657865" w:rsidRDefault="00B55315" w:rsidP="007D4A2A">
            <w:pPr>
              <w:keepNext/>
              <w:rPr>
                <w:rFonts w:ascii="Arial Narrow" w:hAnsi="Arial Narrow"/>
                <w:sz w:val="18"/>
                <w:szCs w:val="18"/>
              </w:rPr>
            </w:pPr>
          </w:p>
        </w:tc>
        <w:tc>
          <w:tcPr>
            <w:tcW w:w="1834" w:type="dxa"/>
          </w:tcPr>
          <w:p w14:paraId="5E1ED562" w14:textId="77777777" w:rsidR="003F5D19" w:rsidRPr="00657865" w:rsidRDefault="003F5D19"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r>
            <w:r w:rsidR="004E71B4" w:rsidRPr="00657865">
              <w:rPr>
                <w:rFonts w:ascii="Arial Narrow" w:hAnsi="Arial Narrow"/>
                <w:sz w:val="18"/>
                <w:szCs w:val="18"/>
              </w:rPr>
              <w:t xml:space="preserve">2016 </w:t>
            </w:r>
            <w:r w:rsidRPr="00657865">
              <w:rPr>
                <w:rFonts w:ascii="Arial Narrow" w:hAnsi="Arial Narrow"/>
                <w:sz w:val="18"/>
                <w:szCs w:val="18"/>
              </w:rPr>
              <w:t xml:space="preserve">Title 24 over </w:t>
            </w:r>
            <w:r w:rsidR="004E71B4" w:rsidRPr="00657865">
              <w:rPr>
                <w:rFonts w:ascii="Arial Narrow" w:hAnsi="Arial Narrow"/>
                <w:sz w:val="18"/>
                <w:szCs w:val="18"/>
              </w:rPr>
              <w:t xml:space="preserve">2013 </w:t>
            </w:r>
            <w:r w:rsidRPr="00657865">
              <w:rPr>
                <w:rFonts w:ascii="Arial Narrow" w:hAnsi="Arial Narrow"/>
                <w:sz w:val="18"/>
                <w:szCs w:val="18"/>
              </w:rPr>
              <w:t>Title 24</w:t>
            </w:r>
          </w:p>
        </w:tc>
        <w:tc>
          <w:tcPr>
            <w:tcW w:w="5691" w:type="dxa"/>
          </w:tcPr>
          <w:p w14:paraId="5FED020B" w14:textId="77777777" w:rsidR="005037D7" w:rsidRPr="00657865" w:rsidRDefault="003F5D19"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2016 Notice of Proposed Action: </w:t>
            </w:r>
            <w:hyperlink r:id="rId41" w:history="1">
              <w:r w:rsidR="005037D7" w:rsidRPr="00657865">
                <w:rPr>
                  <w:rStyle w:val="Hyperlink"/>
                  <w:rFonts w:ascii="Arial Narrow" w:hAnsi="Arial Narrow"/>
                  <w:sz w:val="18"/>
                  <w:szCs w:val="18"/>
                </w:rPr>
                <w:t>http://www.energy.ca.gov/title24/2016standards/rulemaking/documents/NOPA_title24_parts_01_06.pdf</w:t>
              </w:r>
            </w:hyperlink>
          </w:p>
        </w:tc>
      </w:tr>
      <w:tr w:rsidR="00B55315" w:rsidRPr="00657865" w14:paraId="477E4F26"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5FE15827" w14:textId="77777777" w:rsidR="00B55315" w:rsidRPr="00657865" w:rsidRDefault="00B55315" w:rsidP="007D4A2A">
            <w:pPr>
              <w:keepNext/>
              <w:rPr>
                <w:rFonts w:ascii="Arial Narrow" w:hAnsi="Arial Narrow"/>
                <w:sz w:val="18"/>
                <w:szCs w:val="18"/>
              </w:rPr>
            </w:pPr>
          </w:p>
        </w:tc>
        <w:tc>
          <w:tcPr>
            <w:tcW w:w="1834" w:type="dxa"/>
          </w:tcPr>
          <w:p w14:paraId="62FFC7AD" w14:textId="77777777" w:rsidR="00B55315" w:rsidRPr="00657865" w:rsidRDefault="00B55315"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2019 Title 24 over 2016 Title 24</w:t>
            </w:r>
          </w:p>
        </w:tc>
        <w:tc>
          <w:tcPr>
            <w:tcW w:w="5691" w:type="dxa"/>
          </w:tcPr>
          <w:p w14:paraId="099C2D30" w14:textId="77777777" w:rsidR="00B55315" w:rsidRPr="00657865" w:rsidRDefault="00B55315"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Navigant extrapolation based on 2016 T24</w:t>
            </w:r>
          </w:p>
        </w:tc>
      </w:tr>
      <w:tr w:rsidR="00C22ED5" w:rsidRPr="00657865" w14:paraId="600F7F9B"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53AF2DEF" w14:textId="77777777" w:rsidR="00B55315" w:rsidRPr="00657865" w:rsidRDefault="00B55315" w:rsidP="007D4A2A">
            <w:pPr>
              <w:keepNext/>
              <w:rPr>
                <w:rFonts w:ascii="Arial Narrow" w:hAnsi="Arial Narrow"/>
                <w:sz w:val="18"/>
                <w:szCs w:val="18"/>
              </w:rPr>
            </w:pPr>
          </w:p>
        </w:tc>
        <w:tc>
          <w:tcPr>
            <w:tcW w:w="1834" w:type="dxa"/>
          </w:tcPr>
          <w:p w14:paraId="02820E75" w14:textId="77777777" w:rsidR="00C22ED5" w:rsidRPr="00657865" w:rsidRDefault="00C22ED5"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Incremental Cost of ZNE over</w:t>
            </w:r>
            <w:r w:rsidRPr="00657865">
              <w:rPr>
                <w:rFonts w:ascii="Arial Narrow" w:hAnsi="Arial Narrow"/>
                <w:sz w:val="18"/>
                <w:szCs w:val="18"/>
              </w:rPr>
              <w:br/>
              <w:t>2013 Title 24</w:t>
            </w:r>
          </w:p>
        </w:tc>
        <w:tc>
          <w:tcPr>
            <w:tcW w:w="5691" w:type="dxa"/>
          </w:tcPr>
          <w:p w14:paraId="52714FCE" w14:textId="77777777" w:rsidR="005037D7" w:rsidRPr="00657865" w:rsidRDefault="00C22ED5"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Calculated using the following: </w:t>
            </w:r>
            <w:r w:rsidRPr="00657865">
              <w:rPr>
                <w:rFonts w:ascii="Arial Narrow" w:hAnsi="Arial Narrow"/>
                <w:sz w:val="18"/>
                <w:szCs w:val="18"/>
              </w:rPr>
              <w:br/>
              <w:t xml:space="preserve">New Building Institute, Getting to Zero 2012 Status Update: A First Look at the Costs and Features of Zero Energy Commercial Buildings: </w:t>
            </w:r>
            <w:hyperlink r:id="rId42" w:history="1">
              <w:r w:rsidRPr="00657865">
                <w:rPr>
                  <w:rStyle w:val="Hyperlink"/>
                  <w:rFonts w:ascii="Arial Narrow" w:hAnsi="Arial Narrow"/>
                  <w:sz w:val="18"/>
                  <w:szCs w:val="18"/>
                </w:rPr>
                <w:t>http://newbuildings.org/getting-zero-2012-status-update-first-look-costs-and-features-zero-energy-commercial-buildings</w:t>
              </w:r>
            </w:hyperlink>
            <w:r w:rsidRPr="00657865">
              <w:rPr>
                <w:rFonts w:ascii="Arial Narrow" w:hAnsi="Arial Narrow"/>
                <w:sz w:val="18"/>
                <w:szCs w:val="18"/>
              </w:rPr>
              <w:br/>
              <w:t>Comm. RE Specialists, Cost Per Square Foot For New Commercial Construction, 2013.</w:t>
            </w:r>
            <w:r w:rsidRPr="00657865">
              <w:rPr>
                <w:rFonts w:ascii="Arial Narrow" w:hAnsi="Arial Narrow"/>
                <w:sz w:val="18"/>
                <w:szCs w:val="18"/>
              </w:rPr>
              <w:br/>
              <w:t xml:space="preserve">Reed Construction Data Inc., RS Means Square Foot Estimator, 2013: </w:t>
            </w:r>
            <w:hyperlink r:id="rId43" w:history="1">
              <w:r w:rsidR="005037D7" w:rsidRPr="00657865">
                <w:rPr>
                  <w:rStyle w:val="Hyperlink"/>
                  <w:rFonts w:ascii="Arial Narrow" w:hAnsi="Arial Narrow"/>
                  <w:sz w:val="18"/>
                  <w:szCs w:val="18"/>
                </w:rPr>
                <w:t>http://www.rsmeansonline.com</w:t>
              </w:r>
            </w:hyperlink>
          </w:p>
        </w:tc>
      </w:tr>
      <w:tr w:rsidR="003F5D19" w:rsidRPr="00657865" w14:paraId="1D01C86A"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14:paraId="4D9F521F" w14:textId="77777777" w:rsidR="00B55315" w:rsidRPr="00657865" w:rsidRDefault="00B55315" w:rsidP="007D4A2A">
            <w:pPr>
              <w:keepNext/>
              <w:rPr>
                <w:rFonts w:ascii="Arial Narrow" w:hAnsi="Arial Narrow"/>
                <w:b/>
                <w:sz w:val="18"/>
                <w:szCs w:val="18"/>
              </w:rPr>
            </w:pPr>
            <w:r w:rsidRPr="00657865">
              <w:rPr>
                <w:rFonts w:ascii="Arial Narrow" w:hAnsi="Arial Narrow"/>
                <w:b/>
                <w:sz w:val="18"/>
                <w:szCs w:val="18"/>
              </w:rPr>
              <w:t>Energy Consumption and Savings</w:t>
            </w:r>
          </w:p>
        </w:tc>
        <w:tc>
          <w:tcPr>
            <w:tcW w:w="1834" w:type="dxa"/>
          </w:tcPr>
          <w:p w14:paraId="741E4FEB" w14:textId="77777777" w:rsidR="003F5D19" w:rsidRPr="00657865" w:rsidRDefault="004E71B4"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2016</w:t>
            </w:r>
            <w:r w:rsidR="005E6E11" w:rsidRPr="00657865">
              <w:rPr>
                <w:rFonts w:ascii="Arial Narrow" w:hAnsi="Arial Narrow"/>
                <w:sz w:val="18"/>
                <w:szCs w:val="18"/>
              </w:rPr>
              <w:t xml:space="preserve"> Title 24</w:t>
            </w:r>
            <w:r w:rsidRPr="00657865">
              <w:rPr>
                <w:rFonts w:ascii="Arial Narrow" w:hAnsi="Arial Narrow"/>
                <w:sz w:val="18"/>
                <w:szCs w:val="18"/>
              </w:rPr>
              <w:t xml:space="preserve"> Energy Consumption</w:t>
            </w:r>
          </w:p>
        </w:tc>
        <w:tc>
          <w:tcPr>
            <w:tcW w:w="5691" w:type="dxa"/>
          </w:tcPr>
          <w:p w14:paraId="49ECD059" w14:textId="77777777" w:rsidR="003F5D19" w:rsidRPr="00657865" w:rsidRDefault="004E71B4"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CBECC-Com 2016 Std. Design Results, January, 2017. </w:t>
            </w:r>
          </w:p>
        </w:tc>
      </w:tr>
      <w:tr w:rsidR="003F5D19" w:rsidRPr="00657865" w14:paraId="17B07136"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68725B6E" w14:textId="77777777" w:rsidR="00B55315" w:rsidRPr="00657865" w:rsidRDefault="00B55315" w:rsidP="007D4A2A">
            <w:pPr>
              <w:keepNext/>
              <w:rPr>
                <w:rFonts w:ascii="Arial Narrow" w:hAnsi="Arial Narrow"/>
                <w:sz w:val="18"/>
                <w:szCs w:val="18"/>
              </w:rPr>
            </w:pPr>
          </w:p>
        </w:tc>
        <w:tc>
          <w:tcPr>
            <w:tcW w:w="1834" w:type="dxa"/>
          </w:tcPr>
          <w:p w14:paraId="062A6B66" w14:textId="77777777" w:rsidR="003F5D19" w:rsidRPr="00657865" w:rsidRDefault="004E71B4"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2013 Title 24 over 2008 Title 24</w:t>
            </w:r>
          </w:p>
        </w:tc>
        <w:tc>
          <w:tcPr>
            <w:tcW w:w="5691" w:type="dxa"/>
          </w:tcPr>
          <w:p w14:paraId="2466D2C4" w14:textId="77777777" w:rsidR="005037D7" w:rsidRPr="00657865" w:rsidRDefault="002E53FD"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2013 Impact Analysis: </w:t>
            </w:r>
            <w:hyperlink r:id="rId44" w:history="1">
              <w:r w:rsidR="005037D7" w:rsidRPr="00657865">
                <w:rPr>
                  <w:rStyle w:val="Hyperlink"/>
                  <w:rFonts w:ascii="Arial Narrow" w:hAnsi="Arial Narrow"/>
                  <w:sz w:val="18"/>
                  <w:szCs w:val="18"/>
                </w:rPr>
                <w:t>http://www.energy.ca.gov/2013publications/CEC-400-2013-008/CEC-400-2013-008.pdf</w:t>
              </w:r>
            </w:hyperlink>
          </w:p>
        </w:tc>
      </w:tr>
      <w:tr w:rsidR="003F5D19" w:rsidRPr="00657865" w14:paraId="41807DDC"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66F3ED72" w14:textId="77777777" w:rsidR="00B55315" w:rsidRPr="00657865" w:rsidRDefault="00B55315" w:rsidP="007D4A2A">
            <w:pPr>
              <w:keepNext/>
              <w:rPr>
                <w:rFonts w:ascii="Arial Narrow" w:hAnsi="Arial Narrow"/>
                <w:sz w:val="18"/>
                <w:szCs w:val="18"/>
              </w:rPr>
            </w:pPr>
          </w:p>
        </w:tc>
        <w:tc>
          <w:tcPr>
            <w:tcW w:w="1834" w:type="dxa"/>
          </w:tcPr>
          <w:p w14:paraId="36E91D89" w14:textId="77777777" w:rsidR="003F5D19" w:rsidRPr="00657865" w:rsidRDefault="004E71B4"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2016 Title 24 over 2013 Title 24</w:t>
            </w:r>
          </w:p>
        </w:tc>
        <w:tc>
          <w:tcPr>
            <w:tcW w:w="5691" w:type="dxa"/>
          </w:tcPr>
          <w:p w14:paraId="281ED28F" w14:textId="77777777" w:rsidR="005037D7" w:rsidRPr="00657865" w:rsidRDefault="004E71B4" w:rsidP="007D4A2A">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w:t>
            </w:r>
            <w:r w:rsidR="00274105" w:rsidRPr="00657865">
              <w:rPr>
                <w:rFonts w:ascii="Arial Narrow" w:hAnsi="Arial Narrow"/>
                <w:sz w:val="18"/>
                <w:szCs w:val="18"/>
              </w:rPr>
              <w:t>C</w:t>
            </w:r>
            <w:r w:rsidRPr="00657865">
              <w:rPr>
                <w:rFonts w:ascii="Arial Narrow" w:hAnsi="Arial Narrow"/>
                <w:sz w:val="18"/>
                <w:szCs w:val="18"/>
              </w:rPr>
              <w:t>ommission,</w:t>
            </w:r>
            <w:r w:rsidR="002E53FD" w:rsidRPr="00657865">
              <w:rPr>
                <w:rFonts w:ascii="Arial Narrow" w:hAnsi="Arial Narrow"/>
                <w:sz w:val="18"/>
                <w:szCs w:val="18"/>
              </w:rPr>
              <w:t xml:space="preserve"> 2016</w:t>
            </w:r>
            <w:r w:rsidRPr="00657865">
              <w:rPr>
                <w:rFonts w:ascii="Arial Narrow" w:hAnsi="Arial Narrow"/>
                <w:sz w:val="18"/>
                <w:szCs w:val="18"/>
              </w:rPr>
              <w:t xml:space="preserve"> </w:t>
            </w:r>
            <w:r w:rsidR="00274105" w:rsidRPr="00657865">
              <w:rPr>
                <w:rFonts w:ascii="Arial Narrow" w:hAnsi="Arial Narrow"/>
                <w:sz w:val="18"/>
                <w:szCs w:val="18"/>
              </w:rPr>
              <w:t xml:space="preserve">Impact Analysis: </w:t>
            </w:r>
            <w:hyperlink r:id="rId45" w:history="1">
              <w:r w:rsidR="005037D7" w:rsidRPr="00657865">
                <w:rPr>
                  <w:rStyle w:val="Hyperlink"/>
                  <w:rFonts w:ascii="Arial Narrow" w:hAnsi="Arial Narrow"/>
                  <w:sz w:val="18"/>
                  <w:szCs w:val="18"/>
                </w:rPr>
                <w:t>http://www.energy.ca.gov/title24/2016standards/rulemaking/documents/15-day_language/impact_analysis/2016_Impact_Analysis_2015-06-03.pdf</w:t>
              </w:r>
            </w:hyperlink>
          </w:p>
        </w:tc>
      </w:tr>
      <w:tr w:rsidR="008271BF" w:rsidRPr="00657865" w14:paraId="0016B255"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79692674" w14:textId="77777777" w:rsidR="00B55315" w:rsidRPr="00657865" w:rsidRDefault="00B55315" w:rsidP="007D4A2A">
            <w:pPr>
              <w:keepNext/>
              <w:rPr>
                <w:rFonts w:ascii="Arial Narrow" w:hAnsi="Arial Narrow"/>
                <w:sz w:val="18"/>
                <w:szCs w:val="18"/>
              </w:rPr>
            </w:pPr>
          </w:p>
        </w:tc>
        <w:tc>
          <w:tcPr>
            <w:tcW w:w="1834" w:type="dxa"/>
          </w:tcPr>
          <w:p w14:paraId="51F51F8F" w14:textId="77777777" w:rsidR="008271BF" w:rsidRPr="00657865" w:rsidRDefault="008271BF"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2019 Title 24 over 2016 Title 24</w:t>
            </w:r>
          </w:p>
        </w:tc>
        <w:tc>
          <w:tcPr>
            <w:tcW w:w="5691" w:type="dxa"/>
          </w:tcPr>
          <w:p w14:paraId="43C88EAF" w14:textId="77777777" w:rsidR="008271BF" w:rsidRPr="00657865" w:rsidRDefault="00526C1F" w:rsidP="007D4A2A">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Communications with the California Energy Commission, January, 2017.</w:t>
            </w:r>
          </w:p>
        </w:tc>
      </w:tr>
      <w:tr w:rsidR="008271BF" w:rsidRPr="00657865" w14:paraId="3A0E418F"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01C429CB" w14:textId="77777777" w:rsidR="00B55315" w:rsidRPr="00657865" w:rsidRDefault="00B55315" w:rsidP="004E71B4">
            <w:pPr>
              <w:rPr>
                <w:rFonts w:ascii="Arial Narrow" w:hAnsi="Arial Narrow"/>
                <w:sz w:val="18"/>
                <w:szCs w:val="18"/>
              </w:rPr>
            </w:pPr>
          </w:p>
        </w:tc>
        <w:tc>
          <w:tcPr>
            <w:tcW w:w="1834" w:type="dxa"/>
          </w:tcPr>
          <w:p w14:paraId="5D840C17" w14:textId="77777777" w:rsidR="008271BF" w:rsidRPr="00657865" w:rsidRDefault="008271BF" w:rsidP="004E71B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 xml:space="preserve">ZNE over </w:t>
            </w:r>
            <w:r w:rsidRPr="00657865">
              <w:rPr>
                <w:rFonts w:ascii="Arial Narrow" w:hAnsi="Arial Narrow"/>
                <w:sz w:val="18"/>
                <w:szCs w:val="18"/>
              </w:rPr>
              <w:br/>
              <w:t>2013 Title 24</w:t>
            </w:r>
          </w:p>
        </w:tc>
        <w:tc>
          <w:tcPr>
            <w:tcW w:w="5691" w:type="dxa"/>
          </w:tcPr>
          <w:p w14:paraId="2DD0B075" w14:textId="77777777" w:rsidR="008271BF" w:rsidRPr="00657865" w:rsidRDefault="00526C1F" w:rsidP="0027410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ARUP, The Technical Feasibility of Zero Net Energy Buildings in California, December, 2012. </w:t>
            </w:r>
          </w:p>
        </w:tc>
      </w:tr>
    </w:tbl>
    <w:p w14:paraId="4FF5E89C" w14:textId="77777777" w:rsidR="00827A6C" w:rsidRDefault="00827A6C" w:rsidP="008271BF">
      <w:pPr>
        <w:pStyle w:val="Heading4"/>
        <w:ind w:left="900"/>
      </w:pPr>
      <w:r>
        <w:t>Residential</w:t>
      </w:r>
    </w:p>
    <w:p w14:paraId="27E98476" w14:textId="77777777" w:rsidR="005E6E11" w:rsidRDefault="00B55315" w:rsidP="005E6E11">
      <w:r>
        <w:fldChar w:fldCharType="begin"/>
      </w:r>
      <w:r>
        <w:instrText xml:space="preserve"> REF _Ref482351860 \h </w:instrText>
      </w:r>
      <w:r>
        <w:fldChar w:fldCharType="separate"/>
      </w:r>
      <w:r w:rsidR="00C407F4">
        <w:t xml:space="preserve">Table </w:t>
      </w:r>
      <w:r w:rsidR="00C407F4">
        <w:rPr>
          <w:noProof/>
        </w:rPr>
        <w:t>3</w:t>
      </w:r>
      <w:r w:rsidR="00C407F4">
        <w:noBreakHyphen/>
      </w:r>
      <w:r w:rsidR="00C407F4">
        <w:rPr>
          <w:noProof/>
        </w:rPr>
        <w:t>21</w:t>
      </w:r>
      <w:r>
        <w:fldChar w:fldCharType="end"/>
      </w:r>
      <w:r w:rsidR="005E6E11">
        <w:t xml:space="preserve"> provides the sources for energy consumption</w:t>
      </w:r>
      <w:r w:rsidR="00F370D9">
        <w:t xml:space="preserve"> and cost</w:t>
      </w:r>
      <w:r w:rsidR="005E6E11">
        <w:t xml:space="preserve"> data. </w:t>
      </w:r>
      <w:r w:rsidR="00196112">
        <w:t xml:space="preserve">By using the percent savings values rather than absolute energy consumption reported by different sources, the </w:t>
      </w:r>
      <w:r w:rsidR="008A25E0">
        <w:t xml:space="preserve">2018 </w:t>
      </w:r>
      <w:r w:rsidR="00196112">
        <w:t xml:space="preserve">Study accounts for inconsistencies in simulation assumptions across data sources. This results in lower electricity consumption and higher natural gas consumption in comparison to the 2015 Study. </w:t>
      </w:r>
    </w:p>
    <w:p w14:paraId="448B69E6" w14:textId="77777777" w:rsidR="005E6E11" w:rsidRDefault="005E6E11" w:rsidP="005E6E11"/>
    <w:p w14:paraId="336A7DE3" w14:textId="77777777" w:rsidR="005E6E11" w:rsidRDefault="005E6E11" w:rsidP="005E6E11">
      <w:pPr>
        <w:pStyle w:val="Caption"/>
      </w:pPr>
      <w:bookmarkStart w:id="592" w:name="_Ref478030572"/>
      <w:bookmarkStart w:id="593" w:name="_Ref482351860"/>
      <w:bookmarkStart w:id="594" w:name="_Toc482634229"/>
      <w:bookmarkStart w:id="595" w:name="_Toc484436968"/>
      <w:bookmarkStart w:id="596" w:name="_Toc485125679"/>
      <w:r>
        <w:lastRenderedPageBreak/>
        <w:t xml:space="preserve">Table </w:t>
      </w:r>
      <w:bookmarkEnd w:id="592"/>
      <w:r w:rsidR="00C17D59">
        <w:fldChar w:fldCharType="begin"/>
      </w:r>
      <w:r w:rsidR="00C17D59">
        <w:instrText xml:space="preserve"> STYLEREF 1 \s </w:instrText>
      </w:r>
      <w:r w:rsidR="00C17D59">
        <w:fldChar w:fldCharType="separate"/>
      </w:r>
      <w:r w:rsidR="00C407F4">
        <w:rPr>
          <w:noProof/>
        </w:rPr>
        <w:t>3</w:t>
      </w:r>
      <w:r w:rsidR="00C17D59">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21</w:t>
      </w:r>
      <w:r w:rsidR="00272F76">
        <w:rPr>
          <w:noProof/>
        </w:rPr>
        <w:fldChar w:fldCharType="end"/>
      </w:r>
      <w:bookmarkEnd w:id="593"/>
      <w:r>
        <w:t xml:space="preserve">. Residential New Construction </w:t>
      </w:r>
      <w:r w:rsidR="003E10D5">
        <w:t xml:space="preserve">Whole Building </w:t>
      </w:r>
      <w:r>
        <w:t xml:space="preserve">Data </w:t>
      </w:r>
      <w:r w:rsidR="00B55315">
        <w:t>Sources</w:t>
      </w:r>
      <w:bookmarkEnd w:id="594"/>
      <w:bookmarkEnd w:id="595"/>
      <w:bookmarkEnd w:id="596"/>
    </w:p>
    <w:tbl>
      <w:tblPr>
        <w:tblStyle w:val="EnergyTable1"/>
        <w:tblW w:w="9270" w:type="dxa"/>
        <w:tblLayout w:type="fixed"/>
        <w:tblLook w:val="04A0" w:firstRow="1" w:lastRow="0" w:firstColumn="1" w:lastColumn="0" w:noHBand="0" w:noVBand="1"/>
      </w:tblPr>
      <w:tblGrid>
        <w:gridCol w:w="1350"/>
        <w:gridCol w:w="2700"/>
        <w:gridCol w:w="5220"/>
      </w:tblGrid>
      <w:tr w:rsidR="008A25E0" w:rsidRPr="00657865" w14:paraId="7DD5BB0D" w14:textId="77777777" w:rsidTr="00110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tcPr>
          <w:p w14:paraId="176C456F" w14:textId="77777777" w:rsidR="008A25E0" w:rsidRPr="00657865" w:rsidRDefault="008A25E0" w:rsidP="0035722A">
            <w:pPr>
              <w:rPr>
                <w:rFonts w:ascii="Arial Narrow" w:hAnsi="Arial Narrow"/>
                <w:sz w:val="18"/>
                <w:szCs w:val="18"/>
              </w:rPr>
            </w:pPr>
            <w:r w:rsidRPr="00657865">
              <w:rPr>
                <w:rFonts w:ascii="Arial Narrow" w:hAnsi="Arial Narrow"/>
                <w:sz w:val="18"/>
                <w:szCs w:val="18"/>
              </w:rPr>
              <w:t>Data Category</w:t>
            </w:r>
          </w:p>
        </w:tc>
        <w:tc>
          <w:tcPr>
            <w:tcW w:w="2700" w:type="dxa"/>
          </w:tcPr>
          <w:p w14:paraId="2FB0703E" w14:textId="77777777" w:rsidR="008A25E0" w:rsidRPr="00657865" w:rsidRDefault="008A25E0" w:rsidP="0035722A">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Data Items</w:t>
            </w:r>
          </w:p>
        </w:tc>
        <w:tc>
          <w:tcPr>
            <w:tcW w:w="5220" w:type="dxa"/>
          </w:tcPr>
          <w:p w14:paraId="1ECEC7DA" w14:textId="77777777" w:rsidR="008A25E0" w:rsidRPr="00657865" w:rsidRDefault="008A25E0" w:rsidP="0035722A">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Data Sources</w:t>
            </w:r>
          </w:p>
        </w:tc>
      </w:tr>
      <w:tr w:rsidR="008A25E0" w:rsidRPr="00657865" w14:paraId="5CD80982"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val="restart"/>
          </w:tcPr>
          <w:p w14:paraId="0B75DF28" w14:textId="77777777" w:rsidR="008A25E0" w:rsidRPr="00657865" w:rsidRDefault="008A25E0" w:rsidP="008A25E0">
            <w:pPr>
              <w:rPr>
                <w:rFonts w:ascii="Arial Narrow" w:hAnsi="Arial Narrow"/>
                <w:b/>
                <w:sz w:val="18"/>
                <w:szCs w:val="18"/>
              </w:rPr>
            </w:pPr>
            <w:r w:rsidRPr="00657865">
              <w:rPr>
                <w:rFonts w:ascii="Arial Narrow" w:hAnsi="Arial Narrow"/>
                <w:b/>
                <w:sz w:val="18"/>
                <w:szCs w:val="18"/>
              </w:rPr>
              <w:t>Cost</w:t>
            </w:r>
          </w:p>
        </w:tc>
        <w:tc>
          <w:tcPr>
            <w:tcW w:w="2700" w:type="dxa"/>
          </w:tcPr>
          <w:p w14:paraId="43FEB7B4"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2013 Title 24 over 2008 Title 24</w:t>
            </w:r>
          </w:p>
        </w:tc>
        <w:tc>
          <w:tcPr>
            <w:tcW w:w="5220" w:type="dxa"/>
          </w:tcPr>
          <w:p w14:paraId="1DDA5ABF" w14:textId="77777777" w:rsidR="008A25E0" w:rsidRPr="00657865" w:rsidRDefault="008A25E0" w:rsidP="008A25E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2013 Standard Cost Impact Analysis: </w:t>
            </w:r>
            <w:hyperlink r:id="rId46" w:history="1">
              <w:r w:rsidRPr="00657865">
                <w:rPr>
                  <w:rStyle w:val="Hyperlink"/>
                  <w:rFonts w:ascii="Arial Narrow" w:hAnsi="Arial Narrow"/>
                  <w:sz w:val="18"/>
                  <w:szCs w:val="18"/>
                </w:rPr>
                <w:t>http://www.energy.ca.gov/title24/2013standards/rulemaking/documents/final_rulemaking_documents/05_Impact_Analysis.pdf</w:t>
              </w:r>
            </w:hyperlink>
          </w:p>
        </w:tc>
      </w:tr>
      <w:tr w:rsidR="008A25E0" w:rsidRPr="00657865" w14:paraId="33B95B01"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66F19BF0" w14:textId="77777777" w:rsidR="008A25E0" w:rsidRPr="00657865" w:rsidRDefault="008A25E0" w:rsidP="00F370D9">
            <w:pPr>
              <w:rPr>
                <w:rFonts w:ascii="Arial Narrow" w:hAnsi="Arial Narrow"/>
                <w:sz w:val="18"/>
                <w:szCs w:val="18"/>
              </w:rPr>
            </w:pPr>
          </w:p>
        </w:tc>
        <w:tc>
          <w:tcPr>
            <w:tcW w:w="2700" w:type="dxa"/>
          </w:tcPr>
          <w:p w14:paraId="5DF82C9D" w14:textId="77777777" w:rsidR="008A25E0" w:rsidRPr="00657865" w:rsidRDefault="008A25E0" w:rsidP="00F370D9">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2016 Title 24 over 2013 Title 24</w:t>
            </w:r>
          </w:p>
        </w:tc>
        <w:tc>
          <w:tcPr>
            <w:tcW w:w="5220" w:type="dxa"/>
          </w:tcPr>
          <w:p w14:paraId="14D4687E" w14:textId="77777777" w:rsidR="008A25E0" w:rsidRPr="00657865" w:rsidRDefault="008A25E0" w:rsidP="008A25E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2016 Notice of Proposed Action: </w:t>
            </w:r>
            <w:hyperlink r:id="rId47" w:history="1">
              <w:r w:rsidRPr="00657865">
                <w:rPr>
                  <w:rStyle w:val="Hyperlink"/>
                  <w:rFonts w:ascii="Arial Narrow" w:hAnsi="Arial Narrow"/>
                  <w:sz w:val="18"/>
                  <w:szCs w:val="18"/>
                </w:rPr>
                <w:t>http://www.energy.ca.gov/title24/2016standards/rulemaking/documents/NOPA_title24_parts_01_06.pdf</w:t>
              </w:r>
            </w:hyperlink>
          </w:p>
        </w:tc>
      </w:tr>
      <w:tr w:rsidR="00B55315" w:rsidRPr="00657865" w14:paraId="7054F2E0"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68E4F5CD" w14:textId="77777777" w:rsidR="00B55315" w:rsidRPr="00657865" w:rsidRDefault="00B55315" w:rsidP="00F370D9">
            <w:pPr>
              <w:rPr>
                <w:rFonts w:ascii="Arial Narrow" w:hAnsi="Arial Narrow"/>
                <w:sz w:val="18"/>
                <w:szCs w:val="18"/>
              </w:rPr>
            </w:pPr>
          </w:p>
        </w:tc>
        <w:tc>
          <w:tcPr>
            <w:tcW w:w="2700" w:type="dxa"/>
          </w:tcPr>
          <w:p w14:paraId="32B69B68" w14:textId="77777777" w:rsidR="00B55315" w:rsidRPr="00657865" w:rsidRDefault="00B55315" w:rsidP="00F370D9">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2019 Title 24 over 2016 Title 24</w:t>
            </w:r>
          </w:p>
        </w:tc>
        <w:tc>
          <w:tcPr>
            <w:tcW w:w="5220" w:type="dxa"/>
          </w:tcPr>
          <w:p w14:paraId="2274A7C5" w14:textId="77777777" w:rsidR="00B55315" w:rsidRPr="00657865" w:rsidRDefault="00B55315" w:rsidP="008A25E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Navigant extrapolation based on 2016 T24</w:t>
            </w:r>
          </w:p>
        </w:tc>
      </w:tr>
      <w:tr w:rsidR="008A25E0" w:rsidRPr="00657865" w14:paraId="2CA97BBE"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05F67211" w14:textId="77777777" w:rsidR="008A25E0" w:rsidRPr="00657865" w:rsidRDefault="008A25E0" w:rsidP="00F370D9">
            <w:pPr>
              <w:rPr>
                <w:rFonts w:ascii="Arial Narrow" w:hAnsi="Arial Narrow"/>
                <w:sz w:val="18"/>
                <w:szCs w:val="18"/>
              </w:rPr>
            </w:pPr>
          </w:p>
        </w:tc>
        <w:tc>
          <w:tcPr>
            <w:tcW w:w="2700" w:type="dxa"/>
          </w:tcPr>
          <w:p w14:paraId="5A829EDC" w14:textId="77777777" w:rsidR="008A25E0" w:rsidRPr="00657865" w:rsidRDefault="008A25E0" w:rsidP="00F370D9">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 xml:space="preserve">ZNE over </w:t>
            </w:r>
            <w:r w:rsidRPr="00657865">
              <w:rPr>
                <w:rFonts w:ascii="Arial Narrow" w:hAnsi="Arial Narrow"/>
                <w:sz w:val="18"/>
                <w:szCs w:val="18"/>
              </w:rPr>
              <w:br/>
              <w:t>2013 Title 24</w:t>
            </w:r>
          </w:p>
        </w:tc>
        <w:tc>
          <w:tcPr>
            <w:tcW w:w="5220" w:type="dxa"/>
          </w:tcPr>
          <w:p w14:paraId="60154FF6" w14:textId="77777777" w:rsidR="008A25E0" w:rsidRPr="00657865" w:rsidRDefault="008A25E0" w:rsidP="00F370D9">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CEC Draft Title 24 Code Update Analysis provided to Navigant</w:t>
            </w:r>
          </w:p>
        </w:tc>
      </w:tr>
      <w:tr w:rsidR="008A25E0" w:rsidRPr="00657865" w14:paraId="60F7C611"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val="restart"/>
          </w:tcPr>
          <w:p w14:paraId="7CFCE6A9" w14:textId="77777777" w:rsidR="008A25E0" w:rsidRPr="00657865" w:rsidRDefault="008A25E0" w:rsidP="008A25E0">
            <w:pPr>
              <w:rPr>
                <w:rFonts w:ascii="Arial Narrow" w:hAnsi="Arial Narrow"/>
                <w:b/>
                <w:sz w:val="18"/>
                <w:szCs w:val="18"/>
              </w:rPr>
            </w:pPr>
            <w:r w:rsidRPr="00657865">
              <w:rPr>
                <w:rFonts w:ascii="Arial Narrow" w:hAnsi="Arial Narrow"/>
                <w:b/>
                <w:sz w:val="18"/>
                <w:szCs w:val="18"/>
              </w:rPr>
              <w:t>Energy Consumption and Savings</w:t>
            </w:r>
          </w:p>
          <w:p w14:paraId="0D29DBE8" w14:textId="77777777" w:rsidR="008A25E0" w:rsidRPr="00657865" w:rsidRDefault="008A25E0" w:rsidP="008A25E0">
            <w:pPr>
              <w:rPr>
                <w:rFonts w:ascii="Arial Narrow" w:hAnsi="Arial Narrow"/>
                <w:sz w:val="18"/>
                <w:szCs w:val="18"/>
              </w:rPr>
            </w:pPr>
          </w:p>
        </w:tc>
        <w:tc>
          <w:tcPr>
            <w:tcW w:w="2700" w:type="dxa"/>
          </w:tcPr>
          <w:p w14:paraId="19E60629"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2013 Title 24 over 2008 Title 24</w:t>
            </w:r>
          </w:p>
        </w:tc>
        <w:tc>
          <w:tcPr>
            <w:tcW w:w="5220" w:type="dxa"/>
          </w:tcPr>
          <w:p w14:paraId="2887132F" w14:textId="77777777" w:rsidR="008A25E0" w:rsidRPr="00657865" w:rsidRDefault="008A25E0" w:rsidP="008A25E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2013 Standard Cost Impact Analysis: </w:t>
            </w:r>
            <w:hyperlink r:id="rId48" w:history="1">
              <w:r w:rsidRPr="00657865">
                <w:rPr>
                  <w:rStyle w:val="Hyperlink"/>
                  <w:rFonts w:ascii="Arial Narrow" w:hAnsi="Arial Narrow"/>
                  <w:sz w:val="18"/>
                  <w:szCs w:val="18"/>
                </w:rPr>
                <w:t>http://www.energy.ca.gov/title24/2013standards/rulemaking/documents/final_rulemaking_documents/05_Impact_Analysis.pdf</w:t>
              </w:r>
            </w:hyperlink>
          </w:p>
        </w:tc>
      </w:tr>
      <w:tr w:rsidR="008A25E0" w:rsidRPr="00657865" w14:paraId="5AEB4FF4"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1C766BC5" w14:textId="77777777" w:rsidR="008A25E0" w:rsidRPr="00657865" w:rsidRDefault="008A25E0" w:rsidP="00970267">
            <w:pPr>
              <w:rPr>
                <w:rFonts w:ascii="Arial Narrow" w:hAnsi="Arial Narrow"/>
                <w:sz w:val="18"/>
                <w:szCs w:val="18"/>
              </w:rPr>
            </w:pPr>
          </w:p>
        </w:tc>
        <w:tc>
          <w:tcPr>
            <w:tcW w:w="2700" w:type="dxa"/>
          </w:tcPr>
          <w:p w14:paraId="06112622"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2013 Title 24 Energy Consumption</w:t>
            </w:r>
          </w:p>
        </w:tc>
        <w:tc>
          <w:tcPr>
            <w:tcW w:w="5220" w:type="dxa"/>
          </w:tcPr>
          <w:p w14:paraId="5AF0975A"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CBECC-Res 2013 Std. Design Results, 2015. </w:t>
            </w:r>
          </w:p>
        </w:tc>
      </w:tr>
      <w:tr w:rsidR="008A25E0" w:rsidRPr="00657865" w14:paraId="4BFB6E5B"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106731F0" w14:textId="77777777" w:rsidR="008A25E0" w:rsidRPr="00657865" w:rsidRDefault="008A25E0" w:rsidP="00970267">
            <w:pPr>
              <w:rPr>
                <w:rFonts w:ascii="Arial Narrow" w:hAnsi="Arial Narrow"/>
                <w:sz w:val="18"/>
                <w:szCs w:val="18"/>
              </w:rPr>
            </w:pPr>
          </w:p>
        </w:tc>
        <w:tc>
          <w:tcPr>
            <w:tcW w:w="2700" w:type="dxa"/>
          </w:tcPr>
          <w:p w14:paraId="61F3860C"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2016 Title 24 Energy Consumption</w:t>
            </w:r>
          </w:p>
        </w:tc>
        <w:tc>
          <w:tcPr>
            <w:tcW w:w="5220" w:type="dxa"/>
          </w:tcPr>
          <w:p w14:paraId="566A6D99"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CBECC-Res 2016 Std. Design Results, January, 2017. </w:t>
            </w:r>
          </w:p>
        </w:tc>
      </w:tr>
      <w:tr w:rsidR="008A25E0" w:rsidRPr="00657865" w14:paraId="00B5F582"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07C588DB" w14:textId="77777777" w:rsidR="008A25E0" w:rsidRPr="00657865" w:rsidRDefault="008A25E0" w:rsidP="00970267">
            <w:pPr>
              <w:rPr>
                <w:rFonts w:ascii="Arial Narrow" w:hAnsi="Arial Narrow"/>
                <w:sz w:val="18"/>
                <w:szCs w:val="18"/>
              </w:rPr>
            </w:pPr>
          </w:p>
        </w:tc>
        <w:tc>
          <w:tcPr>
            <w:tcW w:w="2700" w:type="dxa"/>
          </w:tcPr>
          <w:p w14:paraId="401FED56"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2019 Title 24 over 2016 Title 24</w:t>
            </w:r>
          </w:p>
        </w:tc>
        <w:tc>
          <w:tcPr>
            <w:tcW w:w="5220" w:type="dxa"/>
          </w:tcPr>
          <w:p w14:paraId="23E0C36D"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Communications with the California Energy Commission, January, 2017.</w:t>
            </w:r>
          </w:p>
        </w:tc>
      </w:tr>
      <w:tr w:rsidR="008A25E0" w:rsidRPr="00657865" w14:paraId="1F404B08"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5F982596" w14:textId="77777777" w:rsidR="008A25E0" w:rsidRPr="00657865" w:rsidRDefault="008A25E0" w:rsidP="00970267">
            <w:pPr>
              <w:rPr>
                <w:rFonts w:ascii="Arial Narrow" w:hAnsi="Arial Narrow"/>
                <w:sz w:val="18"/>
                <w:szCs w:val="18"/>
              </w:rPr>
            </w:pPr>
          </w:p>
        </w:tc>
        <w:tc>
          <w:tcPr>
            <w:tcW w:w="2700" w:type="dxa"/>
          </w:tcPr>
          <w:p w14:paraId="6AE6CF85"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 xml:space="preserve">ZNE over </w:t>
            </w:r>
            <w:r w:rsidRPr="00657865">
              <w:rPr>
                <w:rFonts w:ascii="Arial Narrow" w:hAnsi="Arial Narrow"/>
                <w:sz w:val="18"/>
                <w:szCs w:val="18"/>
              </w:rPr>
              <w:br/>
              <w:t>2013 Title 24</w:t>
            </w:r>
          </w:p>
        </w:tc>
        <w:tc>
          <w:tcPr>
            <w:tcW w:w="5220" w:type="dxa"/>
          </w:tcPr>
          <w:p w14:paraId="33B4196D"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ARUP, The Technical Feasibility of Zero Net Energy Buildings in California, December, 2012. </w:t>
            </w:r>
          </w:p>
        </w:tc>
      </w:tr>
    </w:tbl>
    <w:p w14:paraId="008B42FC" w14:textId="77777777" w:rsidR="00412E8E" w:rsidRPr="00CB6DF9" w:rsidRDefault="00827A6C" w:rsidP="00827A6C">
      <w:pPr>
        <w:pStyle w:val="Heading3"/>
      </w:pPr>
      <w:r>
        <w:t xml:space="preserve"> </w:t>
      </w:r>
      <w:bookmarkStart w:id="597" w:name="_Toc478990520"/>
      <w:bookmarkStart w:id="598" w:name="_Toc479768598"/>
      <w:bookmarkStart w:id="599" w:name="_Toc482357321"/>
      <w:bookmarkStart w:id="600" w:name="_Toc482634296"/>
      <w:bookmarkStart w:id="601" w:name="_Toc482626428"/>
      <w:bookmarkStart w:id="602" w:name="_Toc484092499"/>
      <w:bookmarkStart w:id="603" w:name="_Toc484172703"/>
      <w:bookmarkStart w:id="604" w:name="_Toc484183039"/>
      <w:bookmarkStart w:id="605" w:name="_Toc485126560"/>
      <w:r w:rsidR="00FF140D">
        <w:t>Retrofit</w:t>
      </w:r>
      <w:bookmarkEnd w:id="597"/>
      <w:bookmarkEnd w:id="598"/>
      <w:bookmarkEnd w:id="599"/>
      <w:bookmarkEnd w:id="600"/>
      <w:bookmarkEnd w:id="601"/>
      <w:bookmarkEnd w:id="602"/>
      <w:bookmarkEnd w:id="603"/>
      <w:bookmarkEnd w:id="604"/>
      <w:bookmarkEnd w:id="605"/>
    </w:p>
    <w:p w14:paraId="79955F30" w14:textId="77777777" w:rsidR="00A25643" w:rsidRPr="00A25643" w:rsidRDefault="00A25643" w:rsidP="00A25643">
      <w:r>
        <w:t xml:space="preserve">Characterization of both commercial and residential whole building retrofits reflects the encouragement of to-code savings in existing buildings expressed in </w:t>
      </w:r>
      <w:r w:rsidRPr="00A25643">
        <w:t>AB802</w:t>
      </w:r>
      <w:r>
        <w:t>.</w:t>
      </w:r>
    </w:p>
    <w:p w14:paraId="7271A3A1" w14:textId="77777777" w:rsidR="00661D3D" w:rsidRDefault="00661D3D" w:rsidP="00661D3D">
      <w:pPr>
        <w:pStyle w:val="Heading4"/>
      </w:pPr>
      <w:r>
        <w:t>Commercial</w:t>
      </w:r>
    </w:p>
    <w:p w14:paraId="0C9F5226" w14:textId="77777777" w:rsidR="005037D7" w:rsidRDefault="00661D3D" w:rsidP="00DF1DEF">
      <w:r>
        <w:t>In the 2015 Study, bundles of electric and gas measures were assembled from the MICS to represent the weighted average installation of measures by a typical participant. This 201</w:t>
      </w:r>
      <w:r w:rsidR="008C53A6">
        <w:t>8</w:t>
      </w:r>
      <w:r>
        <w:t xml:space="preserve"> Study moves away from this bottom-up approach, and instead uses a top-down approach with a goal of </w:t>
      </w:r>
      <w:r w:rsidR="00DF1DEF">
        <w:t xml:space="preserve">saving </w:t>
      </w:r>
      <w:r>
        <w:t>15 percent</w:t>
      </w:r>
      <w:r w:rsidR="00DF1DEF">
        <w:t xml:space="preserve"> of consumption at the whole building level</w:t>
      </w:r>
      <w:r>
        <w:t>.</w:t>
      </w:r>
      <w:r w:rsidR="00DF1DEF">
        <w:t xml:space="preserve"> </w:t>
      </w:r>
      <w:r w:rsidR="00B53BEC">
        <w:t xml:space="preserve">This target was selected in response to feedback collected at the November DAWG Meeting that indicated that whole building retrofits needed to achieve 15% savings </w:t>
      </w:r>
      <w:r w:rsidR="001940EB">
        <w:t>to</w:t>
      </w:r>
      <w:r w:rsidR="00B53BEC">
        <w:t xml:space="preserve"> be able to differentiate savings from noise </w:t>
      </w:r>
      <w:r w:rsidR="005037D7">
        <w:t>when using normalized metered energy consumption (NMEC) methods</w:t>
      </w:r>
      <w:r w:rsidR="008C53A6">
        <w:t xml:space="preserve"> and reflect deeper energy savings from multi-measure approach</w:t>
      </w:r>
      <w:r w:rsidR="00D11473">
        <w:t>es</w:t>
      </w:r>
      <w:r w:rsidR="00B53BEC">
        <w:t>.</w:t>
      </w:r>
      <w:r w:rsidR="0055163F">
        <w:rPr>
          <w:rStyle w:val="FootnoteReference"/>
        </w:rPr>
        <w:footnoteReference w:id="78"/>
      </w:r>
      <w:r>
        <w:t xml:space="preserve"> </w:t>
      </w:r>
      <w:r w:rsidR="000E2057">
        <w:t xml:space="preserve"> </w:t>
      </w:r>
    </w:p>
    <w:p w14:paraId="571F3C9E" w14:textId="77777777" w:rsidR="002B0003" w:rsidRDefault="002B0003" w:rsidP="00DF1DEF"/>
    <w:p w14:paraId="646557CE" w14:textId="77777777" w:rsidR="00914621" w:rsidRDefault="00DF1DEF" w:rsidP="00DF1DEF">
      <w:r>
        <w:lastRenderedPageBreak/>
        <w:t>Navigant verif</w:t>
      </w:r>
      <w:r w:rsidR="008733D9">
        <w:t>ied</w:t>
      </w:r>
      <w:r>
        <w:t xml:space="preserve"> that this level of savings could be achieved by addressing cooling, ventilation, lighting, and refrigeration electric end-uses and heating, water heating, and food service gas end-uses.</w:t>
      </w:r>
      <w:r w:rsidR="003E10D5">
        <w:rPr>
          <w:rStyle w:val="FootnoteReference"/>
        </w:rPr>
        <w:footnoteReference w:id="79"/>
      </w:r>
      <w:r>
        <w:t xml:space="preserve"> </w:t>
      </w:r>
      <w:r w:rsidR="000E2057">
        <w:fldChar w:fldCharType="begin"/>
      </w:r>
      <w:r w:rsidR="000E2057">
        <w:instrText xml:space="preserve"> REF _Ref481052268 \h </w:instrText>
      </w:r>
      <w:r w:rsidR="000E2057">
        <w:fldChar w:fldCharType="separate"/>
      </w:r>
      <w:r w:rsidR="00C407F4">
        <w:t xml:space="preserve">Figure </w:t>
      </w:r>
      <w:r w:rsidR="00C407F4">
        <w:rPr>
          <w:noProof/>
        </w:rPr>
        <w:t>3</w:t>
      </w:r>
      <w:r w:rsidR="00C407F4">
        <w:noBreakHyphen/>
      </w:r>
      <w:r w:rsidR="00C407F4">
        <w:rPr>
          <w:noProof/>
        </w:rPr>
        <w:t>6</w:t>
      </w:r>
      <w:r w:rsidR="000E2057">
        <w:fldChar w:fldCharType="end"/>
      </w:r>
      <w:r w:rsidR="000E2057">
        <w:t xml:space="preserve"> uses the example of colleges in PG&amp;E’s territory to demonstrate the calculations conducted </w:t>
      </w:r>
      <w:r w:rsidR="000D3A30">
        <w:t xml:space="preserve">for each building type </w:t>
      </w:r>
      <w:r w:rsidR="000E2057">
        <w:t xml:space="preserve">to ensure feasibility of </w:t>
      </w:r>
      <w:r w:rsidR="00DB3CD4">
        <w:t>the 15% savings</w:t>
      </w:r>
      <w:r w:rsidR="000E2057">
        <w:t xml:space="preserve"> target. </w:t>
      </w:r>
      <w:r w:rsidR="000D3A30">
        <w:t xml:space="preserve">After defining the total savings target, these savings are distributed among the end uses listed above. The distribution was derived by starting with the percent savings exhibited by each end use in the 2013-2015 California energy efficiency portfolio. These had to be modified in an </w:t>
      </w:r>
      <w:r w:rsidR="000D3A30" w:rsidRPr="008733D9">
        <w:t xml:space="preserve">iterative process using the </w:t>
      </w:r>
      <w:r w:rsidR="008733D9" w:rsidRPr="007D4A2A">
        <w:t>following parameters</w:t>
      </w:r>
      <w:r w:rsidR="008733D9" w:rsidRPr="008733D9">
        <w:t xml:space="preserve"> </w:t>
      </w:r>
      <w:r w:rsidR="000D3A30" w:rsidRPr="008733D9">
        <w:t>to ensure that</w:t>
      </w:r>
      <w:r w:rsidR="00A74EDF" w:rsidRPr="008733D9">
        <w:t xml:space="preserve"> reasonable savings were expected from each end use</w:t>
      </w:r>
      <w:r w:rsidR="007D4A2A">
        <w:t>:</w:t>
      </w:r>
      <w:r w:rsidR="00A74EDF" w:rsidRPr="008733D9">
        <w:t xml:space="preserve"> Navigant</w:t>
      </w:r>
      <w:r w:rsidR="00A74EDF">
        <w:t xml:space="preserve"> kept savings at or below </w:t>
      </w:r>
      <w:r w:rsidR="003E10D5">
        <w:t xml:space="preserve">50% for lighting and </w:t>
      </w:r>
      <w:r w:rsidR="00A74EDF">
        <w:t xml:space="preserve">at or below </w:t>
      </w:r>
      <w:r w:rsidR="003E10D5">
        <w:t xml:space="preserve">20% on all other end-uses with minimal exceptions. </w:t>
      </w:r>
    </w:p>
    <w:p w14:paraId="1EE674F2" w14:textId="77777777" w:rsidR="00DB3CD4" w:rsidRDefault="00DB3CD4" w:rsidP="00DF1DEF"/>
    <w:p w14:paraId="0A212C1A" w14:textId="77777777" w:rsidR="004578E3" w:rsidRDefault="00DB3CD4" w:rsidP="00DB3CD4">
      <w:pPr>
        <w:pStyle w:val="Caption"/>
      </w:pPr>
      <w:bookmarkStart w:id="606" w:name="_Ref481052268"/>
      <w:bookmarkStart w:id="607" w:name="_Toc482634252"/>
      <w:bookmarkStart w:id="608" w:name="_Toc482626460"/>
      <w:bookmarkStart w:id="609" w:name="_Toc484437004"/>
      <w:bookmarkStart w:id="610" w:name="_Toc485125514"/>
      <w:r>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6</w:t>
      </w:r>
      <w:r w:rsidR="00272F76">
        <w:rPr>
          <w:noProof/>
        </w:rPr>
        <w:fldChar w:fldCharType="end"/>
      </w:r>
      <w:bookmarkEnd w:id="606"/>
      <w:r>
        <w:t>. Whole Building Retrofit Savings Calculation and Viability Check</w:t>
      </w:r>
      <w:bookmarkEnd w:id="607"/>
      <w:bookmarkEnd w:id="608"/>
      <w:bookmarkEnd w:id="609"/>
      <w:bookmarkEnd w:id="610"/>
      <w:r w:rsidR="000E2057" w:rsidRPr="000E2057">
        <w:rPr>
          <w:noProof/>
        </w:rPr>
        <w:t xml:space="preserve"> </w:t>
      </w:r>
    </w:p>
    <w:p w14:paraId="35A5A029" w14:textId="77777777" w:rsidR="00DB3CD4" w:rsidRDefault="00483510" w:rsidP="00483510">
      <w:pPr>
        <w:jc w:val="center"/>
        <w:rPr>
          <w:noProof/>
        </w:rPr>
      </w:pPr>
      <w:r>
        <w:rPr>
          <w:noProof/>
        </w:rPr>
        <w:drawing>
          <wp:inline distT="0" distB="0" distL="0" distR="0" wp14:anchorId="7B4B19A0" wp14:editId="0B22FF12">
            <wp:extent cx="4925060" cy="42868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5060" cy="4286885"/>
                    </a:xfrm>
                    <a:prstGeom prst="rect">
                      <a:avLst/>
                    </a:prstGeom>
                    <a:noFill/>
                  </pic:spPr>
                </pic:pic>
              </a:graphicData>
            </a:graphic>
          </wp:inline>
        </w:drawing>
      </w:r>
    </w:p>
    <w:p w14:paraId="2DFE2002" w14:textId="77777777" w:rsidR="008733D9" w:rsidRDefault="008733D9" w:rsidP="00DE2A8D">
      <w:pPr>
        <w:rPr>
          <w:noProof/>
        </w:rPr>
      </w:pPr>
    </w:p>
    <w:p w14:paraId="091EC1C6" w14:textId="77777777" w:rsidR="00827A6C" w:rsidRDefault="00B571B1" w:rsidP="00DE2A8D">
      <w:r>
        <w:rPr>
          <w:noProof/>
        </w:rPr>
        <w:t xml:space="preserve">Costs were applied to these energy savings using an average unit energy savings ($/kWh or $/therm) associated with each end use across the 2013-2015 California energy efficiency portfolio. </w:t>
      </w:r>
      <w:r w:rsidR="004A6E30">
        <w:t xml:space="preserve">The data sources listed in </w:t>
      </w:r>
      <w:r>
        <w:fldChar w:fldCharType="begin"/>
      </w:r>
      <w:r>
        <w:instrText xml:space="preserve"> REF _Ref481069725 \h </w:instrText>
      </w:r>
      <w:r>
        <w:fldChar w:fldCharType="separate"/>
      </w:r>
      <w:r w:rsidR="00C407F4">
        <w:t xml:space="preserve">Table </w:t>
      </w:r>
      <w:r w:rsidR="00C407F4">
        <w:rPr>
          <w:noProof/>
        </w:rPr>
        <w:t>3</w:t>
      </w:r>
      <w:r w:rsidR="00C407F4">
        <w:noBreakHyphen/>
      </w:r>
      <w:r w:rsidR="00C407F4">
        <w:rPr>
          <w:noProof/>
        </w:rPr>
        <w:t>22</w:t>
      </w:r>
      <w:r>
        <w:fldChar w:fldCharType="end"/>
      </w:r>
      <w:r w:rsidR="00DB3CD4">
        <w:t xml:space="preserve"> </w:t>
      </w:r>
      <w:r w:rsidR="004A6E30">
        <w:t xml:space="preserve">were used for this analysis. </w:t>
      </w:r>
      <w:r w:rsidR="00DE2A8D">
        <w:t>This approach yields increased demand savings and comparable energy savings</w:t>
      </w:r>
      <w:r>
        <w:t xml:space="preserve"> to the 2015 Study analysis.</w:t>
      </w:r>
    </w:p>
    <w:p w14:paraId="7BFC829F" w14:textId="77777777" w:rsidR="002B0003" w:rsidRDefault="002B0003" w:rsidP="00DE2A8D"/>
    <w:p w14:paraId="212C08B9" w14:textId="77777777" w:rsidR="003E10D5" w:rsidRDefault="003E10D5" w:rsidP="00211361">
      <w:pPr>
        <w:pStyle w:val="Caption"/>
      </w:pPr>
      <w:bookmarkStart w:id="611" w:name="_Ref478121273"/>
      <w:bookmarkStart w:id="612" w:name="_Ref481069725"/>
      <w:bookmarkStart w:id="613" w:name="_Toc482634230"/>
      <w:bookmarkStart w:id="614" w:name="_Toc484436969"/>
      <w:bookmarkStart w:id="615" w:name="_Toc485125680"/>
      <w:r>
        <w:lastRenderedPageBreak/>
        <w:t xml:space="preserve">Table </w:t>
      </w:r>
      <w:bookmarkEnd w:id="611"/>
      <w:r w:rsidR="00C17D59">
        <w:fldChar w:fldCharType="begin"/>
      </w:r>
      <w:r w:rsidR="00C17D59">
        <w:instrText xml:space="preserve"> STYLEREF 1 \s </w:instrText>
      </w:r>
      <w:r w:rsidR="00C17D59">
        <w:fldChar w:fldCharType="separate"/>
      </w:r>
      <w:r w:rsidR="00C407F4">
        <w:rPr>
          <w:noProof/>
        </w:rPr>
        <w:t>3</w:t>
      </w:r>
      <w:r w:rsidR="00C17D59">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22</w:t>
      </w:r>
      <w:r w:rsidR="00272F76">
        <w:rPr>
          <w:noProof/>
        </w:rPr>
        <w:fldChar w:fldCharType="end"/>
      </w:r>
      <w:bookmarkEnd w:id="612"/>
      <w:r>
        <w:t xml:space="preserve">. </w:t>
      </w:r>
      <w:r>
        <w:rPr>
          <w:noProof/>
        </w:rPr>
        <w:t>Commercial Retrofit Whole Building Data Sources</w:t>
      </w:r>
      <w:bookmarkEnd w:id="613"/>
      <w:bookmarkEnd w:id="614"/>
      <w:bookmarkEnd w:id="615"/>
    </w:p>
    <w:tbl>
      <w:tblPr>
        <w:tblStyle w:val="EnergyTable1"/>
        <w:tblW w:w="0" w:type="auto"/>
        <w:tblLayout w:type="fixed"/>
        <w:tblLook w:val="04A0" w:firstRow="1" w:lastRow="0" w:firstColumn="1" w:lastColumn="0" w:noHBand="0" w:noVBand="1"/>
      </w:tblPr>
      <w:tblGrid>
        <w:gridCol w:w="2250"/>
        <w:gridCol w:w="7110"/>
      </w:tblGrid>
      <w:tr w:rsidR="003E10D5" w:rsidRPr="00483510" w14:paraId="04EFF520" w14:textId="77777777" w:rsidTr="00110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31575788" w14:textId="77777777" w:rsidR="003E10D5" w:rsidRPr="00483510" w:rsidRDefault="003E10D5" w:rsidP="00211361">
            <w:pPr>
              <w:keepNext/>
              <w:rPr>
                <w:rFonts w:ascii="Arial Narrow" w:hAnsi="Arial Narrow"/>
                <w:sz w:val="18"/>
                <w:szCs w:val="18"/>
              </w:rPr>
            </w:pPr>
            <w:r w:rsidRPr="00483510">
              <w:rPr>
                <w:rFonts w:ascii="Arial Narrow" w:hAnsi="Arial Narrow"/>
                <w:sz w:val="18"/>
                <w:szCs w:val="18"/>
              </w:rPr>
              <w:t>Data Items</w:t>
            </w:r>
          </w:p>
        </w:tc>
        <w:tc>
          <w:tcPr>
            <w:tcW w:w="7110" w:type="dxa"/>
          </w:tcPr>
          <w:p w14:paraId="7EC5CA54" w14:textId="77777777" w:rsidR="003E10D5" w:rsidRPr="00483510" w:rsidRDefault="003E10D5" w:rsidP="00211361">
            <w:pPr>
              <w:keepNex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Data Sources</w:t>
            </w:r>
          </w:p>
        </w:tc>
      </w:tr>
      <w:tr w:rsidR="003E10D5" w:rsidRPr="00483510" w14:paraId="58CC375A"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49B82CD" w14:textId="77777777" w:rsidR="003E10D5" w:rsidRPr="00483510" w:rsidRDefault="000928BA" w:rsidP="00211361">
            <w:pPr>
              <w:keepNext/>
              <w:rPr>
                <w:rFonts w:ascii="Arial Narrow" w:hAnsi="Arial Narrow"/>
                <w:sz w:val="18"/>
                <w:szCs w:val="18"/>
              </w:rPr>
            </w:pPr>
            <w:r w:rsidRPr="00483510">
              <w:rPr>
                <w:rFonts w:ascii="Arial Narrow" w:hAnsi="Arial Narrow"/>
                <w:sz w:val="18"/>
                <w:szCs w:val="18"/>
              </w:rPr>
              <w:t xml:space="preserve">Energy Intensity by End-Use and </w:t>
            </w:r>
            <w:r w:rsidRPr="00483510">
              <w:rPr>
                <w:rFonts w:ascii="Arial Narrow" w:hAnsi="Arial Narrow"/>
                <w:sz w:val="18"/>
                <w:szCs w:val="18"/>
              </w:rPr>
              <w:br/>
              <w:t>Building Type</w:t>
            </w:r>
          </w:p>
        </w:tc>
        <w:tc>
          <w:tcPr>
            <w:tcW w:w="7110" w:type="dxa"/>
          </w:tcPr>
          <w:p w14:paraId="5CF5B276" w14:textId="77777777" w:rsidR="003E10D5" w:rsidRPr="00483510" w:rsidRDefault="000928BA" w:rsidP="00211361">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 xml:space="preserve">California Energy Commission, </w:t>
            </w:r>
            <w:r w:rsidR="003E10D5" w:rsidRPr="00483510">
              <w:rPr>
                <w:rFonts w:ascii="Arial Narrow" w:hAnsi="Arial Narrow"/>
                <w:sz w:val="18"/>
                <w:szCs w:val="18"/>
              </w:rPr>
              <w:t>California Comm</w:t>
            </w:r>
            <w:r w:rsidRPr="00483510">
              <w:rPr>
                <w:rFonts w:ascii="Arial Narrow" w:hAnsi="Arial Narrow"/>
                <w:sz w:val="18"/>
                <w:szCs w:val="18"/>
              </w:rPr>
              <w:t>ercial End-Use Survey</w:t>
            </w:r>
            <w:r w:rsidR="003E10D5" w:rsidRPr="00483510">
              <w:rPr>
                <w:rFonts w:ascii="Arial Narrow" w:hAnsi="Arial Narrow"/>
                <w:sz w:val="18"/>
                <w:szCs w:val="18"/>
              </w:rPr>
              <w:t xml:space="preserve">, </w:t>
            </w:r>
            <w:r w:rsidRPr="00483510">
              <w:rPr>
                <w:rFonts w:ascii="Arial Narrow" w:hAnsi="Arial Narrow"/>
                <w:sz w:val="18"/>
                <w:szCs w:val="18"/>
              </w:rPr>
              <w:t>March</w:t>
            </w:r>
            <w:r w:rsidR="003E10D5" w:rsidRPr="00483510">
              <w:rPr>
                <w:rFonts w:ascii="Arial Narrow" w:hAnsi="Arial Narrow"/>
                <w:sz w:val="18"/>
                <w:szCs w:val="18"/>
              </w:rPr>
              <w:t>, 20</w:t>
            </w:r>
            <w:r w:rsidRPr="00483510">
              <w:rPr>
                <w:rFonts w:ascii="Arial Narrow" w:hAnsi="Arial Narrow"/>
                <w:sz w:val="18"/>
                <w:szCs w:val="18"/>
              </w:rPr>
              <w:t>06</w:t>
            </w:r>
            <w:r w:rsidR="003E10D5" w:rsidRPr="00483510">
              <w:rPr>
                <w:rFonts w:ascii="Arial Narrow" w:hAnsi="Arial Narrow"/>
                <w:sz w:val="18"/>
                <w:szCs w:val="18"/>
              </w:rPr>
              <w:t xml:space="preserve">. </w:t>
            </w:r>
          </w:p>
        </w:tc>
      </w:tr>
      <w:tr w:rsidR="000928BA" w:rsidRPr="00483510" w14:paraId="2D720DB5"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D745369" w14:textId="77777777" w:rsidR="000928BA" w:rsidRPr="00483510" w:rsidRDefault="000928BA" w:rsidP="00211361">
            <w:pPr>
              <w:keepNext/>
              <w:rPr>
                <w:rFonts w:ascii="Arial Narrow" w:hAnsi="Arial Narrow"/>
                <w:sz w:val="18"/>
                <w:szCs w:val="18"/>
              </w:rPr>
            </w:pPr>
            <w:r w:rsidRPr="00483510">
              <w:rPr>
                <w:rFonts w:ascii="Arial Narrow" w:hAnsi="Arial Narrow"/>
                <w:sz w:val="18"/>
                <w:szCs w:val="18"/>
              </w:rPr>
              <w:t>Floorspace</w:t>
            </w:r>
          </w:p>
        </w:tc>
        <w:tc>
          <w:tcPr>
            <w:tcW w:w="7110" w:type="dxa"/>
          </w:tcPr>
          <w:p w14:paraId="62B0A335" w14:textId="77777777" w:rsidR="000928BA" w:rsidRPr="00483510" w:rsidRDefault="000928BA" w:rsidP="00211361">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California Energy Commission, 2016 Integrated Energy Policy Report</w:t>
            </w:r>
            <w:r w:rsidR="00CF6A4B" w:rsidRPr="00483510">
              <w:rPr>
                <w:rFonts w:ascii="Arial Narrow" w:hAnsi="Arial Narrow"/>
                <w:sz w:val="18"/>
                <w:szCs w:val="18"/>
              </w:rPr>
              <w:t>.</w:t>
            </w:r>
          </w:p>
        </w:tc>
      </w:tr>
      <w:tr w:rsidR="000928BA" w:rsidRPr="00483510" w14:paraId="24069580"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84B059" w14:textId="77777777" w:rsidR="000928BA" w:rsidRPr="00483510" w:rsidRDefault="00CF6A4B" w:rsidP="0035722A">
            <w:pPr>
              <w:rPr>
                <w:rFonts w:ascii="Arial Narrow" w:hAnsi="Arial Narrow"/>
                <w:sz w:val="18"/>
                <w:szCs w:val="18"/>
              </w:rPr>
            </w:pPr>
            <w:r w:rsidRPr="00483510">
              <w:rPr>
                <w:rFonts w:ascii="Arial Narrow" w:hAnsi="Arial Narrow"/>
                <w:sz w:val="18"/>
                <w:szCs w:val="18"/>
              </w:rPr>
              <w:t>Cost</w:t>
            </w:r>
            <w:r w:rsidR="0015628F" w:rsidRPr="00483510">
              <w:rPr>
                <w:rFonts w:ascii="Arial Narrow" w:hAnsi="Arial Narrow"/>
                <w:sz w:val="18"/>
                <w:szCs w:val="18"/>
              </w:rPr>
              <w:t>s</w:t>
            </w:r>
          </w:p>
        </w:tc>
        <w:tc>
          <w:tcPr>
            <w:tcW w:w="7110" w:type="dxa"/>
          </w:tcPr>
          <w:p w14:paraId="7C6E06C4" w14:textId="77777777" w:rsidR="000928BA" w:rsidRPr="00483510" w:rsidRDefault="00CF6A4B" w:rsidP="000928BA">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California Public Utilities Commission, California Energy Efficiency Statistics, 2013-2015 Program Cycle.</w:t>
            </w:r>
          </w:p>
        </w:tc>
      </w:tr>
    </w:tbl>
    <w:p w14:paraId="2BA21290" w14:textId="77777777" w:rsidR="00827A6C" w:rsidRDefault="00827A6C" w:rsidP="00B53BEC">
      <w:pPr>
        <w:pStyle w:val="Heading4"/>
        <w:ind w:left="900"/>
      </w:pPr>
      <w:r>
        <w:t>Residential</w:t>
      </w:r>
    </w:p>
    <w:p w14:paraId="03AEE799" w14:textId="77777777" w:rsidR="004A6E30" w:rsidRDefault="00B571B1" w:rsidP="004A6E30">
      <w:r>
        <w:fldChar w:fldCharType="begin"/>
      </w:r>
      <w:r>
        <w:instrText xml:space="preserve"> REF _Ref481069982 \h </w:instrText>
      </w:r>
      <w:r>
        <w:fldChar w:fldCharType="separate"/>
      </w:r>
      <w:r w:rsidR="00C407F4">
        <w:t xml:space="preserve">Table </w:t>
      </w:r>
      <w:r w:rsidR="00C407F4">
        <w:rPr>
          <w:noProof/>
        </w:rPr>
        <w:t>3</w:t>
      </w:r>
      <w:r w:rsidR="00C407F4">
        <w:noBreakHyphen/>
      </w:r>
      <w:r w:rsidR="00C407F4">
        <w:rPr>
          <w:noProof/>
        </w:rPr>
        <w:t>23</w:t>
      </w:r>
      <w:r>
        <w:fldChar w:fldCharType="end"/>
      </w:r>
      <w:r>
        <w:t xml:space="preserve"> </w:t>
      </w:r>
      <w:r w:rsidR="004A6E30">
        <w:t xml:space="preserve">provides the sources of data </w:t>
      </w:r>
      <w:r>
        <w:t xml:space="preserve">used </w:t>
      </w:r>
      <w:r w:rsidR="004A6E30">
        <w:t xml:space="preserve">in characterizing the Energy Upgrade California program. </w:t>
      </w:r>
      <w:r>
        <w:rPr>
          <w:noProof/>
        </w:rPr>
        <w:t xml:space="preserve">Costs were applied to the energy savings using an average unit energy savings ($/kWh or $/therm) as derived from the program metrics reported by all Energy Upgrade California IOU programs. </w:t>
      </w:r>
      <w:r w:rsidR="004A6E30">
        <w:t xml:space="preserve">The </w:t>
      </w:r>
      <w:r w:rsidR="00BB59F5">
        <w:t>2018</w:t>
      </w:r>
      <w:r w:rsidR="004A6E30">
        <w:t xml:space="preserve"> Study results indicate higher multifamily costs than the 2015 Study as well as higher energy savings. </w:t>
      </w:r>
    </w:p>
    <w:p w14:paraId="67F77E6B" w14:textId="77777777" w:rsidR="003E4E1A" w:rsidRDefault="003E4E1A" w:rsidP="003E4E1A"/>
    <w:p w14:paraId="1CB9C4A9" w14:textId="77777777" w:rsidR="003E4E1A" w:rsidRDefault="003E4E1A" w:rsidP="003E4E1A">
      <w:pPr>
        <w:pStyle w:val="Caption"/>
      </w:pPr>
      <w:bookmarkStart w:id="616" w:name="_Ref478121285"/>
      <w:bookmarkStart w:id="617" w:name="_Ref481069982"/>
      <w:bookmarkStart w:id="618" w:name="_Toc482634231"/>
      <w:bookmarkStart w:id="619" w:name="_Toc484436970"/>
      <w:bookmarkStart w:id="620" w:name="_Toc485125681"/>
      <w:r>
        <w:t xml:space="preserve">Table </w:t>
      </w:r>
      <w:bookmarkEnd w:id="616"/>
      <w:r w:rsidR="00C17D59">
        <w:fldChar w:fldCharType="begin"/>
      </w:r>
      <w:r w:rsidR="00C17D59">
        <w:instrText xml:space="preserve"> STYLEREF 1 \s </w:instrText>
      </w:r>
      <w:r w:rsidR="00C17D59">
        <w:fldChar w:fldCharType="separate"/>
      </w:r>
      <w:r w:rsidR="00C407F4">
        <w:rPr>
          <w:noProof/>
        </w:rPr>
        <w:t>3</w:t>
      </w:r>
      <w:r w:rsidR="00C17D59">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23</w:t>
      </w:r>
      <w:r w:rsidR="00272F76">
        <w:rPr>
          <w:noProof/>
        </w:rPr>
        <w:fldChar w:fldCharType="end"/>
      </w:r>
      <w:bookmarkEnd w:id="617"/>
      <w:r>
        <w:t>. Residential Retrofit Whole Building Data Updates</w:t>
      </w:r>
      <w:bookmarkEnd w:id="618"/>
      <w:bookmarkEnd w:id="619"/>
      <w:bookmarkEnd w:id="620"/>
    </w:p>
    <w:tbl>
      <w:tblPr>
        <w:tblStyle w:val="EnergyTable1"/>
        <w:tblW w:w="0" w:type="auto"/>
        <w:tblLayout w:type="fixed"/>
        <w:tblLook w:val="04A0" w:firstRow="1" w:lastRow="0" w:firstColumn="1" w:lastColumn="0" w:noHBand="0" w:noVBand="1"/>
      </w:tblPr>
      <w:tblGrid>
        <w:gridCol w:w="2250"/>
        <w:gridCol w:w="7110"/>
      </w:tblGrid>
      <w:tr w:rsidR="003E4E1A" w:rsidRPr="00483510" w14:paraId="55CE92C9" w14:textId="77777777" w:rsidTr="00110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DBA4F8E" w14:textId="77777777" w:rsidR="003E4E1A" w:rsidRPr="00483510" w:rsidRDefault="003E4E1A" w:rsidP="0035722A">
            <w:pPr>
              <w:rPr>
                <w:rFonts w:ascii="Arial Narrow" w:hAnsi="Arial Narrow"/>
                <w:sz w:val="18"/>
                <w:szCs w:val="18"/>
              </w:rPr>
            </w:pPr>
            <w:r w:rsidRPr="00483510">
              <w:rPr>
                <w:rFonts w:ascii="Arial Narrow" w:hAnsi="Arial Narrow"/>
                <w:sz w:val="18"/>
                <w:szCs w:val="18"/>
              </w:rPr>
              <w:t>Data Items</w:t>
            </w:r>
          </w:p>
        </w:tc>
        <w:tc>
          <w:tcPr>
            <w:tcW w:w="7110" w:type="dxa"/>
          </w:tcPr>
          <w:p w14:paraId="0F8AAAFE" w14:textId="77777777" w:rsidR="003E4E1A" w:rsidRPr="00483510" w:rsidRDefault="003E4E1A" w:rsidP="0035722A">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Data Sources</w:t>
            </w:r>
          </w:p>
        </w:tc>
      </w:tr>
      <w:tr w:rsidR="003E4E1A" w:rsidRPr="00483510" w14:paraId="56D25BB5"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0E211EB" w14:textId="77777777" w:rsidR="003E4E1A" w:rsidRPr="00483510" w:rsidRDefault="003E4E1A" w:rsidP="0035722A">
            <w:pPr>
              <w:rPr>
                <w:rFonts w:ascii="Arial Narrow" w:hAnsi="Arial Narrow"/>
                <w:sz w:val="18"/>
                <w:szCs w:val="18"/>
              </w:rPr>
            </w:pPr>
            <w:r w:rsidRPr="00483510">
              <w:rPr>
                <w:rFonts w:ascii="Arial Narrow" w:hAnsi="Arial Narrow"/>
                <w:sz w:val="18"/>
                <w:szCs w:val="18"/>
              </w:rPr>
              <w:t>Single Family Savings</w:t>
            </w:r>
          </w:p>
        </w:tc>
        <w:tc>
          <w:tcPr>
            <w:tcW w:w="7110" w:type="dxa"/>
          </w:tcPr>
          <w:p w14:paraId="2BD6499A" w14:textId="77777777" w:rsidR="005037D7" w:rsidRPr="00483510" w:rsidRDefault="003E4E1A" w:rsidP="005037D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 xml:space="preserve">DNV GL, Focused Impact Evaluation of the 2013-2014 Home Upgrade Program, CALMAC ID: CPU0118.01. </w:t>
            </w:r>
            <w:r w:rsidRPr="00483510">
              <w:rPr>
                <w:rFonts w:ascii="Arial Narrow" w:hAnsi="Arial Narrow"/>
                <w:sz w:val="18"/>
                <w:szCs w:val="18"/>
              </w:rPr>
              <w:br/>
            </w:r>
            <w:hyperlink r:id="rId50" w:history="1">
              <w:r w:rsidR="005037D7" w:rsidRPr="00483510">
                <w:rPr>
                  <w:rStyle w:val="Hyperlink"/>
                  <w:rFonts w:ascii="Arial Narrow" w:hAnsi="Arial Narrow"/>
                  <w:sz w:val="18"/>
                  <w:szCs w:val="18"/>
                </w:rPr>
                <w:t>http://www.calmac.org/publications/CPUC_HUP_Focused_Evaluation-FINAL_05-03-16atr.pdf</w:t>
              </w:r>
            </w:hyperlink>
          </w:p>
        </w:tc>
      </w:tr>
      <w:tr w:rsidR="003E4E1A" w:rsidRPr="00483510" w14:paraId="01D10314" w14:textId="77777777" w:rsidTr="0011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F150286" w14:textId="77777777" w:rsidR="003E4E1A" w:rsidRPr="00483510" w:rsidRDefault="003E4E1A" w:rsidP="0035722A">
            <w:pPr>
              <w:rPr>
                <w:rFonts w:ascii="Arial Narrow" w:hAnsi="Arial Narrow"/>
                <w:sz w:val="18"/>
                <w:szCs w:val="18"/>
              </w:rPr>
            </w:pPr>
            <w:r w:rsidRPr="00483510">
              <w:rPr>
                <w:rFonts w:ascii="Arial Narrow" w:hAnsi="Arial Narrow"/>
                <w:sz w:val="18"/>
                <w:szCs w:val="18"/>
              </w:rPr>
              <w:t>Multifamily Savings</w:t>
            </w:r>
          </w:p>
        </w:tc>
        <w:tc>
          <w:tcPr>
            <w:tcW w:w="7110" w:type="dxa"/>
          </w:tcPr>
          <w:p w14:paraId="440EAB5E" w14:textId="77777777" w:rsidR="003E4E1A" w:rsidRPr="00483510" w:rsidRDefault="004A6E30" w:rsidP="0035722A">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 xml:space="preserve">Apex Analytics, </w:t>
            </w:r>
            <w:r w:rsidR="003E4E1A" w:rsidRPr="00483510">
              <w:rPr>
                <w:rFonts w:ascii="Arial Narrow" w:hAnsi="Arial Narrow"/>
                <w:sz w:val="18"/>
                <w:szCs w:val="18"/>
              </w:rPr>
              <w:t>Draft</w:t>
            </w:r>
            <w:r w:rsidRPr="00483510">
              <w:rPr>
                <w:rFonts w:ascii="Arial Narrow" w:hAnsi="Arial Narrow"/>
                <w:sz w:val="18"/>
                <w:szCs w:val="18"/>
              </w:rPr>
              <w:t xml:space="preserve"> Results of 2015 Impact Evaluation. </w:t>
            </w:r>
            <w:r w:rsidR="003E4E1A" w:rsidRPr="00483510">
              <w:rPr>
                <w:rFonts w:ascii="Arial Narrow" w:hAnsi="Arial Narrow"/>
                <w:sz w:val="18"/>
                <w:szCs w:val="18"/>
              </w:rPr>
              <w:t xml:space="preserve"> </w:t>
            </w:r>
          </w:p>
        </w:tc>
      </w:tr>
      <w:tr w:rsidR="003E4E1A" w:rsidRPr="00483510" w14:paraId="5D19754E" w14:textId="77777777" w:rsidTr="00110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A6FC625" w14:textId="77777777" w:rsidR="003E4E1A" w:rsidRPr="00483510" w:rsidRDefault="003E4E1A" w:rsidP="0035722A">
            <w:pPr>
              <w:rPr>
                <w:rFonts w:ascii="Arial Narrow" w:hAnsi="Arial Narrow"/>
                <w:sz w:val="18"/>
                <w:szCs w:val="18"/>
              </w:rPr>
            </w:pPr>
            <w:r w:rsidRPr="00483510">
              <w:rPr>
                <w:rFonts w:ascii="Arial Narrow" w:hAnsi="Arial Narrow"/>
                <w:sz w:val="18"/>
                <w:szCs w:val="18"/>
              </w:rPr>
              <w:t>Costs</w:t>
            </w:r>
          </w:p>
        </w:tc>
        <w:tc>
          <w:tcPr>
            <w:tcW w:w="7110" w:type="dxa"/>
          </w:tcPr>
          <w:p w14:paraId="3D1155E8" w14:textId="77777777" w:rsidR="003E4E1A" w:rsidRPr="00483510" w:rsidRDefault="003E4E1A" w:rsidP="0035722A">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California Public Utilities Commission, California Energy Efficiency Statistics, 2013-2015 Program Cycle.</w:t>
            </w:r>
          </w:p>
        </w:tc>
      </w:tr>
    </w:tbl>
    <w:p w14:paraId="34B60AE0" w14:textId="77777777" w:rsidR="00412E8E" w:rsidRDefault="00827A6C" w:rsidP="00827A6C">
      <w:pPr>
        <w:pStyle w:val="Heading2"/>
      </w:pPr>
      <w:r>
        <w:t xml:space="preserve"> </w:t>
      </w:r>
      <w:bookmarkStart w:id="621" w:name="_Toc478990521"/>
      <w:bookmarkStart w:id="622" w:name="_Toc479768599"/>
      <w:bookmarkStart w:id="623" w:name="_Toc482353520"/>
      <w:bookmarkStart w:id="624" w:name="_Toc482357322"/>
      <w:bookmarkStart w:id="625" w:name="_Toc482634297"/>
      <w:bookmarkStart w:id="626" w:name="_Toc482626429"/>
      <w:bookmarkStart w:id="627" w:name="_Toc484092500"/>
      <w:bookmarkStart w:id="628" w:name="_Toc484172704"/>
      <w:bookmarkStart w:id="629" w:name="_Toc484183040"/>
      <w:bookmarkStart w:id="630" w:name="_Toc485126561"/>
      <w:r w:rsidR="00412E8E">
        <w:t>Codes and Standards</w:t>
      </w:r>
      <w:bookmarkEnd w:id="621"/>
      <w:bookmarkEnd w:id="622"/>
      <w:bookmarkEnd w:id="623"/>
      <w:bookmarkEnd w:id="624"/>
      <w:bookmarkEnd w:id="625"/>
      <w:bookmarkEnd w:id="626"/>
      <w:bookmarkEnd w:id="627"/>
      <w:bookmarkEnd w:id="628"/>
      <w:bookmarkEnd w:id="629"/>
      <w:bookmarkEnd w:id="630"/>
    </w:p>
    <w:p w14:paraId="46CC0F89" w14:textId="77777777" w:rsidR="006B44D0" w:rsidRDefault="006B44D0" w:rsidP="006B44D0">
      <w:r>
        <w:t xml:space="preserve">C&amp;S modeled in the PG study use data from multiple sources. </w:t>
      </w:r>
      <w:r w:rsidRPr="00243365">
        <w:t xml:space="preserve">For </w:t>
      </w:r>
      <w:r>
        <w:t>evaluated C&amp;S</w:t>
      </w:r>
      <w:r w:rsidRPr="00243365">
        <w:t xml:space="preserve"> the </w:t>
      </w:r>
      <w:r>
        <w:t>201</w:t>
      </w:r>
      <w:r w:rsidR="00682288">
        <w:t>8</w:t>
      </w:r>
      <w:r>
        <w:t xml:space="preserve"> PG M</w:t>
      </w:r>
      <w:r w:rsidRPr="00243365">
        <w:t>odel uses ISSM</w:t>
      </w:r>
      <w:r w:rsidRPr="00243365">
        <w:rPr>
          <w:rStyle w:val="FootnoteReference"/>
        </w:rPr>
        <w:footnoteReference w:id="80"/>
      </w:r>
      <w:r w:rsidRPr="00243365">
        <w:t xml:space="preserve"> </w:t>
      </w:r>
      <w:r>
        <w:t xml:space="preserve">as its </w:t>
      </w:r>
      <w:r w:rsidRPr="00243365">
        <w:t>data</w:t>
      </w:r>
      <w:r>
        <w:t xml:space="preserve"> source</w:t>
      </w:r>
      <w:r w:rsidRPr="00243365">
        <w:t>.</w:t>
      </w:r>
      <w:r w:rsidR="00CD41D5">
        <w:rPr>
          <w:rStyle w:val="FootnoteReference"/>
        </w:rPr>
        <w:footnoteReference w:id="81"/>
      </w:r>
      <w:r w:rsidRPr="00243365">
        <w:t xml:space="preserve"> </w:t>
      </w:r>
      <w:r>
        <w:t>For certain unevaluated C&amp;S, the 201</w:t>
      </w:r>
      <w:r w:rsidR="00682288">
        <w:t>8</w:t>
      </w:r>
      <w:r>
        <w:t xml:space="preserve"> PG model uses data provided by PG&amp;E</w:t>
      </w:r>
      <w:r>
        <w:rPr>
          <w:rStyle w:val="FootnoteReference"/>
        </w:rPr>
        <w:footnoteReference w:id="82"/>
      </w:r>
      <w:r>
        <w:t xml:space="preserve">. </w:t>
      </w:r>
      <w:r w:rsidRPr="00243365">
        <w:t xml:space="preserve">For all other </w:t>
      </w:r>
      <w:r>
        <w:t>C&amp;S</w:t>
      </w:r>
      <w:r w:rsidRPr="00243365">
        <w:t xml:space="preserve">, the </w:t>
      </w:r>
      <w:r>
        <w:t>201</w:t>
      </w:r>
      <w:r w:rsidR="00682288">
        <w:t>8</w:t>
      </w:r>
      <w:r>
        <w:t xml:space="preserve"> PG M</w:t>
      </w:r>
      <w:r w:rsidRPr="00243365">
        <w:t>odel uses data from the 201</w:t>
      </w:r>
      <w:r>
        <w:t>5</w:t>
      </w:r>
      <w:r w:rsidRPr="00243365">
        <w:t xml:space="preserve"> Potential and Goals Study</w:t>
      </w:r>
      <w:r w:rsidRPr="00243365">
        <w:rPr>
          <w:rStyle w:val="FootnoteReference"/>
        </w:rPr>
        <w:footnoteReference w:id="83"/>
      </w:r>
      <w:r>
        <w:t xml:space="preserve"> or additional assumptions made by Navigant</w:t>
      </w:r>
      <w:r w:rsidRPr="00243365">
        <w:t>.</w:t>
      </w:r>
    </w:p>
    <w:p w14:paraId="1D7CE4A5" w14:textId="77777777" w:rsidR="006B44D0" w:rsidRDefault="006B44D0" w:rsidP="006B44D0"/>
    <w:p w14:paraId="5B5C5AAB" w14:textId="77777777" w:rsidR="006B44D0" w:rsidRDefault="006B44D0" w:rsidP="006B44D0">
      <w:r>
        <w:fldChar w:fldCharType="begin"/>
      </w:r>
      <w:r>
        <w:instrText xml:space="preserve"> REF _Ref477169260 \h </w:instrText>
      </w:r>
      <w:r>
        <w:fldChar w:fldCharType="separate"/>
      </w:r>
      <w:r w:rsidR="00C407F4">
        <w:t xml:space="preserve">Table </w:t>
      </w:r>
      <w:r w:rsidR="00C407F4">
        <w:rPr>
          <w:noProof/>
        </w:rPr>
        <w:t>3</w:t>
      </w:r>
      <w:r w:rsidR="00C407F4">
        <w:noBreakHyphen/>
      </w:r>
      <w:r w:rsidR="00C407F4">
        <w:rPr>
          <w:noProof/>
        </w:rPr>
        <w:t>24</w:t>
      </w:r>
      <w:r>
        <w:fldChar w:fldCharType="end"/>
      </w:r>
      <w:r>
        <w:t xml:space="preserve"> lists the number and type of codes and standards and their data source. A full list of the modeled C&amp;S, their compliance rates, effective dates, and policy status (on the books, possible, or expected) are listed in </w:t>
      </w:r>
      <w:r w:rsidR="00690039">
        <w:fldChar w:fldCharType="begin"/>
      </w:r>
      <w:r w:rsidR="00690039">
        <w:instrText xml:space="preserve"> REF _Ref477351448 \n \h </w:instrText>
      </w:r>
      <w:r w:rsidR="00690039">
        <w:fldChar w:fldCharType="separate"/>
      </w:r>
      <w:r w:rsidR="00C407F4">
        <w:t>Appendix D</w:t>
      </w:r>
      <w:r w:rsidR="00690039">
        <w:fldChar w:fldCharType="end"/>
      </w:r>
      <w:r w:rsidR="00690039">
        <w:t>.</w:t>
      </w:r>
    </w:p>
    <w:p w14:paraId="010F2BF7" w14:textId="77777777" w:rsidR="006B44D0" w:rsidRDefault="006B44D0" w:rsidP="006B44D0"/>
    <w:p w14:paraId="3E164E0A" w14:textId="77777777" w:rsidR="006B44D0" w:rsidRPr="00B00224" w:rsidRDefault="006B44D0" w:rsidP="00503231">
      <w:pPr>
        <w:pStyle w:val="Caption"/>
        <w:widowControl w:val="0"/>
      </w:pPr>
      <w:bookmarkStart w:id="631" w:name="_Ref477169260"/>
      <w:bookmarkStart w:id="632" w:name="_Toc482634232"/>
      <w:bookmarkStart w:id="633" w:name="_Toc484436971"/>
      <w:bookmarkStart w:id="634" w:name="_Toc485125682"/>
      <w:r>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24</w:t>
      </w:r>
      <w:r w:rsidR="00272F76">
        <w:rPr>
          <w:noProof/>
        </w:rPr>
        <w:fldChar w:fldCharType="end"/>
      </w:r>
      <w:bookmarkEnd w:id="631"/>
      <w:r>
        <w:t xml:space="preserve"> C&amp;S Data Source Summary</w:t>
      </w:r>
      <w:bookmarkEnd w:id="632"/>
      <w:bookmarkEnd w:id="633"/>
      <w:bookmarkEnd w:id="634"/>
    </w:p>
    <w:p w14:paraId="78BCAF05" w14:textId="77777777" w:rsidR="006B44D0" w:rsidRDefault="006B44D0" w:rsidP="00503231">
      <w:pPr>
        <w:keepNext/>
        <w:widowControl w:val="0"/>
        <w:overflowPunct w:val="0"/>
        <w:autoSpaceDE w:val="0"/>
        <w:autoSpaceDN w:val="0"/>
        <w:spacing w:before="4"/>
        <w:rPr>
          <w:b/>
          <w:bCs/>
          <w:sz w:val="3"/>
          <w:szCs w:val="3"/>
        </w:rPr>
      </w:pPr>
    </w:p>
    <w:tbl>
      <w:tblPr>
        <w:tblStyle w:val="EnergyTable1"/>
        <w:tblW w:w="0" w:type="auto"/>
        <w:tblLook w:val="04A0" w:firstRow="1" w:lastRow="0" w:firstColumn="1" w:lastColumn="0" w:noHBand="0" w:noVBand="1"/>
      </w:tblPr>
      <w:tblGrid>
        <w:gridCol w:w="2402"/>
        <w:gridCol w:w="3448"/>
        <w:gridCol w:w="2610"/>
      </w:tblGrid>
      <w:tr w:rsidR="006B44D0" w:rsidRPr="00483510" w14:paraId="5FB96C0D" w14:textId="77777777" w:rsidTr="00110120">
        <w:trPr>
          <w:cnfStyle w:val="100000000000" w:firstRow="1" w:lastRow="0" w:firstColumn="0" w:lastColumn="0" w:oddVBand="0" w:evenVBand="0" w:oddHBand="0"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2402" w:type="dxa"/>
            <w:hideMark/>
          </w:tcPr>
          <w:p w14:paraId="799352DE" w14:textId="77777777" w:rsidR="006B44D0" w:rsidRPr="00483510" w:rsidRDefault="006B44D0" w:rsidP="00503231">
            <w:pPr>
              <w:keepNext/>
              <w:widowControl w:val="0"/>
              <w:overflowPunct w:val="0"/>
              <w:autoSpaceDE w:val="0"/>
              <w:autoSpaceDN w:val="0"/>
              <w:spacing w:before="25"/>
              <w:rPr>
                <w:rFonts w:ascii="Arial Narrow" w:hAnsi="Arial Narrow"/>
                <w:sz w:val="18"/>
                <w:szCs w:val="18"/>
              </w:rPr>
            </w:pPr>
            <w:r w:rsidRPr="00483510">
              <w:rPr>
                <w:rFonts w:ascii="Arial Narrow" w:hAnsi="Arial Narrow"/>
                <w:bCs/>
                <w:sz w:val="18"/>
                <w:szCs w:val="18"/>
              </w:rPr>
              <w:t>IOU</w:t>
            </w:r>
            <w:r w:rsidRPr="00483510">
              <w:rPr>
                <w:rFonts w:ascii="Arial Narrow" w:hAnsi="Arial Narrow"/>
                <w:bCs/>
                <w:spacing w:val="-7"/>
                <w:sz w:val="18"/>
                <w:szCs w:val="18"/>
              </w:rPr>
              <w:t xml:space="preserve"> </w:t>
            </w:r>
            <w:r w:rsidRPr="00483510">
              <w:rPr>
                <w:rFonts w:ascii="Arial Narrow" w:hAnsi="Arial Narrow"/>
                <w:bCs/>
                <w:sz w:val="18"/>
                <w:szCs w:val="18"/>
              </w:rPr>
              <w:t>C&amp;S</w:t>
            </w:r>
            <w:r w:rsidRPr="00483510">
              <w:rPr>
                <w:rFonts w:ascii="Arial Narrow" w:hAnsi="Arial Narrow"/>
                <w:bCs/>
                <w:spacing w:val="-7"/>
                <w:sz w:val="18"/>
                <w:szCs w:val="18"/>
              </w:rPr>
              <w:t xml:space="preserve"> </w:t>
            </w:r>
            <w:r w:rsidRPr="00483510">
              <w:rPr>
                <w:rFonts w:ascii="Arial Narrow" w:hAnsi="Arial Narrow"/>
                <w:bCs/>
                <w:sz w:val="18"/>
                <w:szCs w:val="18"/>
              </w:rPr>
              <w:t>Group</w:t>
            </w:r>
          </w:p>
        </w:tc>
        <w:tc>
          <w:tcPr>
            <w:tcW w:w="3448" w:type="dxa"/>
            <w:hideMark/>
          </w:tcPr>
          <w:p w14:paraId="23DEF8D3" w14:textId="77777777" w:rsidR="006B44D0" w:rsidRPr="00483510" w:rsidRDefault="006B44D0" w:rsidP="00503231">
            <w:pPr>
              <w:keepNext/>
              <w:widowControl w:val="0"/>
              <w:overflowPunct w:val="0"/>
              <w:autoSpaceDE w:val="0"/>
              <w:autoSpaceDN w:val="0"/>
              <w:spacing w:before="2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83510">
              <w:rPr>
                <w:rFonts w:ascii="Arial Narrow" w:hAnsi="Arial Narrow"/>
                <w:bCs/>
                <w:sz w:val="18"/>
                <w:szCs w:val="18"/>
              </w:rPr>
              <w:t>Number</w:t>
            </w:r>
            <w:r w:rsidRPr="00483510">
              <w:rPr>
                <w:rFonts w:ascii="Arial Narrow" w:hAnsi="Arial Narrow"/>
                <w:bCs/>
                <w:spacing w:val="-7"/>
                <w:sz w:val="18"/>
                <w:szCs w:val="18"/>
              </w:rPr>
              <w:t xml:space="preserve"> </w:t>
            </w:r>
            <w:r w:rsidRPr="00483510">
              <w:rPr>
                <w:rFonts w:ascii="Arial Narrow" w:hAnsi="Arial Narrow"/>
                <w:bCs/>
                <w:sz w:val="18"/>
                <w:szCs w:val="18"/>
              </w:rPr>
              <w:t>and</w:t>
            </w:r>
            <w:r w:rsidRPr="00483510">
              <w:rPr>
                <w:rFonts w:ascii="Arial Narrow" w:hAnsi="Arial Narrow"/>
                <w:bCs/>
                <w:spacing w:val="-5"/>
                <w:sz w:val="18"/>
                <w:szCs w:val="18"/>
              </w:rPr>
              <w:t xml:space="preserve"> </w:t>
            </w:r>
            <w:r w:rsidRPr="00483510">
              <w:rPr>
                <w:rFonts w:ascii="Arial Narrow" w:hAnsi="Arial Narrow"/>
                <w:bCs/>
                <w:sz w:val="18"/>
                <w:szCs w:val="18"/>
              </w:rPr>
              <w:t>Type</w:t>
            </w:r>
            <w:r w:rsidRPr="00483510">
              <w:rPr>
                <w:rFonts w:ascii="Arial Narrow" w:hAnsi="Arial Narrow"/>
                <w:bCs/>
                <w:spacing w:val="-5"/>
                <w:sz w:val="18"/>
                <w:szCs w:val="18"/>
              </w:rPr>
              <w:t xml:space="preserve"> </w:t>
            </w:r>
            <w:r w:rsidRPr="00483510">
              <w:rPr>
                <w:rFonts w:ascii="Arial Narrow" w:hAnsi="Arial Narrow"/>
                <w:bCs/>
                <w:sz w:val="18"/>
                <w:szCs w:val="18"/>
              </w:rPr>
              <w:t>of</w:t>
            </w:r>
            <w:r w:rsidRPr="00483510">
              <w:rPr>
                <w:rFonts w:ascii="Arial Narrow" w:hAnsi="Arial Narrow"/>
                <w:bCs/>
                <w:spacing w:val="-5"/>
                <w:sz w:val="18"/>
                <w:szCs w:val="18"/>
              </w:rPr>
              <w:t xml:space="preserve"> </w:t>
            </w:r>
            <w:r w:rsidRPr="00483510">
              <w:rPr>
                <w:rFonts w:ascii="Arial Narrow" w:hAnsi="Arial Narrow"/>
                <w:bCs/>
                <w:sz w:val="18"/>
                <w:szCs w:val="18"/>
              </w:rPr>
              <w:t>Codes</w:t>
            </w:r>
            <w:r w:rsidRPr="00483510">
              <w:rPr>
                <w:rFonts w:ascii="Arial Narrow" w:hAnsi="Arial Narrow"/>
                <w:bCs/>
                <w:spacing w:val="-5"/>
                <w:sz w:val="18"/>
                <w:szCs w:val="18"/>
              </w:rPr>
              <w:t xml:space="preserve"> </w:t>
            </w:r>
            <w:r w:rsidRPr="00483510">
              <w:rPr>
                <w:rFonts w:ascii="Arial Narrow" w:hAnsi="Arial Narrow"/>
                <w:bCs/>
                <w:spacing w:val="-2"/>
                <w:sz w:val="18"/>
                <w:szCs w:val="18"/>
              </w:rPr>
              <w:t>and</w:t>
            </w:r>
            <w:r w:rsidRPr="00483510">
              <w:rPr>
                <w:rFonts w:ascii="Arial Narrow" w:hAnsi="Arial Narrow"/>
                <w:bCs/>
                <w:spacing w:val="-5"/>
                <w:sz w:val="18"/>
                <w:szCs w:val="18"/>
              </w:rPr>
              <w:t xml:space="preserve"> </w:t>
            </w:r>
            <w:r w:rsidRPr="00483510">
              <w:rPr>
                <w:rFonts w:ascii="Arial Narrow" w:hAnsi="Arial Narrow"/>
                <w:bCs/>
                <w:sz w:val="18"/>
                <w:szCs w:val="18"/>
              </w:rPr>
              <w:t>Standards</w:t>
            </w:r>
          </w:p>
        </w:tc>
        <w:tc>
          <w:tcPr>
            <w:tcW w:w="2610" w:type="dxa"/>
            <w:hideMark/>
          </w:tcPr>
          <w:p w14:paraId="3BFC78F7" w14:textId="77777777" w:rsidR="006B44D0" w:rsidRPr="00483510" w:rsidRDefault="006B44D0" w:rsidP="00503231">
            <w:pPr>
              <w:keepNext/>
              <w:widowControl w:val="0"/>
              <w:overflowPunct w:val="0"/>
              <w:autoSpaceDE w:val="0"/>
              <w:autoSpaceDN w:val="0"/>
              <w:spacing w:before="25"/>
              <w:ind w:left="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83510">
              <w:rPr>
                <w:rFonts w:ascii="Arial Narrow" w:hAnsi="Arial Narrow"/>
                <w:bCs/>
                <w:sz w:val="18"/>
                <w:szCs w:val="18"/>
              </w:rPr>
              <w:t>Data Source</w:t>
            </w:r>
          </w:p>
        </w:tc>
      </w:tr>
      <w:tr w:rsidR="006B44D0" w:rsidRPr="00483510" w14:paraId="46803108" w14:textId="77777777" w:rsidTr="00110120">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67732422" w14:textId="77777777" w:rsidR="006B44D0" w:rsidRPr="00483510" w:rsidRDefault="006B44D0" w:rsidP="00503231">
            <w:pPr>
              <w:keepNext/>
              <w:widowControl w:val="0"/>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Title 20</w:t>
            </w:r>
          </w:p>
        </w:tc>
        <w:tc>
          <w:tcPr>
            <w:tcW w:w="3448" w:type="dxa"/>
            <w:hideMark/>
          </w:tcPr>
          <w:p w14:paraId="473E1E64" w14:textId="77777777" w:rsidR="006B44D0" w:rsidRPr="00483510" w:rsidRDefault="006B44D0" w:rsidP="00503231">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22 appliance standards</w:t>
            </w:r>
          </w:p>
        </w:tc>
        <w:tc>
          <w:tcPr>
            <w:tcW w:w="2610" w:type="dxa"/>
            <w:hideMark/>
          </w:tcPr>
          <w:p w14:paraId="3520CDB4" w14:textId="77777777" w:rsidR="006B44D0" w:rsidRPr="00483510" w:rsidRDefault="006B44D0" w:rsidP="00503231">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6B44D0" w:rsidRPr="00483510" w14:paraId="148CE4EC" w14:textId="77777777" w:rsidTr="00110120">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3EE5D40D" w14:textId="77777777" w:rsidR="006B44D0" w:rsidRPr="00483510" w:rsidRDefault="006B44D0" w:rsidP="00503231">
            <w:pPr>
              <w:keepNext/>
              <w:widowControl w:val="0"/>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2006-2009 Title 20</w:t>
            </w:r>
          </w:p>
        </w:tc>
        <w:tc>
          <w:tcPr>
            <w:tcW w:w="3448" w:type="dxa"/>
            <w:hideMark/>
          </w:tcPr>
          <w:p w14:paraId="1204CFE4" w14:textId="77777777" w:rsidR="006B44D0" w:rsidRPr="00483510" w:rsidRDefault="006B44D0" w:rsidP="00503231">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13 appliance standards</w:t>
            </w:r>
          </w:p>
        </w:tc>
        <w:tc>
          <w:tcPr>
            <w:tcW w:w="2610" w:type="dxa"/>
            <w:hideMark/>
          </w:tcPr>
          <w:p w14:paraId="5DA81726" w14:textId="77777777" w:rsidR="006B44D0" w:rsidRPr="00483510" w:rsidRDefault="006B44D0" w:rsidP="00503231">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6B44D0" w:rsidRPr="00483510" w14:paraId="1EDB64A9" w14:textId="77777777" w:rsidTr="00110120">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7C36FC96" w14:textId="77777777" w:rsidR="006B44D0" w:rsidRPr="00483510" w:rsidRDefault="006B44D0" w:rsidP="00503231">
            <w:pPr>
              <w:keepNext/>
              <w:widowControl w:val="0"/>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Title 20</w:t>
            </w:r>
          </w:p>
        </w:tc>
        <w:tc>
          <w:tcPr>
            <w:tcW w:w="3448" w:type="dxa"/>
          </w:tcPr>
          <w:p w14:paraId="6484F1F0" w14:textId="77777777" w:rsidR="006B44D0" w:rsidRPr="00483510" w:rsidRDefault="006B44D0" w:rsidP="00503231">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4 appliance standards</w:t>
            </w:r>
          </w:p>
        </w:tc>
        <w:tc>
          <w:tcPr>
            <w:tcW w:w="2610" w:type="dxa"/>
          </w:tcPr>
          <w:p w14:paraId="5B42704F" w14:textId="77777777" w:rsidR="006B44D0" w:rsidRPr="00483510" w:rsidRDefault="006B44D0" w:rsidP="00503231">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6B44D0" w:rsidRPr="00483510" w14:paraId="4813EABB" w14:textId="77777777" w:rsidTr="00110120">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61B178B1" w14:textId="77777777" w:rsidR="006B44D0" w:rsidRPr="00483510" w:rsidRDefault="006B44D0" w:rsidP="00503231">
            <w:pPr>
              <w:keepNext/>
              <w:widowControl w:val="0"/>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2015-2016 Title 20</w:t>
            </w:r>
          </w:p>
        </w:tc>
        <w:tc>
          <w:tcPr>
            <w:tcW w:w="3448" w:type="dxa"/>
          </w:tcPr>
          <w:p w14:paraId="706FFB36" w14:textId="77777777" w:rsidR="006B44D0" w:rsidRPr="00483510" w:rsidRDefault="006B44D0" w:rsidP="00503231">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14 appliance standards</w:t>
            </w:r>
          </w:p>
        </w:tc>
        <w:tc>
          <w:tcPr>
            <w:tcW w:w="2610" w:type="dxa"/>
          </w:tcPr>
          <w:p w14:paraId="13052973" w14:textId="77777777" w:rsidR="006B44D0" w:rsidRPr="00483510" w:rsidRDefault="006B44D0" w:rsidP="00503231">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PG&amp;E</w:t>
            </w:r>
          </w:p>
        </w:tc>
      </w:tr>
      <w:tr w:rsidR="006B44D0" w:rsidRPr="00483510" w14:paraId="78072176" w14:textId="77777777" w:rsidTr="00110120">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0" w:type="dxa"/>
          </w:tcPr>
          <w:p w14:paraId="3F20EC7D" w14:textId="77777777" w:rsidR="006B44D0" w:rsidRPr="00483510" w:rsidRDefault="006B44D0" w:rsidP="00503231">
            <w:pPr>
              <w:keepNext/>
              <w:widowControl w:val="0"/>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Future Title 20</w:t>
            </w:r>
          </w:p>
        </w:tc>
        <w:tc>
          <w:tcPr>
            <w:tcW w:w="0" w:type="dxa"/>
          </w:tcPr>
          <w:p w14:paraId="6D1D481B" w14:textId="77777777" w:rsidR="006B44D0" w:rsidRPr="00483510" w:rsidRDefault="006B44D0" w:rsidP="00503231">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17 appliance standards</w:t>
            </w:r>
          </w:p>
        </w:tc>
        <w:tc>
          <w:tcPr>
            <w:tcW w:w="0" w:type="dxa"/>
          </w:tcPr>
          <w:p w14:paraId="176425B4" w14:textId="77777777" w:rsidR="006B44D0" w:rsidRPr="00483510" w:rsidRDefault="006B44D0" w:rsidP="00503231">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PG&amp;E, 2015 Model</w:t>
            </w:r>
            <w:r w:rsidR="001D5EE0" w:rsidRPr="00483510">
              <w:rPr>
                <w:rFonts w:ascii="Arial Narrow" w:hAnsi="Arial Narrow"/>
                <w:spacing w:val="-1"/>
                <w:sz w:val="18"/>
                <w:szCs w:val="18"/>
              </w:rPr>
              <w:t>, Navigant Estimates</w:t>
            </w:r>
          </w:p>
        </w:tc>
      </w:tr>
      <w:tr w:rsidR="006B44D0" w:rsidRPr="00483510" w14:paraId="109D3870" w14:textId="77777777" w:rsidTr="00110120">
        <w:trPr>
          <w:cnfStyle w:val="000000010000" w:firstRow="0" w:lastRow="0" w:firstColumn="0" w:lastColumn="0" w:oddVBand="0" w:evenVBand="0" w:oddHBand="0" w:evenHBand="1"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2402" w:type="dxa"/>
            <w:hideMark/>
          </w:tcPr>
          <w:p w14:paraId="449B991D" w14:textId="77777777" w:rsidR="006B44D0" w:rsidRPr="00483510" w:rsidRDefault="006B44D0" w:rsidP="00503231">
            <w:pPr>
              <w:keepNext/>
              <w:widowControl w:val="0"/>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Federal</w:t>
            </w:r>
          </w:p>
        </w:tc>
        <w:tc>
          <w:tcPr>
            <w:tcW w:w="3448" w:type="dxa"/>
            <w:hideMark/>
          </w:tcPr>
          <w:p w14:paraId="204DC115" w14:textId="77777777" w:rsidR="006B44D0" w:rsidRPr="00483510" w:rsidRDefault="006B44D0" w:rsidP="00503231">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50 appliance standards</w:t>
            </w:r>
          </w:p>
        </w:tc>
        <w:tc>
          <w:tcPr>
            <w:tcW w:w="2610" w:type="dxa"/>
            <w:hideMark/>
          </w:tcPr>
          <w:p w14:paraId="61F50A69" w14:textId="77777777" w:rsidR="006B44D0" w:rsidRPr="00483510" w:rsidRDefault="006B44D0" w:rsidP="00503231">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 PG&amp;E, 2015 Model</w:t>
            </w:r>
          </w:p>
        </w:tc>
      </w:tr>
      <w:tr w:rsidR="006B44D0" w:rsidRPr="00483510" w14:paraId="377D5385" w14:textId="77777777" w:rsidTr="00110120">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7A8ACF71" w14:textId="77777777" w:rsidR="006B44D0" w:rsidRPr="00483510" w:rsidRDefault="006B44D0" w:rsidP="00503231">
            <w:pPr>
              <w:keepNext/>
              <w:widowControl w:val="0"/>
              <w:overflowPunct w:val="0"/>
              <w:autoSpaceDE w:val="0"/>
              <w:autoSpaceDN w:val="0"/>
              <w:spacing w:before="27"/>
              <w:rPr>
                <w:rFonts w:ascii="Arial Narrow" w:hAnsi="Arial Narrow"/>
                <w:spacing w:val="-1"/>
                <w:sz w:val="18"/>
                <w:szCs w:val="18"/>
              </w:rPr>
            </w:pPr>
            <w:r w:rsidRPr="00483510">
              <w:rPr>
                <w:rFonts w:ascii="Arial Narrow" w:hAnsi="Arial Narrow"/>
                <w:spacing w:val="-1"/>
                <w:sz w:val="18"/>
                <w:szCs w:val="18"/>
              </w:rPr>
              <w:t>2005 Title 24</w:t>
            </w:r>
          </w:p>
        </w:tc>
        <w:tc>
          <w:tcPr>
            <w:tcW w:w="3448" w:type="dxa"/>
            <w:hideMark/>
          </w:tcPr>
          <w:p w14:paraId="3A450914" w14:textId="77777777" w:rsidR="006B44D0" w:rsidRPr="00483510" w:rsidRDefault="006B44D0" w:rsidP="00503231">
            <w:pPr>
              <w:keepNext/>
              <w:widowControl w:val="0"/>
              <w:overflowPunct w:val="0"/>
              <w:autoSpaceDE w:val="0"/>
              <w:autoSpaceDN w:val="0"/>
              <w:spacing w:before="27"/>
              <w:ind w:right="1"/>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19 building codes</w:t>
            </w:r>
          </w:p>
        </w:tc>
        <w:tc>
          <w:tcPr>
            <w:tcW w:w="2610" w:type="dxa"/>
            <w:hideMark/>
          </w:tcPr>
          <w:p w14:paraId="057A14D1" w14:textId="77777777" w:rsidR="006B44D0" w:rsidRPr="00483510" w:rsidRDefault="006B44D0" w:rsidP="00503231">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6B44D0" w:rsidRPr="00483510" w14:paraId="5D573F9A" w14:textId="77777777" w:rsidTr="00110120">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5DF9D4A1" w14:textId="77777777" w:rsidR="006B44D0" w:rsidRPr="00483510" w:rsidRDefault="006B44D0" w:rsidP="00503231">
            <w:pPr>
              <w:keepNext/>
              <w:widowControl w:val="0"/>
              <w:overflowPunct w:val="0"/>
              <w:autoSpaceDE w:val="0"/>
              <w:autoSpaceDN w:val="0"/>
              <w:spacing w:before="27"/>
              <w:rPr>
                <w:rFonts w:ascii="Arial Narrow" w:hAnsi="Arial Narrow"/>
                <w:spacing w:val="-1"/>
                <w:sz w:val="18"/>
                <w:szCs w:val="18"/>
              </w:rPr>
            </w:pPr>
            <w:r w:rsidRPr="00483510">
              <w:rPr>
                <w:rFonts w:ascii="Arial Narrow" w:hAnsi="Arial Narrow"/>
                <w:spacing w:val="-1"/>
                <w:sz w:val="18"/>
                <w:szCs w:val="18"/>
              </w:rPr>
              <w:t>2008 Title 24</w:t>
            </w:r>
          </w:p>
        </w:tc>
        <w:tc>
          <w:tcPr>
            <w:tcW w:w="3448" w:type="dxa"/>
            <w:hideMark/>
          </w:tcPr>
          <w:p w14:paraId="545F10FC" w14:textId="77777777" w:rsidR="006B44D0" w:rsidRPr="00483510" w:rsidRDefault="006B44D0" w:rsidP="00503231">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22 building codes</w:t>
            </w:r>
          </w:p>
        </w:tc>
        <w:tc>
          <w:tcPr>
            <w:tcW w:w="2610" w:type="dxa"/>
            <w:hideMark/>
          </w:tcPr>
          <w:p w14:paraId="5E1B6DFC" w14:textId="77777777" w:rsidR="006B44D0" w:rsidRPr="00483510" w:rsidRDefault="006B44D0" w:rsidP="00503231">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6B44D0" w:rsidRPr="00483510" w14:paraId="609104E8" w14:textId="77777777" w:rsidTr="00110120">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772FD5BA" w14:textId="77777777" w:rsidR="006B44D0" w:rsidRPr="00483510" w:rsidRDefault="006B44D0" w:rsidP="00503231">
            <w:pPr>
              <w:keepNext/>
              <w:widowControl w:val="0"/>
              <w:overflowPunct w:val="0"/>
              <w:autoSpaceDE w:val="0"/>
              <w:autoSpaceDN w:val="0"/>
              <w:spacing w:before="27"/>
              <w:rPr>
                <w:rFonts w:ascii="Arial Narrow" w:hAnsi="Arial Narrow"/>
                <w:spacing w:val="-1"/>
                <w:sz w:val="18"/>
                <w:szCs w:val="18"/>
              </w:rPr>
            </w:pPr>
            <w:r w:rsidRPr="00483510">
              <w:rPr>
                <w:rFonts w:ascii="Arial Narrow" w:hAnsi="Arial Narrow"/>
                <w:spacing w:val="-1"/>
                <w:sz w:val="18"/>
                <w:szCs w:val="18"/>
              </w:rPr>
              <w:t>2013 Title 24</w:t>
            </w:r>
          </w:p>
        </w:tc>
        <w:tc>
          <w:tcPr>
            <w:tcW w:w="3448" w:type="dxa"/>
          </w:tcPr>
          <w:p w14:paraId="01273829" w14:textId="77777777" w:rsidR="006B44D0" w:rsidRPr="00483510" w:rsidRDefault="006B44D0" w:rsidP="00503231">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67 building codes</w:t>
            </w:r>
          </w:p>
        </w:tc>
        <w:tc>
          <w:tcPr>
            <w:tcW w:w="2610" w:type="dxa"/>
          </w:tcPr>
          <w:p w14:paraId="58A22C79" w14:textId="77777777" w:rsidR="006B44D0" w:rsidRPr="00483510" w:rsidRDefault="006B44D0" w:rsidP="00503231">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6B44D0" w:rsidRPr="00483510" w14:paraId="4A70D8D8" w14:textId="77777777" w:rsidTr="00110120">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3676339D" w14:textId="77777777" w:rsidR="006B44D0" w:rsidRPr="00483510" w:rsidRDefault="006B44D0" w:rsidP="00503231">
            <w:pPr>
              <w:keepNext/>
              <w:widowControl w:val="0"/>
              <w:overflowPunct w:val="0"/>
              <w:autoSpaceDE w:val="0"/>
              <w:autoSpaceDN w:val="0"/>
              <w:spacing w:before="27"/>
              <w:rPr>
                <w:rFonts w:ascii="Arial Narrow" w:hAnsi="Arial Narrow"/>
                <w:spacing w:val="-1"/>
                <w:sz w:val="18"/>
                <w:szCs w:val="18"/>
              </w:rPr>
            </w:pPr>
            <w:r w:rsidRPr="00483510">
              <w:rPr>
                <w:rFonts w:ascii="Arial Narrow" w:hAnsi="Arial Narrow"/>
                <w:spacing w:val="-1"/>
                <w:sz w:val="18"/>
                <w:szCs w:val="18"/>
              </w:rPr>
              <w:t>2016 Title 24</w:t>
            </w:r>
          </w:p>
        </w:tc>
        <w:tc>
          <w:tcPr>
            <w:tcW w:w="3448" w:type="dxa"/>
          </w:tcPr>
          <w:p w14:paraId="6FA6E71F" w14:textId="77777777" w:rsidR="006B44D0" w:rsidRPr="00483510" w:rsidRDefault="006B44D0" w:rsidP="00503231">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12 building codes</w:t>
            </w:r>
          </w:p>
        </w:tc>
        <w:tc>
          <w:tcPr>
            <w:tcW w:w="2610" w:type="dxa"/>
          </w:tcPr>
          <w:p w14:paraId="70FD8F56" w14:textId="77777777" w:rsidR="006B44D0" w:rsidRPr="00483510" w:rsidRDefault="006B44D0" w:rsidP="00503231">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PG&amp;E</w:t>
            </w:r>
          </w:p>
        </w:tc>
      </w:tr>
      <w:tr w:rsidR="006B44D0" w:rsidRPr="00483510" w14:paraId="5B627BC7" w14:textId="77777777" w:rsidTr="00110120">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663BA105" w14:textId="77777777" w:rsidR="006B44D0" w:rsidRPr="00483510" w:rsidRDefault="006B44D0" w:rsidP="00503231">
            <w:pPr>
              <w:keepNext/>
              <w:widowControl w:val="0"/>
              <w:overflowPunct w:val="0"/>
              <w:autoSpaceDE w:val="0"/>
              <w:autoSpaceDN w:val="0"/>
              <w:spacing w:before="27"/>
              <w:rPr>
                <w:rFonts w:ascii="Arial Narrow" w:hAnsi="Arial Narrow"/>
                <w:spacing w:val="-1"/>
                <w:sz w:val="18"/>
                <w:szCs w:val="18"/>
              </w:rPr>
            </w:pPr>
            <w:r w:rsidRPr="00483510">
              <w:rPr>
                <w:rFonts w:ascii="Arial Narrow" w:hAnsi="Arial Narrow"/>
                <w:spacing w:val="-1"/>
                <w:sz w:val="18"/>
                <w:szCs w:val="18"/>
              </w:rPr>
              <w:t>Future Title 24</w:t>
            </w:r>
          </w:p>
        </w:tc>
        <w:tc>
          <w:tcPr>
            <w:tcW w:w="3448" w:type="dxa"/>
          </w:tcPr>
          <w:p w14:paraId="189D32C2" w14:textId="77777777" w:rsidR="006B44D0" w:rsidRPr="00483510" w:rsidRDefault="006B44D0" w:rsidP="00503231">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6 building codes</w:t>
            </w:r>
          </w:p>
        </w:tc>
        <w:tc>
          <w:tcPr>
            <w:tcW w:w="2610" w:type="dxa"/>
          </w:tcPr>
          <w:p w14:paraId="61B0EC34" w14:textId="77777777" w:rsidR="006B44D0" w:rsidRPr="00483510" w:rsidRDefault="006B44D0" w:rsidP="00503231">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Estimates</w:t>
            </w:r>
          </w:p>
        </w:tc>
      </w:tr>
    </w:tbl>
    <w:p w14:paraId="6C3368EB" w14:textId="77777777" w:rsidR="006B44D0" w:rsidRDefault="006B44D0" w:rsidP="006B44D0">
      <w:pPr>
        <w:pStyle w:val="Source"/>
        <w:jc w:val="center"/>
      </w:pPr>
      <w:r>
        <w:t xml:space="preserve">Sources: </w:t>
      </w:r>
      <w:r w:rsidRPr="00CF1057">
        <w:t>Cadmus, Energy Services Division and DNV GL</w:t>
      </w:r>
      <w:r w:rsidRPr="00C7205C">
        <w:t>. Integrated</w:t>
      </w:r>
      <w:r>
        <w:t xml:space="preserve"> Standards Savings Model (ISSM</w:t>
      </w:r>
      <w:r w:rsidR="00F55251">
        <w:t>). 2016.</w:t>
      </w:r>
      <w:r>
        <w:t>; Julie Liberzon. PG&amp;E. January 3, 2017. Personal email communication in response to CPUC data request.</w:t>
      </w:r>
    </w:p>
    <w:p w14:paraId="0B4CE13B" w14:textId="77777777" w:rsidR="0009749A" w:rsidRDefault="006B44D0" w:rsidP="006B44D0">
      <w:r>
        <w:t xml:space="preserve">The </w:t>
      </w:r>
      <w:r w:rsidR="0009749A">
        <w:t xml:space="preserve">2018 </w:t>
      </w:r>
      <w:r>
        <w:t xml:space="preserve">study </w:t>
      </w:r>
      <w:r w:rsidR="0009749A">
        <w:t>made several adjustments to the data obtained:</w:t>
      </w:r>
    </w:p>
    <w:p w14:paraId="1F69509A" w14:textId="77777777" w:rsidR="0009749A" w:rsidRDefault="0009749A" w:rsidP="004E4E36">
      <w:pPr>
        <w:pStyle w:val="ListParagraph"/>
        <w:numPr>
          <w:ilvl w:val="0"/>
          <w:numId w:val="57"/>
        </w:numPr>
      </w:pPr>
      <w:r>
        <w:t>An uncertainty</w:t>
      </w:r>
      <w:r w:rsidR="006B44D0">
        <w:t xml:space="preserve"> factor of 80% </w:t>
      </w:r>
      <w:r>
        <w:t xml:space="preserve">was applied </w:t>
      </w:r>
      <w:r w:rsidR="006B44D0">
        <w:t>to all unevaluated C&amp;S.</w:t>
      </w:r>
    </w:p>
    <w:p w14:paraId="2645F851" w14:textId="77777777" w:rsidR="0009749A" w:rsidRDefault="0009749A" w:rsidP="004E4E36">
      <w:pPr>
        <w:pStyle w:val="ListParagraph"/>
        <w:numPr>
          <w:ilvl w:val="0"/>
          <w:numId w:val="57"/>
        </w:numPr>
      </w:pPr>
      <w:r>
        <w:t>IOUs provided claims for “T20 LED Quality” standards. This is a voluntary standard and thus was removed from the forecast to err on the side of conservatism</w:t>
      </w:r>
    </w:p>
    <w:p w14:paraId="65540321" w14:textId="77777777" w:rsidR="006B44D0" w:rsidRDefault="006B44D0" w:rsidP="00503231">
      <w:pPr>
        <w:ind w:firstLine="105"/>
      </w:pPr>
    </w:p>
    <w:p w14:paraId="630902AC" w14:textId="77777777" w:rsidR="006B44D0" w:rsidRDefault="006B44D0" w:rsidP="006B44D0">
      <w:r>
        <w:t>The 201</w:t>
      </w:r>
      <w:r w:rsidR="00682288">
        <w:t>8</w:t>
      </w:r>
      <w:r>
        <w:t xml:space="preserve"> study re-evaluated the percentage of C&amp;S savings that occurs in new construction vs. building retrofits. The 2015 study assumed new construction percentages of 0-2% for appliance standards and 100% for building codes. The 201</w:t>
      </w:r>
      <w:r w:rsidR="00682288">
        <w:t>8</w:t>
      </w:r>
      <w:r>
        <w:t xml:space="preserve"> study, on the other hand, used new construction percentages for 2005 and 2008 Title 24 evaluated measures from the 2010-2012 impact evaluation report</w:t>
      </w:r>
      <w:r>
        <w:rPr>
          <w:rStyle w:val="FootnoteReference"/>
        </w:rPr>
        <w:footnoteReference w:id="84"/>
      </w:r>
      <w:r>
        <w:t>. For 2013 Title 24, each evaluated code name specified whether it was for new construction. For Title 20 and federal standards, the 201</w:t>
      </w:r>
      <w:r w:rsidR="00682288">
        <w:t>8</w:t>
      </w:r>
      <w:r>
        <w:t xml:space="preserve"> study calculated new construction percentages based on the average new construction rate for each standard’s sector and the retrofit lifetimes for each standard, as shown in </w:t>
      </w:r>
      <w:r>
        <w:fldChar w:fldCharType="begin"/>
      </w:r>
      <w:r>
        <w:instrText xml:space="preserve"> REF _Ref477270189 \h </w:instrText>
      </w:r>
      <w:r>
        <w:fldChar w:fldCharType="separate"/>
      </w:r>
      <w:r w:rsidR="00C407F4">
        <w:t xml:space="preserve">Equation </w:t>
      </w:r>
      <w:r w:rsidR="00C407F4">
        <w:rPr>
          <w:noProof/>
        </w:rPr>
        <w:t>3</w:t>
      </w:r>
      <w:r w:rsidR="00C407F4">
        <w:noBreakHyphen/>
      </w:r>
      <w:r w:rsidR="00C407F4">
        <w:rPr>
          <w:noProof/>
        </w:rPr>
        <w:t>1</w:t>
      </w:r>
      <w:r>
        <w:fldChar w:fldCharType="end"/>
      </w:r>
      <w:r>
        <w:t>.</w:t>
      </w:r>
    </w:p>
    <w:p w14:paraId="6BB859B9" w14:textId="77777777" w:rsidR="006B44D0" w:rsidRDefault="006B44D0" w:rsidP="006B44D0"/>
    <w:p w14:paraId="1A56F4DD" w14:textId="77777777" w:rsidR="006B44D0" w:rsidRDefault="006B44D0" w:rsidP="006B44D0">
      <w:pPr>
        <w:pStyle w:val="Caption"/>
      </w:pPr>
      <w:bookmarkStart w:id="635" w:name="_Ref477270189"/>
      <w:r>
        <w:t xml:space="preserve">Equation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D4736F">
        <w:noBreakHyphen/>
      </w:r>
      <w:r w:rsidR="00272F76">
        <w:fldChar w:fldCharType="begin"/>
      </w:r>
      <w:r w:rsidR="00272F76">
        <w:instrText xml:space="preserve"> SEQ Equation \* ARABIC \s 1 </w:instrText>
      </w:r>
      <w:r w:rsidR="00272F76">
        <w:fldChar w:fldCharType="separate"/>
      </w:r>
      <w:r w:rsidR="00C407F4">
        <w:rPr>
          <w:noProof/>
        </w:rPr>
        <w:t>1</w:t>
      </w:r>
      <w:r w:rsidR="00272F76">
        <w:rPr>
          <w:noProof/>
        </w:rPr>
        <w:fldChar w:fldCharType="end"/>
      </w:r>
      <w:bookmarkEnd w:id="635"/>
      <w:r w:rsidR="00BB59F5">
        <w:t>.</w:t>
      </w:r>
      <w:r>
        <w:t xml:space="preserve"> C&amp;S New Construction Percentage</w:t>
      </w:r>
    </w:p>
    <w:p w14:paraId="14FC7012" w14:textId="77777777" w:rsidR="009B5EA8" w:rsidRPr="009B5EA8" w:rsidRDefault="009B5EA8" w:rsidP="009B5EA8"/>
    <w:p w14:paraId="33641557" w14:textId="77777777" w:rsidR="006B44D0" w:rsidRDefault="006B44D0" w:rsidP="006B44D0">
      <w:pPr>
        <w:jc w:val="center"/>
      </w:pPr>
      <m:oMathPara>
        <m:oMath>
          <m:r>
            <w:rPr>
              <w:rFonts w:ascii="Cambria Math" w:hAnsi="Cambria Math"/>
            </w:rPr>
            <m:t xml:space="preserve">New Construction Percentage= </m:t>
          </m:r>
          <m:f>
            <m:fPr>
              <m:ctrlPr>
                <w:rPr>
                  <w:rFonts w:ascii="Cambria Math" w:hAnsi="Cambria Math"/>
                  <w:i/>
                </w:rPr>
              </m:ctrlPr>
            </m:fPr>
            <m:num>
              <m:r>
                <w:rPr>
                  <w:rFonts w:ascii="Cambria Math" w:hAnsi="Cambria Math"/>
                </w:rPr>
                <m:t>Sector Population Annual Growth Rate</m:t>
              </m:r>
            </m:num>
            <m:den>
              <m:f>
                <m:fPr>
                  <m:type m:val="skw"/>
                  <m:ctrlPr>
                    <w:rPr>
                      <w:rFonts w:ascii="Cambria Math" w:hAnsi="Cambria Math"/>
                      <w:i/>
                    </w:rPr>
                  </m:ctrlPr>
                </m:fPr>
                <m:num>
                  <m:r>
                    <w:rPr>
                      <w:rFonts w:ascii="Cambria Math" w:hAnsi="Cambria Math"/>
                    </w:rPr>
                    <m:t>1</m:t>
                  </m:r>
                </m:num>
                <m:den>
                  <m:r>
                    <w:rPr>
                      <w:rFonts w:ascii="Cambria Math" w:hAnsi="Cambria Math"/>
                    </w:rPr>
                    <m:t>Measure EUL</m:t>
                  </m:r>
                </m:den>
              </m:f>
            </m:den>
          </m:f>
        </m:oMath>
      </m:oMathPara>
    </w:p>
    <w:p w14:paraId="21938A4B" w14:textId="77777777" w:rsidR="006B44D0" w:rsidRDefault="006B44D0" w:rsidP="006B44D0"/>
    <w:p w14:paraId="342D1100" w14:textId="7F2A1BD9" w:rsidR="00FC38CD" w:rsidRDefault="006B44D0" w:rsidP="006B44D0">
      <w:r>
        <w:t>The 201</w:t>
      </w:r>
      <w:r w:rsidR="00682288">
        <w:t>8</w:t>
      </w:r>
      <w:r>
        <w:t xml:space="preserve"> study determined new energy savings estimates for future Title 24 codes</w:t>
      </w:r>
      <w:r w:rsidR="00FB2D51">
        <w:t xml:space="preserve"> in 2019</w:t>
      </w:r>
      <w:r>
        <w:t xml:space="preserve">. </w:t>
      </w:r>
      <w:r w:rsidR="008C5AF6">
        <w:t>The 201</w:t>
      </w:r>
      <w:r w:rsidR="00682288">
        <w:t>8</w:t>
      </w:r>
      <w:r w:rsidR="008C5AF6">
        <w:t xml:space="preserve"> study </w:t>
      </w:r>
      <w:r w:rsidR="00927AEA">
        <w:t>has</w:t>
      </w:r>
      <w:r w:rsidR="008C5AF6">
        <w:t xml:space="preserve"> </w:t>
      </w:r>
      <w:r w:rsidR="00FC38CD">
        <w:t>unit energy savings (UES) inputs for 2013 and 2016 Title 24</w:t>
      </w:r>
      <w:r w:rsidR="00927AEA">
        <w:t xml:space="preserve"> from ISSM and PG&amp;E data sources</w:t>
      </w:r>
      <w:r w:rsidR="00FC38CD">
        <w:t>. The 201</w:t>
      </w:r>
      <w:r w:rsidR="00682288">
        <w:t>8</w:t>
      </w:r>
      <w:r w:rsidR="00FC38CD">
        <w:t xml:space="preserve"> study also had whole building energy use values for 2013, 2016, and 2019 Title 24</w:t>
      </w:r>
      <w:r w:rsidR="00927AEA">
        <w:t xml:space="preserve"> </w:t>
      </w:r>
      <w:r w:rsidR="00927AEA">
        <w:lastRenderedPageBreak/>
        <w:t xml:space="preserve">(discussed in further detail in section </w:t>
      </w:r>
      <w:r w:rsidR="00927AEA">
        <w:fldChar w:fldCharType="begin"/>
      </w:r>
      <w:r w:rsidR="00927AEA">
        <w:instrText xml:space="preserve"> REF _Ref478377041 \n \h </w:instrText>
      </w:r>
      <w:r w:rsidR="00927AEA">
        <w:fldChar w:fldCharType="separate"/>
      </w:r>
      <w:r w:rsidR="00C407F4">
        <w:t>3.6.1</w:t>
      </w:r>
      <w:r w:rsidR="00927AEA">
        <w:fldChar w:fldCharType="end"/>
      </w:r>
      <w:r w:rsidR="00927AEA">
        <w:t>)</w:t>
      </w:r>
      <w:r w:rsidR="00FC38CD">
        <w:t xml:space="preserve">. </w:t>
      </w:r>
      <w:r w:rsidR="00AA58B2">
        <w:t>The team therefore use</w:t>
      </w:r>
      <w:r w:rsidR="0009749A">
        <w:t>d</w:t>
      </w:r>
      <w:r w:rsidR="00AA58B2">
        <w:t xml:space="preserve"> UES values and ratios of consumption values to estimate </w:t>
      </w:r>
      <w:r w:rsidR="00FC38CD">
        <w:t>2019 Title 24</w:t>
      </w:r>
      <w:r w:rsidR="00AA58B2">
        <w:t xml:space="preserve"> UES for C&amp;S analysis</w:t>
      </w:r>
      <w:r w:rsidR="0009749A">
        <w:t xml:space="preserve"> using </w:t>
      </w:r>
      <w:r w:rsidR="0009749A">
        <w:fldChar w:fldCharType="begin"/>
      </w:r>
      <w:r w:rsidR="0009749A">
        <w:instrText xml:space="preserve"> REF _Ref484165636 \h </w:instrText>
      </w:r>
      <w:r w:rsidR="0009749A">
        <w:fldChar w:fldCharType="separate"/>
      </w:r>
      <w:r w:rsidR="00C407F4" w:rsidRPr="009B5EA8">
        <w:t xml:space="preserve">Equation </w:t>
      </w:r>
      <w:r w:rsidR="00C407F4">
        <w:rPr>
          <w:noProof/>
        </w:rPr>
        <w:t>3</w:t>
      </w:r>
      <w:r w:rsidR="00C407F4" w:rsidRPr="009B5EA8">
        <w:noBreakHyphen/>
      </w:r>
      <w:r w:rsidR="00C407F4">
        <w:rPr>
          <w:noProof/>
        </w:rPr>
        <w:t>2</w:t>
      </w:r>
      <w:r w:rsidR="0009749A">
        <w:fldChar w:fldCharType="end"/>
      </w:r>
      <w:r w:rsidR="00AA58B2">
        <w:t>.</w:t>
      </w:r>
    </w:p>
    <w:p w14:paraId="3FF1F7DB" w14:textId="77777777" w:rsidR="00FC38CD" w:rsidRDefault="00FC38CD" w:rsidP="006B44D0"/>
    <w:p w14:paraId="40BE51A5" w14:textId="77777777" w:rsidR="005A0BEF" w:rsidRPr="009B5EA8" w:rsidRDefault="005A0BEF" w:rsidP="005A0BEF">
      <w:pPr>
        <w:pStyle w:val="Caption"/>
        <w:rPr>
          <w:color w:val="auto"/>
        </w:rPr>
      </w:pPr>
      <w:bookmarkStart w:id="636" w:name="_Ref484165636"/>
      <w:r w:rsidRPr="009B5EA8">
        <w:rPr>
          <w:color w:val="auto"/>
        </w:rPr>
        <w:t xml:space="preserve">Equation </w:t>
      </w:r>
      <w:r w:rsidR="00D4736F" w:rsidRPr="009B5EA8">
        <w:rPr>
          <w:color w:val="auto"/>
        </w:rPr>
        <w:fldChar w:fldCharType="begin"/>
      </w:r>
      <w:r w:rsidR="00D4736F" w:rsidRPr="009B5EA8">
        <w:rPr>
          <w:color w:val="auto"/>
        </w:rPr>
        <w:instrText xml:space="preserve"> STYLEREF 1 \s </w:instrText>
      </w:r>
      <w:r w:rsidR="00D4736F" w:rsidRPr="009B5EA8">
        <w:rPr>
          <w:color w:val="auto"/>
        </w:rPr>
        <w:fldChar w:fldCharType="separate"/>
      </w:r>
      <w:r w:rsidR="00C407F4">
        <w:rPr>
          <w:noProof/>
          <w:color w:val="auto"/>
        </w:rPr>
        <w:t>3</w:t>
      </w:r>
      <w:r w:rsidR="00D4736F" w:rsidRPr="009B5EA8">
        <w:rPr>
          <w:color w:val="auto"/>
        </w:rPr>
        <w:fldChar w:fldCharType="end"/>
      </w:r>
      <w:r w:rsidR="00D4736F" w:rsidRPr="009B5EA8">
        <w:rPr>
          <w:color w:val="auto"/>
        </w:rPr>
        <w:noBreakHyphen/>
      </w:r>
      <w:r w:rsidR="00D4736F" w:rsidRPr="009B5EA8">
        <w:rPr>
          <w:color w:val="auto"/>
        </w:rPr>
        <w:fldChar w:fldCharType="begin"/>
      </w:r>
      <w:r w:rsidR="00D4736F" w:rsidRPr="009B5EA8">
        <w:rPr>
          <w:color w:val="auto"/>
        </w:rPr>
        <w:instrText xml:space="preserve"> SEQ Equation \* ARABIC \s 1 </w:instrText>
      </w:r>
      <w:r w:rsidR="00D4736F" w:rsidRPr="009B5EA8">
        <w:rPr>
          <w:color w:val="auto"/>
        </w:rPr>
        <w:fldChar w:fldCharType="separate"/>
      </w:r>
      <w:r w:rsidR="00C407F4">
        <w:rPr>
          <w:noProof/>
          <w:color w:val="auto"/>
        </w:rPr>
        <w:t>2</w:t>
      </w:r>
      <w:r w:rsidR="00D4736F" w:rsidRPr="009B5EA8">
        <w:rPr>
          <w:color w:val="auto"/>
        </w:rPr>
        <w:fldChar w:fldCharType="end"/>
      </w:r>
      <w:bookmarkEnd w:id="636"/>
      <w:r w:rsidR="00BB59F5">
        <w:rPr>
          <w:color w:val="auto"/>
        </w:rPr>
        <w:t>.</w:t>
      </w:r>
      <w:r w:rsidRPr="009B5EA8">
        <w:rPr>
          <w:color w:val="auto"/>
        </w:rPr>
        <w:t xml:space="preserve"> </w:t>
      </w:r>
      <w:r w:rsidR="003F2CAB" w:rsidRPr="009B5EA8">
        <w:rPr>
          <w:color w:val="auto"/>
        </w:rPr>
        <w:t>2019 Unit Energy Savings</w:t>
      </w:r>
    </w:p>
    <w:p w14:paraId="604EEC8C" w14:textId="77777777" w:rsidR="005A0BEF" w:rsidRPr="009B5EA8" w:rsidRDefault="005A0BEF" w:rsidP="006B44D0"/>
    <w:p w14:paraId="4ED5AD3F" w14:textId="77777777" w:rsidR="009B5EA8" w:rsidRPr="009B5EA8" w:rsidRDefault="009B5EA8" w:rsidP="009B5EA8">
      <w:pPr>
        <w:spacing w:after="120"/>
        <w:rPr>
          <w:rFonts w:asciiTheme="minorHAnsi" w:eastAsiaTheme="minorEastAsia" w:hAnsiTheme="minorHAnsi" w:cs="Arial"/>
        </w:rPr>
      </w:pPr>
      <m:oMathPara>
        <m:oMathParaPr>
          <m:jc m:val="center"/>
        </m:oMathParaPr>
        <m:oMath>
          <m:r>
            <w:rPr>
              <w:rFonts w:ascii="Cambria Math" w:hAnsi="Cambria Math"/>
            </w:rPr>
            <m:t>2019 UES=</m:t>
          </m:r>
          <m:f>
            <m:fPr>
              <m:ctrlPr>
                <w:rPr>
                  <w:rFonts w:ascii="Cambria Math" w:eastAsiaTheme="minorHAnsi" w:hAnsi="Cambria Math" w:cstheme="minorBidi"/>
                  <w:i/>
                  <w:sz w:val="22"/>
                  <w:szCs w:val="22"/>
                </w:rPr>
              </m:ctrlPr>
            </m:fPr>
            <m:num>
              <m:r>
                <w:rPr>
                  <w:rFonts w:ascii="Cambria Math" w:hAnsi="Cambria Math"/>
                </w:rPr>
                <m:t>1-2019%savings</m:t>
              </m:r>
            </m:num>
            <m:den>
              <m:r>
                <w:rPr>
                  <w:rFonts w:ascii="Cambria Math" w:hAnsi="Cambria Math"/>
                </w:rPr>
                <m:t>1-2016%savings</m:t>
              </m:r>
            </m:den>
          </m:f>
          <m:r>
            <w:rPr>
              <w:rFonts w:ascii="Cambria Math" w:hAnsi="Cambria Math"/>
            </w:rPr>
            <m:t>x 2016 UES</m:t>
          </m:r>
        </m:oMath>
      </m:oMathPara>
    </w:p>
    <w:p w14:paraId="7664236C" w14:textId="77777777" w:rsidR="009B5EA8" w:rsidRPr="009B5EA8" w:rsidRDefault="009B5EA8" w:rsidP="009B5EA8">
      <w:pPr>
        <w:pStyle w:val="ListParagraph"/>
        <w:spacing w:after="120"/>
        <w:rPr>
          <w:rFonts w:eastAsiaTheme="minorEastAsia" w:cs="Arial"/>
        </w:rPr>
      </w:pPr>
      <w:r w:rsidRPr="009B5EA8">
        <w:rPr>
          <w:rFonts w:eastAsiaTheme="minorEastAsia" w:cs="Arial"/>
        </w:rPr>
        <w:t xml:space="preserve">Where </w:t>
      </w:r>
    </w:p>
    <w:p w14:paraId="7AAFE8C2" w14:textId="77777777" w:rsidR="009B5EA8" w:rsidRPr="009B5EA8" w:rsidRDefault="009B5EA8" w:rsidP="009B5EA8">
      <w:pPr>
        <w:pStyle w:val="ListParagraph"/>
        <w:spacing w:after="120"/>
        <w:ind w:left="1440"/>
        <w:rPr>
          <w:rFonts w:eastAsiaTheme="minorEastAsia" w:cs="Arial"/>
        </w:rPr>
      </w:pPr>
      <w:r w:rsidRPr="009B5EA8">
        <w:rPr>
          <w:rFonts w:eastAsiaTheme="minorEastAsia" w:cs="Arial"/>
          <w:i/>
        </w:rPr>
        <w:t>2019%savings</w:t>
      </w:r>
      <w:r w:rsidRPr="009B5EA8">
        <w:rPr>
          <w:rFonts w:eastAsiaTheme="minorEastAsia" w:cs="Arial"/>
        </w:rPr>
        <w:t xml:space="preserve"> = expected percent savings of a 2019 T24-compliant relative to a 2016 T24-compliant building</w:t>
      </w:r>
    </w:p>
    <w:p w14:paraId="49814480" w14:textId="77777777" w:rsidR="009B5EA8" w:rsidRPr="009B5EA8" w:rsidRDefault="009B5EA8" w:rsidP="009B5EA8">
      <w:pPr>
        <w:pStyle w:val="ListParagraph"/>
        <w:spacing w:after="120"/>
        <w:ind w:left="1440"/>
        <w:rPr>
          <w:rFonts w:eastAsiaTheme="minorEastAsia" w:cs="Arial"/>
        </w:rPr>
      </w:pPr>
      <w:r w:rsidRPr="009B5EA8">
        <w:rPr>
          <w:rFonts w:eastAsiaTheme="minorEastAsia" w:cs="Arial"/>
          <w:i/>
        </w:rPr>
        <w:t>2016%savings</w:t>
      </w:r>
      <w:r w:rsidRPr="009B5EA8">
        <w:rPr>
          <w:rFonts w:eastAsiaTheme="minorEastAsia" w:cs="Arial"/>
        </w:rPr>
        <w:t xml:space="preserve"> = expected percent savings of a 2016 T24-compliant relative to a 2013 T24-compliant building</w:t>
      </w:r>
    </w:p>
    <w:p w14:paraId="7F2DBD3C" w14:textId="77777777" w:rsidR="009B5EA8" w:rsidRPr="009B5EA8" w:rsidRDefault="009B5EA8" w:rsidP="006B44D0"/>
    <w:p w14:paraId="18C1A5BA" w14:textId="463F5997" w:rsidR="0009749A" w:rsidRPr="009B5EA8" w:rsidRDefault="0009749A" w:rsidP="006B44D0">
      <w:bookmarkStart w:id="637" w:name="_Toc482357323"/>
      <w:bookmarkStart w:id="638" w:name="_Toc482634298"/>
      <w:bookmarkStart w:id="639" w:name="_Toc482626430"/>
      <w:bookmarkStart w:id="640" w:name="_Toc478990522"/>
      <w:bookmarkStart w:id="641" w:name="_Toc479768600"/>
      <w:bookmarkStart w:id="642" w:name="_Toc484092501"/>
      <w:bookmarkStart w:id="643" w:name="_Ref484071991"/>
      <w:r>
        <w:t xml:space="preserve">Title 24 codes beyond 2019 (for example, the 2022, 2025, and 2028 cycles) were not considered in the 2018 study forecast due to the highly uncertain nature of their savings. While California has a goal of all new commercial construction to be ZNE by 2030, the regulatory path towards requiring this by 2030 is uncertain. The 2015 study included a preliminary estimate of the savings from 2022 T24 using a similar process to </w:t>
      </w:r>
      <w:r>
        <w:fldChar w:fldCharType="begin"/>
      </w:r>
      <w:r>
        <w:instrText xml:space="preserve"> REF _Ref484165636 \h </w:instrText>
      </w:r>
      <w:r>
        <w:fldChar w:fldCharType="separate"/>
      </w:r>
      <w:r w:rsidR="00C407F4" w:rsidRPr="009B5EA8">
        <w:t xml:space="preserve">Equation </w:t>
      </w:r>
      <w:r w:rsidR="00C407F4">
        <w:rPr>
          <w:noProof/>
        </w:rPr>
        <w:t>3</w:t>
      </w:r>
      <w:r w:rsidR="00C407F4" w:rsidRPr="009B5EA8">
        <w:noBreakHyphen/>
      </w:r>
      <w:r w:rsidR="00C407F4">
        <w:rPr>
          <w:noProof/>
        </w:rPr>
        <w:t>2</w:t>
      </w:r>
      <w:r>
        <w:fldChar w:fldCharType="end"/>
      </w:r>
      <w:r>
        <w:t xml:space="preserve"> above. However, that estimate was ultimately excluded from the goal setting process. The updated assumptions used for 2019 T24 made in this study would necessarily change what remaining savings can be obtained from 2022 T24. However, CEC staff were unable to provide guidance on what savings may remain for 2022 T24. </w:t>
      </w:r>
    </w:p>
    <w:p w14:paraId="57FF9F05" w14:textId="77777777" w:rsidR="00A569BE" w:rsidRDefault="00A569BE" w:rsidP="00A569BE">
      <w:pPr>
        <w:pStyle w:val="Heading2"/>
      </w:pPr>
      <w:bookmarkStart w:id="644" w:name="_Toc485126562"/>
      <w:bookmarkStart w:id="645" w:name="_Toc484172705"/>
      <w:bookmarkStart w:id="646" w:name="_Toc484183041"/>
      <w:r>
        <w:t>Behavior</w:t>
      </w:r>
      <w:r w:rsidR="00894F4F">
        <w:t>,</w:t>
      </w:r>
      <w:r>
        <w:t xml:space="preserve"> </w:t>
      </w:r>
      <w:r w:rsidR="003A68A4">
        <w:t>Retrocommissioning</w:t>
      </w:r>
      <w:r w:rsidR="00894F4F">
        <w:t>,</w:t>
      </w:r>
      <w:r w:rsidR="003A68A4">
        <w:t xml:space="preserve"> and Operational (BROs) </w:t>
      </w:r>
      <w:r>
        <w:t>Energy Efficiency</w:t>
      </w:r>
      <w:bookmarkEnd w:id="637"/>
      <w:bookmarkEnd w:id="638"/>
      <w:bookmarkEnd w:id="639"/>
      <w:bookmarkEnd w:id="644"/>
      <w:r w:rsidR="008819AB">
        <w:t xml:space="preserve"> </w:t>
      </w:r>
      <w:bookmarkEnd w:id="640"/>
      <w:bookmarkEnd w:id="641"/>
      <w:bookmarkEnd w:id="642"/>
      <w:bookmarkEnd w:id="645"/>
      <w:bookmarkEnd w:id="646"/>
    </w:p>
    <w:bookmarkEnd w:id="643"/>
    <w:p w14:paraId="0484637A" w14:textId="77777777" w:rsidR="00A6054A" w:rsidRPr="00A6054A" w:rsidRDefault="00A6054A" w:rsidP="00A6054A">
      <w:pPr>
        <w:rPr>
          <w:highlight w:val="yellow"/>
        </w:rPr>
      </w:pPr>
      <w:r>
        <w:t xml:space="preserve">To forecast customer behavioral energy savings, the Navigant team considered a wide range of behavioral intervention types for both residential and commercial customers. </w:t>
      </w:r>
      <w:r w:rsidR="004B466D">
        <w:t>Because this is an uncertain area that has been getting a lot of</w:t>
      </w:r>
      <w:r w:rsidR="007D4A2A">
        <w:t xml:space="preserve"> interest from the industry</w:t>
      </w:r>
      <w:r w:rsidR="004B466D">
        <w:t xml:space="preserve"> and </w:t>
      </w:r>
      <w:r w:rsidR="00526631">
        <w:t xml:space="preserve">was </w:t>
      </w:r>
      <w:r w:rsidR="004B466D">
        <w:t xml:space="preserve">called out in AB802 and SB350 as </w:t>
      </w:r>
      <w:r w:rsidR="00526631">
        <w:t xml:space="preserve">an </w:t>
      </w:r>
      <w:r w:rsidR="004B466D">
        <w:t xml:space="preserve">emerging area for increased opportunities given NMEC, we cast the net wide </w:t>
      </w:r>
      <w:r w:rsidR="007D4A2A">
        <w:t>in consideration of interventions and coordinate with stakeholder through the Demand Analysis Working Group</w:t>
      </w:r>
      <w:r w:rsidR="004B466D">
        <w:t>.</w:t>
      </w:r>
      <w:r>
        <w:t xml:space="preserve"> </w:t>
      </w:r>
      <w:r>
        <w:fldChar w:fldCharType="begin"/>
      </w:r>
      <w:r>
        <w:instrText xml:space="preserve"> REF _Ref482026867 \h </w:instrText>
      </w:r>
      <w:r>
        <w:fldChar w:fldCharType="separate"/>
      </w:r>
      <w:r w:rsidR="00C407F4">
        <w:t xml:space="preserve">Figure </w:t>
      </w:r>
      <w:r w:rsidR="00C407F4">
        <w:rPr>
          <w:noProof/>
        </w:rPr>
        <w:t>3</w:t>
      </w:r>
      <w:r w:rsidR="00C407F4">
        <w:noBreakHyphen/>
      </w:r>
      <w:r w:rsidR="00C407F4">
        <w:rPr>
          <w:noProof/>
        </w:rPr>
        <w:t>7</w:t>
      </w:r>
      <w:r>
        <w:fldChar w:fldCharType="end"/>
      </w:r>
      <w:r>
        <w:t xml:space="preserve"> illustrates the five-step selection process used to determine intervention types to include in the reference case scenario.</w:t>
      </w:r>
    </w:p>
    <w:p w14:paraId="65E8FEEF" w14:textId="77777777" w:rsidR="00894F4F" w:rsidRDefault="00894F4F" w:rsidP="009F1024">
      <w:pPr>
        <w:rPr>
          <w:highlight w:val="yellow"/>
        </w:rPr>
      </w:pPr>
    </w:p>
    <w:p w14:paraId="3688F8D5" w14:textId="77777777" w:rsidR="00773ABB" w:rsidRDefault="00773ABB" w:rsidP="00500502">
      <w:pPr>
        <w:pStyle w:val="Caption"/>
      </w:pPr>
      <w:bookmarkStart w:id="647" w:name="_Ref482026867"/>
      <w:bookmarkStart w:id="648" w:name="_Ref481071148"/>
      <w:bookmarkStart w:id="649" w:name="_Toc482634253"/>
      <w:bookmarkStart w:id="650" w:name="_Toc482626461"/>
      <w:bookmarkStart w:id="651" w:name="_Toc484437005"/>
      <w:bookmarkStart w:id="652" w:name="_Toc485125515"/>
      <w:r>
        <w:lastRenderedPageBreak/>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7</w:t>
      </w:r>
      <w:r w:rsidR="00272F76">
        <w:rPr>
          <w:noProof/>
        </w:rPr>
        <w:fldChar w:fldCharType="end"/>
      </w:r>
      <w:bookmarkEnd w:id="647"/>
      <w:bookmarkEnd w:id="648"/>
      <w:r>
        <w:t>. Selection Process for Residential and Commercial BROs Energy Efficiency Programs</w:t>
      </w:r>
      <w:bookmarkEnd w:id="649"/>
      <w:bookmarkEnd w:id="650"/>
      <w:bookmarkEnd w:id="651"/>
      <w:bookmarkEnd w:id="652"/>
    </w:p>
    <w:p w14:paraId="3FBECD55" w14:textId="77777777" w:rsidR="00894F4F" w:rsidRDefault="00773ABB" w:rsidP="009F1024">
      <w:pPr>
        <w:rPr>
          <w:highlight w:val="yellow"/>
        </w:rPr>
      </w:pPr>
      <w:r>
        <w:rPr>
          <w:noProof/>
        </w:rPr>
        <w:drawing>
          <wp:inline distT="0" distB="0" distL="0" distR="0" wp14:anchorId="58A01766" wp14:editId="10AE974C">
            <wp:extent cx="5943600" cy="3046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46730"/>
                    </a:xfrm>
                    <a:prstGeom prst="rect">
                      <a:avLst/>
                    </a:prstGeom>
                  </pic:spPr>
                </pic:pic>
              </a:graphicData>
            </a:graphic>
          </wp:inline>
        </w:drawing>
      </w:r>
    </w:p>
    <w:p w14:paraId="15D81A70" w14:textId="77777777" w:rsidR="00894F4F" w:rsidRDefault="00894F4F" w:rsidP="009F1024">
      <w:pPr>
        <w:rPr>
          <w:highlight w:val="yellow"/>
        </w:rPr>
      </w:pPr>
    </w:p>
    <w:p w14:paraId="1E7AE506" w14:textId="77777777" w:rsidR="00A6054A" w:rsidRPr="00A6054A" w:rsidRDefault="00A6054A" w:rsidP="00A6054A">
      <w:pPr>
        <w:ind w:left="720"/>
      </w:pPr>
      <w:r w:rsidRPr="00A6054A">
        <w:rPr>
          <w:b/>
        </w:rPr>
        <w:t xml:space="preserve">Step 1: Identify Programs. </w:t>
      </w:r>
      <w:r w:rsidRPr="00A6054A">
        <w:t>The first step was to identify general program categories and then to conduct a literature review to identify specific programs. The team augmented our existing knowledge base drawn from the 2015 study</w:t>
      </w:r>
      <w:r w:rsidR="005A6CC1">
        <w:t xml:space="preserve"> and the AB802 TA</w:t>
      </w:r>
      <w:r w:rsidRPr="00A6054A">
        <w:t xml:space="preserve"> with additional findings from numerous Navigant evaluations and research studies, as well as findings from the Consortium for Energy Efficiency Database, American Council for an Energy Efficient Economy, and various other secondary research sources. Once appropriate utility programs had been identified, we sought out formal evaluation findings wherever possible—particularly evaluations of programs run by the four California investor owned utilities—as well as other commissioned original research studies. </w:t>
      </w:r>
    </w:p>
    <w:p w14:paraId="6BB0E2B4" w14:textId="77777777" w:rsidR="00A6054A" w:rsidRPr="00A6054A" w:rsidRDefault="00A6054A" w:rsidP="00A6054A">
      <w:pPr>
        <w:ind w:left="720"/>
      </w:pPr>
    </w:p>
    <w:p w14:paraId="7BF61730" w14:textId="77777777" w:rsidR="00A6054A" w:rsidRPr="00A6054A" w:rsidRDefault="00A6054A" w:rsidP="00A6054A">
      <w:pPr>
        <w:ind w:left="720"/>
      </w:pPr>
      <w:r w:rsidRPr="00A6054A">
        <w:rPr>
          <w:b/>
        </w:rPr>
        <w:t>Step 2: Screen Data.</w:t>
      </w:r>
      <w:r w:rsidRPr="00A6054A">
        <w:t xml:space="preserve"> Potential programs were then organized by intervention type and screened to ensure sufficient data. This initial literature review captured all available data, including utility, program name, state, number of years, number of participants per year, participant type, participation rates, eligibility considerations, energy savings, persistence, and cost. Because findings were obtained from many sources, data were inconsistently reported and thus </w:t>
      </w:r>
      <w:r w:rsidR="005A6CC1">
        <w:t>“</w:t>
      </w:r>
      <w:r w:rsidRPr="00A6054A">
        <w:t>apples-to-apples</w:t>
      </w:r>
      <w:r w:rsidR="005A6CC1">
        <w:t>”</w:t>
      </w:r>
      <w:r w:rsidRPr="00A6054A">
        <w:t xml:space="preserve"> comparisons were not always possible. </w:t>
      </w:r>
    </w:p>
    <w:p w14:paraId="2AE479C2" w14:textId="77777777" w:rsidR="00A6054A" w:rsidRPr="00A6054A" w:rsidRDefault="00A6054A" w:rsidP="00A6054A">
      <w:pPr>
        <w:ind w:left="720"/>
      </w:pPr>
    </w:p>
    <w:p w14:paraId="1A1FE1EB" w14:textId="77777777" w:rsidR="00A6054A" w:rsidRPr="00A6054A" w:rsidRDefault="00A6054A" w:rsidP="00A6054A">
      <w:pPr>
        <w:ind w:left="720"/>
      </w:pPr>
      <w:r w:rsidRPr="00A6054A">
        <w:rPr>
          <w:b/>
        </w:rPr>
        <w:t>Step 3: Characterize Interventions.</w:t>
      </w:r>
      <w:r w:rsidRPr="00A6054A">
        <w:t xml:space="preserve"> Behavioral interventions were ultimately included in the model when a sufficiency of data was available for five primary modeling inputs: </w:t>
      </w:r>
    </w:p>
    <w:p w14:paraId="542AB110" w14:textId="77777777" w:rsidR="00A6054A" w:rsidRDefault="00A6054A" w:rsidP="004E4E36">
      <w:pPr>
        <w:pStyle w:val="ListParagraph"/>
        <w:numPr>
          <w:ilvl w:val="0"/>
          <w:numId w:val="20"/>
        </w:numPr>
        <w:ind w:left="1440"/>
      </w:pPr>
      <w:r>
        <w:t xml:space="preserve">kWh savings </w:t>
      </w:r>
    </w:p>
    <w:p w14:paraId="04D7919A" w14:textId="77777777" w:rsidR="00A6054A" w:rsidRDefault="00A6054A" w:rsidP="004E4E36">
      <w:pPr>
        <w:pStyle w:val="ListParagraph"/>
        <w:numPr>
          <w:ilvl w:val="0"/>
          <w:numId w:val="20"/>
        </w:numPr>
        <w:ind w:left="1440"/>
      </w:pPr>
      <w:r>
        <w:t xml:space="preserve">therm savings </w:t>
      </w:r>
    </w:p>
    <w:p w14:paraId="5CF96BCE" w14:textId="77777777" w:rsidR="00A6054A" w:rsidRDefault="005A6CC1" w:rsidP="004E4E36">
      <w:pPr>
        <w:pStyle w:val="ListParagraph"/>
        <w:numPr>
          <w:ilvl w:val="0"/>
          <w:numId w:val="20"/>
        </w:numPr>
        <w:ind w:left="1440"/>
      </w:pPr>
      <w:r>
        <w:t>p</w:t>
      </w:r>
      <w:r w:rsidR="00A6054A">
        <w:t>articipation rates</w:t>
      </w:r>
    </w:p>
    <w:p w14:paraId="67A993C7" w14:textId="77777777" w:rsidR="00A6054A" w:rsidRDefault="00A6054A" w:rsidP="004E4E36">
      <w:pPr>
        <w:pStyle w:val="ListParagraph"/>
        <w:numPr>
          <w:ilvl w:val="0"/>
          <w:numId w:val="20"/>
        </w:numPr>
        <w:ind w:left="1440"/>
      </w:pPr>
      <w:r>
        <w:t xml:space="preserve">persistence </w:t>
      </w:r>
    </w:p>
    <w:p w14:paraId="6F97203E" w14:textId="77777777" w:rsidR="00A6054A" w:rsidRPr="00A6054A" w:rsidRDefault="00A6054A" w:rsidP="004E4E36">
      <w:pPr>
        <w:pStyle w:val="ListParagraph"/>
        <w:numPr>
          <w:ilvl w:val="0"/>
          <w:numId w:val="20"/>
        </w:numPr>
        <w:ind w:left="1440"/>
      </w:pPr>
      <w:r>
        <w:t>cost</w:t>
      </w:r>
    </w:p>
    <w:p w14:paraId="13BCDA65" w14:textId="77777777" w:rsidR="00A6054A" w:rsidRPr="00A6054A" w:rsidRDefault="00A6054A" w:rsidP="00A6054A">
      <w:pPr>
        <w:ind w:left="720"/>
      </w:pPr>
    </w:p>
    <w:p w14:paraId="4F130F82" w14:textId="77777777" w:rsidR="00A6054A" w:rsidRPr="00A6054A" w:rsidRDefault="00A6054A" w:rsidP="00A6054A">
      <w:pPr>
        <w:ind w:left="720"/>
      </w:pPr>
      <w:r w:rsidRPr="00A6054A">
        <w:t>While savings and participation rates were generally readily available from formal EM&amp;V evaluations, cost data were more often scarce. So</w:t>
      </w:r>
      <w:r>
        <w:t>,</w:t>
      </w:r>
      <w:r w:rsidRPr="00A6054A">
        <w:t xml:space="preserve"> in some cases we extrapolated or estimated based on a limited number of data points. </w:t>
      </w:r>
    </w:p>
    <w:p w14:paraId="2946DE9F" w14:textId="77777777" w:rsidR="00A6054A" w:rsidRPr="00A6054A" w:rsidRDefault="00A6054A" w:rsidP="00A6054A">
      <w:pPr>
        <w:ind w:left="720"/>
      </w:pPr>
    </w:p>
    <w:p w14:paraId="1ED73EEC" w14:textId="77777777" w:rsidR="00A6054A" w:rsidRPr="00A6054A" w:rsidRDefault="00A6054A" w:rsidP="00A6054A">
      <w:pPr>
        <w:ind w:left="720"/>
      </w:pPr>
      <w:r w:rsidRPr="00A6054A">
        <w:t xml:space="preserve">Penetration rates were calculated based on relevant EM&amp;V reported program participation rates for current California IOU program offerings and reported participation in programs in other states. </w:t>
      </w:r>
    </w:p>
    <w:p w14:paraId="4295B050" w14:textId="77777777" w:rsidR="00A6054A" w:rsidRPr="00A6054A" w:rsidRDefault="00A6054A" w:rsidP="00A6054A">
      <w:pPr>
        <w:ind w:left="720"/>
      </w:pPr>
    </w:p>
    <w:p w14:paraId="0399B8F8" w14:textId="77777777" w:rsidR="00A6054A" w:rsidRPr="00A6054A" w:rsidRDefault="00A6054A" w:rsidP="00A6054A">
      <w:pPr>
        <w:ind w:left="720"/>
      </w:pPr>
      <w:r w:rsidRPr="00A6054A">
        <w:t xml:space="preserve">We modeled an EUL of one year for residential programs. Commercial programs used a two </w:t>
      </w:r>
      <w:r w:rsidR="00C05ACD">
        <w:t xml:space="preserve">or three </w:t>
      </w:r>
      <w:r w:rsidRPr="00A6054A">
        <w:t xml:space="preserve">year EUL, per CPUC Decision 16-08-019, unless evidence supported a longer duration. </w:t>
      </w:r>
    </w:p>
    <w:p w14:paraId="3B59B5A5" w14:textId="77777777" w:rsidR="00A6054A" w:rsidRPr="00A6054A" w:rsidRDefault="00A6054A" w:rsidP="00A6054A">
      <w:pPr>
        <w:ind w:left="720"/>
      </w:pPr>
    </w:p>
    <w:p w14:paraId="7B9A5394" w14:textId="77777777" w:rsidR="00A6054A" w:rsidRDefault="00A6054A" w:rsidP="00A6054A">
      <w:pPr>
        <w:ind w:left="720"/>
      </w:pPr>
      <w:r w:rsidRPr="00A6054A">
        <w:t xml:space="preserve">Specific modelling inputs for each intervention type are discuss in detail in </w:t>
      </w:r>
      <w:r>
        <w:fldChar w:fldCharType="begin"/>
      </w:r>
      <w:r>
        <w:instrText xml:space="preserve"> REF _Ref482027002 \n \h </w:instrText>
      </w:r>
      <w:r>
        <w:fldChar w:fldCharType="separate"/>
      </w:r>
      <w:r w:rsidR="00C407F4">
        <w:t>Appendix B</w:t>
      </w:r>
      <w:r>
        <w:fldChar w:fldCharType="end"/>
      </w:r>
      <w:r w:rsidRPr="00A6054A">
        <w:t>.</w:t>
      </w:r>
    </w:p>
    <w:p w14:paraId="6A855065" w14:textId="77777777" w:rsidR="00A6054A" w:rsidRPr="00A6054A" w:rsidRDefault="00A6054A" w:rsidP="00A6054A">
      <w:pPr>
        <w:ind w:left="720"/>
      </w:pPr>
    </w:p>
    <w:p w14:paraId="176A27CF" w14:textId="77777777" w:rsidR="00A6054A" w:rsidRPr="00A6054A" w:rsidRDefault="00A6054A" w:rsidP="00A6054A">
      <w:pPr>
        <w:ind w:left="720"/>
      </w:pPr>
      <w:r w:rsidRPr="00A6054A">
        <w:rPr>
          <w:b/>
        </w:rPr>
        <w:t xml:space="preserve">Step 4. Cost Effectiveness Screen. </w:t>
      </w:r>
      <w:r w:rsidRPr="00A6054A">
        <w:t xml:space="preserve">The cost-effectiveness screen used the total resource cost (TRC) test – the most conservative of the cost-effectiveness tests used in the </w:t>
      </w:r>
      <w:r w:rsidR="005A6CC1" w:rsidRPr="00A6054A">
        <w:t>201</w:t>
      </w:r>
      <w:r w:rsidR="005A6CC1">
        <w:t>8</w:t>
      </w:r>
      <w:r w:rsidR="005A6CC1" w:rsidRPr="00A6054A">
        <w:t xml:space="preserve"> </w:t>
      </w:r>
      <w:r w:rsidRPr="00A6054A">
        <w:t>Study</w:t>
      </w:r>
      <w:r w:rsidR="00CB3715">
        <w:t xml:space="preserve"> – and the latest CPUC-approved avoided costs for each utility</w:t>
      </w:r>
      <w:r w:rsidRPr="00A6054A">
        <w:t xml:space="preserve">. This screen was used to eliminate measures from the reference case. Even programs that were not cost-effective are included in the aggressive scenario as an indication of the data available on the potential of these programs. </w:t>
      </w:r>
    </w:p>
    <w:p w14:paraId="5E85E000" w14:textId="77777777" w:rsidR="00A6054A" w:rsidRDefault="00A6054A" w:rsidP="00A6054A">
      <w:pPr>
        <w:ind w:left="720"/>
        <w:rPr>
          <w:b/>
        </w:rPr>
      </w:pPr>
    </w:p>
    <w:p w14:paraId="50EF5BDB" w14:textId="77777777" w:rsidR="00A6054A" w:rsidRPr="00A6054A" w:rsidRDefault="00A6054A" w:rsidP="00A6054A">
      <w:pPr>
        <w:ind w:left="720"/>
      </w:pPr>
      <w:r w:rsidRPr="00A6054A">
        <w:rPr>
          <w:b/>
        </w:rPr>
        <w:t>Step 5. Forecast Potential.</w:t>
      </w:r>
      <w:r w:rsidRPr="00A6054A">
        <w:t xml:space="preserve"> The forecasts are the result of professional judgement based upon program operations and whether participation is utility driven (opt-out) or customer driven (opt-in).</w:t>
      </w:r>
      <w:r w:rsidR="00C05ACD">
        <w:t xml:space="preserve"> The forecasted penetration rates were </w:t>
      </w:r>
      <w:r w:rsidR="002724E0">
        <w:t xml:space="preserve">adjusted to represent a reference and an aggressive scenario. </w:t>
      </w:r>
    </w:p>
    <w:p w14:paraId="09A3C411" w14:textId="77777777" w:rsidR="00A6054A" w:rsidRPr="00A6054A" w:rsidRDefault="00A6054A" w:rsidP="00A6054A"/>
    <w:p w14:paraId="6AA57C0B" w14:textId="77777777" w:rsidR="00A6054A" w:rsidRPr="00A6054A" w:rsidRDefault="00A6054A" w:rsidP="006D2D50">
      <w:r w:rsidRPr="00A6054A">
        <w:t>The</w:t>
      </w:r>
      <w:r w:rsidR="006D7207">
        <w:t xml:space="preserve"> results of Step 1</w:t>
      </w:r>
      <w:r w:rsidRPr="00A6054A">
        <w:t xml:space="preserve"> were presented at the DAWG meeting held in San Francisco on November 4, 201</w:t>
      </w:r>
      <w:r>
        <w:t>6</w:t>
      </w:r>
      <w:r w:rsidRPr="00A6054A">
        <w:t>. Feedback from stakeholders on these interventions was requested during the meeting, but none was subsequently submitted. Several of the originally</w:t>
      </w:r>
      <w:r w:rsidR="006D7207">
        <w:t>-</w:t>
      </w:r>
      <w:r w:rsidRPr="00A6054A">
        <w:t>considered behavior intervention types were elimi</w:t>
      </w:r>
      <w:r w:rsidR="006D7207">
        <w:t>nated after completing the five-</w:t>
      </w:r>
      <w:r w:rsidRPr="00A6054A">
        <w:t>step selection process due to insufficient</w:t>
      </w:r>
      <w:r w:rsidR="006D7207">
        <w:t xml:space="preserve"> </w:t>
      </w:r>
      <w:r w:rsidRPr="00A6054A">
        <w:t xml:space="preserve">data. </w:t>
      </w:r>
      <w:r w:rsidR="006D7207" w:rsidRPr="00A6054A">
        <w:t>Thus</w:t>
      </w:r>
      <w:r w:rsidRPr="00A6054A">
        <w:t xml:space="preserve">, the </w:t>
      </w:r>
      <w:r w:rsidR="00BB59F5">
        <w:t>2018</w:t>
      </w:r>
      <w:r w:rsidRPr="00A6054A">
        <w:t xml:space="preserve"> </w:t>
      </w:r>
      <w:r w:rsidR="006D7207">
        <w:t>Study</w:t>
      </w:r>
      <w:r w:rsidRPr="00A6054A">
        <w:t xml:space="preserve"> ultimately includes </w:t>
      </w:r>
      <w:r w:rsidR="006D7207">
        <w:t xml:space="preserve">the programs shown in </w:t>
      </w:r>
      <w:r w:rsidR="006D7207">
        <w:fldChar w:fldCharType="begin"/>
      </w:r>
      <w:r w:rsidR="006D7207">
        <w:instrText xml:space="preserve"> REF _Ref482028352 \h </w:instrText>
      </w:r>
      <w:r w:rsidR="006D2D50">
        <w:instrText xml:space="preserve"> \* MERGEFORMAT </w:instrText>
      </w:r>
      <w:r w:rsidR="006D7207">
        <w:fldChar w:fldCharType="separate"/>
      </w:r>
      <w:r w:rsidR="00C407F4">
        <w:t xml:space="preserve">Figure </w:t>
      </w:r>
      <w:r w:rsidR="00C407F4">
        <w:rPr>
          <w:noProof/>
        </w:rPr>
        <w:t>3</w:t>
      </w:r>
      <w:r w:rsidR="00C407F4">
        <w:rPr>
          <w:noProof/>
        </w:rPr>
        <w:noBreakHyphen/>
        <w:t>8</w:t>
      </w:r>
      <w:r w:rsidR="006D7207">
        <w:fldChar w:fldCharType="end"/>
      </w:r>
      <w:r w:rsidR="006D7207">
        <w:t xml:space="preserve"> and </w:t>
      </w:r>
      <w:r w:rsidR="006D7207">
        <w:fldChar w:fldCharType="begin"/>
      </w:r>
      <w:r w:rsidR="006D7207">
        <w:instrText xml:space="preserve"> REF _Ref482028372 \h </w:instrText>
      </w:r>
      <w:r w:rsidR="006D2D50">
        <w:instrText xml:space="preserve"> \* MERGEFORMAT </w:instrText>
      </w:r>
      <w:r w:rsidR="006D7207">
        <w:fldChar w:fldCharType="separate"/>
      </w:r>
      <w:r w:rsidR="00C407F4">
        <w:t xml:space="preserve">Figure </w:t>
      </w:r>
      <w:r w:rsidR="00C407F4">
        <w:rPr>
          <w:noProof/>
        </w:rPr>
        <w:t>3</w:t>
      </w:r>
      <w:r w:rsidR="00C407F4">
        <w:rPr>
          <w:noProof/>
        </w:rPr>
        <w:noBreakHyphen/>
        <w:t>9</w:t>
      </w:r>
      <w:r w:rsidR="006D7207">
        <w:fldChar w:fldCharType="end"/>
      </w:r>
      <w:r w:rsidR="006D7207">
        <w:t>.</w:t>
      </w:r>
      <w:r w:rsidRPr="00A6054A">
        <w:t xml:space="preserve"> A </w:t>
      </w:r>
      <w:r w:rsidR="006D7207">
        <w:t>more detailed description</w:t>
      </w:r>
      <w:r w:rsidRPr="00A6054A">
        <w:t xml:space="preserve"> of each of the final intervention types follows in</w:t>
      </w:r>
      <w:r w:rsidR="006D7207">
        <w:t xml:space="preserve"> </w:t>
      </w:r>
      <w:r w:rsidR="006D7207">
        <w:fldChar w:fldCharType="begin"/>
      </w:r>
      <w:r w:rsidR="006D7207">
        <w:instrText xml:space="preserve"> REF _Ref482028565 \h </w:instrText>
      </w:r>
      <w:r w:rsidR="006D2D50">
        <w:instrText xml:space="preserve"> \* MERGEFORMAT </w:instrText>
      </w:r>
      <w:r w:rsidR="006D7207">
        <w:fldChar w:fldCharType="separate"/>
      </w:r>
      <w:r w:rsidR="00C407F4">
        <w:t xml:space="preserve">Table </w:t>
      </w:r>
      <w:r w:rsidR="00C407F4">
        <w:rPr>
          <w:noProof/>
        </w:rPr>
        <w:t>3</w:t>
      </w:r>
      <w:r w:rsidR="00C407F4">
        <w:rPr>
          <w:noProof/>
        </w:rPr>
        <w:noBreakHyphen/>
        <w:t>25</w:t>
      </w:r>
      <w:r w:rsidR="006D7207">
        <w:fldChar w:fldCharType="end"/>
      </w:r>
      <w:r w:rsidRPr="00A6054A">
        <w:t>.</w:t>
      </w:r>
    </w:p>
    <w:p w14:paraId="699490DA" w14:textId="77777777" w:rsidR="001F04C4" w:rsidRDefault="001F04C4" w:rsidP="001F04C4">
      <w:pPr>
        <w:jc w:val="center"/>
      </w:pPr>
    </w:p>
    <w:p w14:paraId="0385F9C1" w14:textId="77777777" w:rsidR="001F04C4" w:rsidRDefault="001F04C4" w:rsidP="001F04C4">
      <w:pPr>
        <w:pStyle w:val="Caption"/>
      </w:pPr>
      <w:bookmarkStart w:id="653" w:name="_Ref482028352"/>
      <w:bookmarkStart w:id="654" w:name="_Toc482634254"/>
      <w:bookmarkStart w:id="655" w:name="_Toc482626462"/>
      <w:bookmarkStart w:id="656" w:name="_Toc484437006"/>
      <w:bookmarkStart w:id="657" w:name="_Toc485125516"/>
      <w:r>
        <w:lastRenderedPageBreak/>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8</w:t>
      </w:r>
      <w:r w:rsidR="00272F76">
        <w:rPr>
          <w:noProof/>
        </w:rPr>
        <w:fldChar w:fldCharType="end"/>
      </w:r>
      <w:bookmarkEnd w:id="653"/>
      <w:r>
        <w:t>. Residential BROs</w:t>
      </w:r>
      <w:bookmarkEnd w:id="654"/>
      <w:bookmarkEnd w:id="655"/>
      <w:bookmarkEnd w:id="656"/>
      <w:bookmarkEnd w:id="657"/>
    </w:p>
    <w:p w14:paraId="45CB0C92" w14:textId="77777777" w:rsidR="00894F4F" w:rsidRDefault="006D7207" w:rsidP="001F04C4">
      <w:pPr>
        <w:jc w:val="center"/>
      </w:pPr>
      <w:r w:rsidRPr="006D7207">
        <w:rPr>
          <w:noProof/>
        </w:rPr>
        <w:drawing>
          <wp:inline distT="0" distB="0" distL="0" distR="0" wp14:anchorId="14EF0006" wp14:editId="2FE0AF9C">
            <wp:extent cx="4889500" cy="2457450"/>
            <wp:effectExtent l="38100" t="38100" r="25400" b="3810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9AE245E" w14:textId="77777777" w:rsidR="007D4A2A" w:rsidRPr="007D4A2A" w:rsidRDefault="007D4A2A" w:rsidP="001F04C4">
      <w:pPr>
        <w:jc w:val="center"/>
        <w:rPr>
          <w:sz w:val="16"/>
          <w:szCs w:val="20"/>
        </w:rPr>
      </w:pPr>
      <w:r w:rsidRPr="007D4A2A">
        <w:rPr>
          <w:sz w:val="16"/>
          <w:szCs w:val="20"/>
        </w:rPr>
        <w:t>*Note: Removed f</w:t>
      </w:r>
      <w:r>
        <w:rPr>
          <w:sz w:val="16"/>
          <w:szCs w:val="20"/>
        </w:rPr>
        <w:t>rom the reference case scenario due to lost cost effectiveness.</w:t>
      </w:r>
    </w:p>
    <w:p w14:paraId="48B5F022" w14:textId="77777777" w:rsidR="002724E0" w:rsidRDefault="002724E0" w:rsidP="00095E9B">
      <w:pPr>
        <w:pStyle w:val="Source"/>
        <w:ind w:firstLine="720"/>
      </w:pPr>
    </w:p>
    <w:p w14:paraId="06CA14DB" w14:textId="77777777" w:rsidR="001F04C4" w:rsidRDefault="001F04C4" w:rsidP="001F04C4">
      <w:pPr>
        <w:pStyle w:val="Caption"/>
      </w:pPr>
      <w:bookmarkStart w:id="658" w:name="_Ref482028372"/>
      <w:bookmarkStart w:id="659" w:name="_Toc482634255"/>
      <w:bookmarkStart w:id="660" w:name="_Toc482626463"/>
      <w:bookmarkStart w:id="661" w:name="_Toc484437007"/>
      <w:bookmarkStart w:id="662" w:name="_Toc485125517"/>
      <w:r>
        <w:t xml:space="preserve">Figure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9</w:t>
      </w:r>
      <w:r w:rsidR="00272F76">
        <w:rPr>
          <w:noProof/>
        </w:rPr>
        <w:fldChar w:fldCharType="end"/>
      </w:r>
      <w:bookmarkEnd w:id="658"/>
      <w:r>
        <w:t>. Commercial BROs</w:t>
      </w:r>
      <w:bookmarkEnd w:id="659"/>
      <w:bookmarkEnd w:id="660"/>
      <w:bookmarkEnd w:id="661"/>
      <w:bookmarkEnd w:id="662"/>
    </w:p>
    <w:p w14:paraId="118EDA7F" w14:textId="77777777" w:rsidR="001F04C4" w:rsidRDefault="006D7207" w:rsidP="001F04C4">
      <w:pPr>
        <w:jc w:val="center"/>
      </w:pPr>
      <w:r w:rsidRPr="006D7207">
        <w:rPr>
          <w:noProof/>
        </w:rPr>
        <w:drawing>
          <wp:inline distT="0" distB="0" distL="0" distR="0" wp14:anchorId="59BDCDCF" wp14:editId="618D6BBE">
            <wp:extent cx="4969510" cy="2705100"/>
            <wp:effectExtent l="38100" t="38100" r="21590" b="1905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3060F1CF" w14:textId="77777777" w:rsidR="002724E0" w:rsidRDefault="002724E0" w:rsidP="007D4A2A">
      <w:pPr>
        <w:pStyle w:val="Source"/>
        <w:ind w:firstLine="720"/>
        <w:jc w:val="center"/>
      </w:pPr>
      <w:r>
        <w:t>*</w:t>
      </w:r>
      <w:r>
        <w:rPr>
          <w:i w:val="0"/>
        </w:rPr>
        <w:t>Note: Removed from the reference case scenario</w:t>
      </w:r>
      <w:r w:rsidR="007D4A2A">
        <w:rPr>
          <w:i w:val="0"/>
        </w:rPr>
        <w:t xml:space="preserve"> due to high uncertainty. </w:t>
      </w:r>
    </w:p>
    <w:p w14:paraId="12296A78" w14:textId="77777777" w:rsidR="002724E0" w:rsidRPr="001F04C4" w:rsidRDefault="002724E0" w:rsidP="001F04C4">
      <w:pPr>
        <w:jc w:val="center"/>
      </w:pPr>
    </w:p>
    <w:p w14:paraId="59E63005" w14:textId="77777777" w:rsidR="006D7207" w:rsidRDefault="006D7207" w:rsidP="006D7207">
      <w:pPr>
        <w:pStyle w:val="Caption"/>
      </w:pPr>
      <w:bookmarkStart w:id="663" w:name="_Ref482028565"/>
      <w:bookmarkStart w:id="664" w:name="_Toc482634233"/>
      <w:bookmarkStart w:id="665" w:name="_Toc484436972"/>
      <w:bookmarkStart w:id="666" w:name="_Toc485125683"/>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25</w:t>
      </w:r>
      <w:r w:rsidR="00272F76">
        <w:rPr>
          <w:noProof/>
        </w:rPr>
        <w:fldChar w:fldCharType="end"/>
      </w:r>
      <w:bookmarkEnd w:id="663"/>
      <w:r>
        <w:t>. Behavioral Intervention Summary Table</w:t>
      </w:r>
      <w:bookmarkEnd w:id="664"/>
      <w:bookmarkEnd w:id="665"/>
      <w:bookmarkEnd w:id="666"/>
    </w:p>
    <w:tbl>
      <w:tblPr>
        <w:tblStyle w:val="EnergyTable1"/>
        <w:tblW w:w="8976" w:type="dxa"/>
        <w:tblLayout w:type="fixed"/>
        <w:tblLook w:val="04A0" w:firstRow="1" w:lastRow="0" w:firstColumn="1" w:lastColumn="0" w:noHBand="0" w:noVBand="1"/>
      </w:tblPr>
      <w:tblGrid>
        <w:gridCol w:w="949"/>
        <w:gridCol w:w="2072"/>
        <w:gridCol w:w="5093"/>
        <w:gridCol w:w="862"/>
      </w:tblGrid>
      <w:tr w:rsidR="006D7207" w:rsidRPr="00483510" w14:paraId="086B5BDF" w14:textId="77777777" w:rsidTr="00110120">
        <w:trPr>
          <w:cnfStyle w:val="100000000000" w:firstRow="1" w:lastRow="0" w:firstColumn="0" w:lastColumn="0" w:oddVBand="0" w:evenVBand="0" w:oddHBand="0" w:evenHBand="0" w:firstRowFirstColumn="0" w:firstRowLastColumn="0" w:lastRowFirstColumn="0" w:lastRowLastColumn="0"/>
          <w:trHeight w:val="654"/>
          <w:tblHeader/>
        </w:trPr>
        <w:tc>
          <w:tcPr>
            <w:cnfStyle w:val="001000000000" w:firstRow="0" w:lastRow="0" w:firstColumn="1" w:lastColumn="0" w:oddVBand="0" w:evenVBand="0" w:oddHBand="0" w:evenHBand="0" w:firstRowFirstColumn="0" w:firstRowLastColumn="0" w:lastRowFirstColumn="0" w:lastRowLastColumn="0"/>
            <w:tcW w:w="949" w:type="dxa"/>
            <w:vMerge w:val="restart"/>
            <w:hideMark/>
          </w:tcPr>
          <w:p w14:paraId="6ECD1305" w14:textId="77777777" w:rsidR="006D7207" w:rsidRPr="00483510" w:rsidRDefault="006D7207" w:rsidP="006D7207">
            <w:pPr>
              <w:rPr>
                <w:rFonts w:ascii="Arial Narrow" w:hAnsi="Arial Narrow"/>
                <w:bCs/>
                <w:sz w:val="18"/>
                <w:szCs w:val="18"/>
              </w:rPr>
            </w:pPr>
            <w:r w:rsidRPr="00483510">
              <w:rPr>
                <w:rFonts w:ascii="Arial Narrow" w:hAnsi="Arial Narrow"/>
                <w:bCs/>
                <w:sz w:val="18"/>
                <w:szCs w:val="18"/>
              </w:rPr>
              <w:t>Sector</w:t>
            </w:r>
          </w:p>
        </w:tc>
        <w:tc>
          <w:tcPr>
            <w:tcW w:w="2072" w:type="dxa"/>
            <w:vMerge w:val="restart"/>
            <w:hideMark/>
          </w:tcPr>
          <w:p w14:paraId="4C5F9389"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 xml:space="preserve">Type of </w:t>
            </w:r>
            <w:r w:rsidRPr="00483510">
              <w:rPr>
                <w:rFonts w:ascii="Arial Narrow" w:hAnsi="Arial Narrow"/>
                <w:bCs/>
                <w:sz w:val="18"/>
                <w:szCs w:val="18"/>
              </w:rPr>
              <w:br/>
              <w:t>Behavioral Intervention</w:t>
            </w:r>
          </w:p>
        </w:tc>
        <w:tc>
          <w:tcPr>
            <w:tcW w:w="5093" w:type="dxa"/>
            <w:vMerge w:val="restart"/>
            <w:hideMark/>
          </w:tcPr>
          <w:p w14:paraId="09ABDE31"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Brief Description</w:t>
            </w:r>
          </w:p>
        </w:tc>
        <w:tc>
          <w:tcPr>
            <w:tcW w:w="862" w:type="dxa"/>
            <w:vMerge w:val="restart"/>
            <w:hideMark/>
          </w:tcPr>
          <w:p w14:paraId="2177B51A"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EUL (years)</w:t>
            </w:r>
          </w:p>
        </w:tc>
      </w:tr>
      <w:tr w:rsidR="006D7207" w:rsidRPr="00483510" w14:paraId="6392500E" w14:textId="77777777" w:rsidTr="00211361">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949" w:type="dxa"/>
            <w:vMerge/>
            <w:hideMark/>
          </w:tcPr>
          <w:p w14:paraId="19B0410C" w14:textId="77777777" w:rsidR="006D7207" w:rsidRPr="00483510" w:rsidRDefault="006D7207" w:rsidP="006D7207">
            <w:pPr>
              <w:rPr>
                <w:rFonts w:ascii="Arial Narrow" w:hAnsi="Arial Narrow"/>
                <w:bCs/>
                <w:sz w:val="18"/>
                <w:szCs w:val="18"/>
              </w:rPr>
            </w:pPr>
          </w:p>
        </w:tc>
        <w:tc>
          <w:tcPr>
            <w:tcW w:w="2072" w:type="dxa"/>
            <w:vMerge/>
            <w:hideMark/>
          </w:tcPr>
          <w:p w14:paraId="19BC2455"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p>
        </w:tc>
        <w:tc>
          <w:tcPr>
            <w:tcW w:w="5093" w:type="dxa"/>
            <w:vMerge/>
            <w:hideMark/>
          </w:tcPr>
          <w:p w14:paraId="61CA827B"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p>
        </w:tc>
        <w:tc>
          <w:tcPr>
            <w:tcW w:w="862" w:type="dxa"/>
            <w:vMerge/>
            <w:hideMark/>
          </w:tcPr>
          <w:p w14:paraId="30FC8BF7"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p>
        </w:tc>
      </w:tr>
      <w:tr w:rsidR="006D7207" w:rsidRPr="00483510" w14:paraId="26EA0E94" w14:textId="77777777" w:rsidTr="00110120">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949" w:type="dxa"/>
            <w:hideMark/>
          </w:tcPr>
          <w:p w14:paraId="7F16144E" w14:textId="77777777" w:rsidR="006D7207" w:rsidRPr="00483510" w:rsidRDefault="006D7207" w:rsidP="006D7207">
            <w:pPr>
              <w:rPr>
                <w:rFonts w:ascii="Arial Narrow" w:hAnsi="Arial Narrow"/>
                <w:sz w:val="18"/>
                <w:szCs w:val="18"/>
              </w:rPr>
            </w:pPr>
            <w:r w:rsidRPr="00483510">
              <w:rPr>
                <w:rFonts w:ascii="Arial Narrow" w:hAnsi="Arial Narrow"/>
                <w:sz w:val="18"/>
                <w:szCs w:val="18"/>
              </w:rPr>
              <w:lastRenderedPageBreak/>
              <w:t>RES</w:t>
            </w:r>
          </w:p>
        </w:tc>
        <w:tc>
          <w:tcPr>
            <w:tcW w:w="2072" w:type="dxa"/>
            <w:hideMark/>
          </w:tcPr>
          <w:p w14:paraId="0D15F1C5"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Home Energy Reports (HERs)</w:t>
            </w:r>
          </w:p>
        </w:tc>
        <w:tc>
          <w:tcPr>
            <w:tcW w:w="5093" w:type="dxa"/>
            <w:hideMark/>
          </w:tcPr>
          <w:p w14:paraId="1DE8C8BE"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Residential customers are periodically mailed HERs that provide feedback about their home’s energy use, including normative comparisons to similar neighbors, tips for improving energy efficiency, and occasionally messaging about rewards or incentives.</w:t>
            </w:r>
          </w:p>
        </w:tc>
        <w:tc>
          <w:tcPr>
            <w:tcW w:w="862" w:type="dxa"/>
            <w:noWrap/>
            <w:hideMark/>
          </w:tcPr>
          <w:p w14:paraId="0669E104"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68236C4D" w14:textId="77777777" w:rsidTr="00110120">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949" w:type="dxa"/>
            <w:hideMark/>
          </w:tcPr>
          <w:p w14:paraId="7C3DF91C"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2072" w:type="dxa"/>
            <w:hideMark/>
          </w:tcPr>
          <w:p w14:paraId="708AB3F6"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Web-Based Real Time Feedback (Web RTF)</w:t>
            </w:r>
          </w:p>
        </w:tc>
        <w:tc>
          <w:tcPr>
            <w:tcW w:w="5093" w:type="dxa"/>
            <w:hideMark/>
          </w:tcPr>
          <w:p w14:paraId="1426C9E6"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Real time information and feedback about household energy use provided via websites or mobile apps</w:t>
            </w:r>
          </w:p>
        </w:tc>
        <w:tc>
          <w:tcPr>
            <w:tcW w:w="862" w:type="dxa"/>
            <w:noWrap/>
            <w:hideMark/>
          </w:tcPr>
          <w:p w14:paraId="2F1C34D4"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45F242E9" w14:textId="77777777" w:rsidTr="00110120">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49" w:type="dxa"/>
            <w:hideMark/>
          </w:tcPr>
          <w:p w14:paraId="31FEA429"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2072" w:type="dxa"/>
            <w:hideMark/>
          </w:tcPr>
          <w:p w14:paraId="10EC78BD"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In-Home Display Real Time Feedback (IHD RTF)</w:t>
            </w:r>
          </w:p>
        </w:tc>
        <w:tc>
          <w:tcPr>
            <w:tcW w:w="5093" w:type="dxa"/>
            <w:hideMark/>
          </w:tcPr>
          <w:p w14:paraId="5AE094D8"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Real time information and feedback about household energy use provided via energy monitoring and feedback devices installed in customer homes</w:t>
            </w:r>
          </w:p>
        </w:tc>
        <w:tc>
          <w:tcPr>
            <w:tcW w:w="862" w:type="dxa"/>
            <w:noWrap/>
            <w:hideMark/>
          </w:tcPr>
          <w:p w14:paraId="74BB066C"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76B3082E" w14:textId="77777777" w:rsidTr="00110120">
        <w:trPr>
          <w:cnfStyle w:val="000000010000" w:firstRow="0" w:lastRow="0" w:firstColumn="0" w:lastColumn="0" w:oddVBand="0" w:evenVBand="0" w:oddHBand="0" w:evenHBand="1"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949" w:type="dxa"/>
            <w:hideMark/>
          </w:tcPr>
          <w:p w14:paraId="79FDD136"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2072" w:type="dxa"/>
            <w:hideMark/>
          </w:tcPr>
          <w:p w14:paraId="19500C64"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Small Residential Competitions</w:t>
            </w:r>
          </w:p>
        </w:tc>
        <w:tc>
          <w:tcPr>
            <w:tcW w:w="5093" w:type="dxa"/>
            <w:hideMark/>
          </w:tcPr>
          <w:p w14:paraId="2EF810E6"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Small residential competitions are organized competitions with fewer than 10,000 participants per year in which participants compete in events, contests, or challenges to achieve a specific objective or the highest rank compared with other individuals or groups as they try to reach goals by reducing energy consumption.</w:t>
            </w:r>
          </w:p>
        </w:tc>
        <w:tc>
          <w:tcPr>
            <w:tcW w:w="862" w:type="dxa"/>
            <w:noWrap/>
            <w:hideMark/>
          </w:tcPr>
          <w:p w14:paraId="7DAD26B6"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1F04CDB9" w14:textId="77777777" w:rsidTr="0011012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49" w:type="dxa"/>
            <w:hideMark/>
          </w:tcPr>
          <w:p w14:paraId="4D4DB47C"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2072" w:type="dxa"/>
            <w:hideMark/>
          </w:tcPr>
          <w:p w14:paraId="3911E8EA"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Large Residential Competitions</w:t>
            </w:r>
          </w:p>
        </w:tc>
        <w:tc>
          <w:tcPr>
            <w:tcW w:w="5093" w:type="dxa"/>
            <w:hideMark/>
          </w:tcPr>
          <w:p w14:paraId="7F213A1D"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Large residential competitions are organized competitions with more than 10,000 participants per year in which participants compete in events, contests, or challenges to achieve a specific objective or the highest rank compared with other individuals or groups as they try to reach goals by reducing energy consumption.</w:t>
            </w:r>
          </w:p>
        </w:tc>
        <w:tc>
          <w:tcPr>
            <w:tcW w:w="862" w:type="dxa"/>
            <w:noWrap/>
            <w:hideMark/>
          </w:tcPr>
          <w:p w14:paraId="38BF53F6"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6D3118A7" w14:textId="77777777" w:rsidTr="00110120">
        <w:trPr>
          <w:cnfStyle w:val="000000010000" w:firstRow="0" w:lastRow="0" w:firstColumn="0" w:lastColumn="0" w:oddVBand="0" w:evenVBand="0" w:oddHBand="0" w:evenHBand="1"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949" w:type="dxa"/>
            <w:hideMark/>
          </w:tcPr>
          <w:p w14:paraId="16550561"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2072" w:type="dxa"/>
            <w:hideMark/>
          </w:tcPr>
          <w:p w14:paraId="56BC258A"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Commercial Competitions</w:t>
            </w:r>
          </w:p>
        </w:tc>
        <w:tc>
          <w:tcPr>
            <w:tcW w:w="5093" w:type="dxa"/>
            <w:hideMark/>
          </w:tcPr>
          <w:p w14:paraId="0AF90E08"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Commercial competitions are organized competitions between cities, businesses, or tenants in multi-unit buildings in which participants compete in events, contests, or challenges to achieve a specific objective or the highest rank compared with other groups as they try to reach goals by reducing energy consumption.</w:t>
            </w:r>
          </w:p>
        </w:tc>
        <w:tc>
          <w:tcPr>
            <w:tcW w:w="862" w:type="dxa"/>
            <w:noWrap/>
            <w:hideMark/>
          </w:tcPr>
          <w:p w14:paraId="0F9BF5CB"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2</w:t>
            </w:r>
          </w:p>
        </w:tc>
      </w:tr>
      <w:tr w:rsidR="006D7207" w:rsidRPr="00483510" w14:paraId="5A32906D" w14:textId="77777777" w:rsidTr="00110120">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949" w:type="dxa"/>
            <w:hideMark/>
          </w:tcPr>
          <w:p w14:paraId="0F8BA972"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2072" w:type="dxa"/>
            <w:hideMark/>
          </w:tcPr>
          <w:p w14:paraId="7BF027BE"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Business Energy Reports (BERs)</w:t>
            </w:r>
          </w:p>
        </w:tc>
        <w:tc>
          <w:tcPr>
            <w:tcW w:w="5093" w:type="dxa"/>
            <w:hideMark/>
          </w:tcPr>
          <w:p w14:paraId="4731A01B"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 xml:space="preserve">BERS are periodically mailed to small and medium size business </w:t>
            </w:r>
            <w:r w:rsidR="00500502" w:rsidRPr="00483510">
              <w:rPr>
                <w:rFonts w:ascii="Arial Narrow" w:hAnsi="Arial Narrow"/>
                <w:sz w:val="18"/>
                <w:szCs w:val="18"/>
              </w:rPr>
              <w:t>to</w:t>
            </w:r>
            <w:r w:rsidRPr="00483510">
              <w:rPr>
                <w:rFonts w:ascii="Arial Narrow" w:hAnsi="Arial Narrow"/>
                <w:sz w:val="18"/>
                <w:szCs w:val="18"/>
              </w:rPr>
              <w:t xml:space="preserve"> provide feedback about their business’s energy use, including normative comparisons to similar businesses, tips for improving energy efficiency, and occasionally messaging about rewards or incentives.</w:t>
            </w:r>
          </w:p>
        </w:tc>
        <w:tc>
          <w:tcPr>
            <w:tcW w:w="862" w:type="dxa"/>
            <w:noWrap/>
            <w:hideMark/>
          </w:tcPr>
          <w:p w14:paraId="55D7FDDB" w14:textId="77777777" w:rsidR="006D7207" w:rsidRPr="00483510" w:rsidRDefault="00B762E3"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2</w:t>
            </w:r>
          </w:p>
        </w:tc>
      </w:tr>
      <w:tr w:rsidR="006D7207" w:rsidRPr="00483510" w14:paraId="49526565" w14:textId="77777777" w:rsidTr="00110120">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949" w:type="dxa"/>
            <w:hideMark/>
          </w:tcPr>
          <w:p w14:paraId="60DB8594"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2072" w:type="dxa"/>
            <w:hideMark/>
          </w:tcPr>
          <w:p w14:paraId="60A072C1"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Benchmarking</w:t>
            </w:r>
          </w:p>
        </w:tc>
        <w:tc>
          <w:tcPr>
            <w:tcW w:w="5093" w:type="dxa"/>
            <w:hideMark/>
          </w:tcPr>
          <w:p w14:paraId="065F36D9"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benchmarking scores a business customer’s facility or plant and compares it to other peer facilities based upon energy consumption. It also often includes goal setting and rewards in the form of recognition.</w:t>
            </w:r>
          </w:p>
        </w:tc>
        <w:tc>
          <w:tcPr>
            <w:tcW w:w="862" w:type="dxa"/>
            <w:noWrap/>
            <w:hideMark/>
          </w:tcPr>
          <w:p w14:paraId="0DC7E96B"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2</w:t>
            </w:r>
          </w:p>
        </w:tc>
      </w:tr>
      <w:tr w:rsidR="006D7207" w:rsidRPr="00483510" w14:paraId="3573F73D" w14:textId="77777777" w:rsidTr="00110120">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949" w:type="dxa"/>
            <w:hideMark/>
          </w:tcPr>
          <w:p w14:paraId="79089E04"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r w:rsidR="00B151A1">
              <w:rPr>
                <w:rFonts w:ascii="Arial Narrow" w:hAnsi="Arial Narrow"/>
                <w:sz w:val="18"/>
                <w:szCs w:val="18"/>
              </w:rPr>
              <w:t>/</w:t>
            </w:r>
            <w:r w:rsidR="00110120">
              <w:rPr>
                <w:rFonts w:ascii="Arial Narrow" w:hAnsi="Arial Narrow"/>
                <w:sz w:val="18"/>
                <w:szCs w:val="18"/>
              </w:rPr>
              <w:t>IND</w:t>
            </w:r>
            <w:r w:rsidR="00B151A1">
              <w:rPr>
                <w:rFonts w:ascii="Arial Narrow" w:hAnsi="Arial Narrow"/>
                <w:sz w:val="18"/>
                <w:szCs w:val="18"/>
              </w:rPr>
              <w:t>/AG</w:t>
            </w:r>
          </w:p>
        </w:tc>
        <w:tc>
          <w:tcPr>
            <w:tcW w:w="2072" w:type="dxa"/>
            <w:hideMark/>
          </w:tcPr>
          <w:p w14:paraId="5AA306D9"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Strategic Energy Management (SEM)</w:t>
            </w:r>
          </w:p>
        </w:tc>
        <w:tc>
          <w:tcPr>
            <w:tcW w:w="5093" w:type="dxa"/>
            <w:hideMark/>
          </w:tcPr>
          <w:p w14:paraId="3B4A955D"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Strategic Energy Management is a long-term continuous improvement process that educates and trains business energy users to develop and execute long-term energy goal setting and strategic planning; and to integrate energy management into business practices throughout the organization, from the corporate board office to the boiler room and the work floor. It can include consulting services, customized training, benchmarking and measurement, feedback, data analysis, and performance review.</w:t>
            </w:r>
          </w:p>
        </w:tc>
        <w:tc>
          <w:tcPr>
            <w:tcW w:w="862" w:type="dxa"/>
            <w:noWrap/>
            <w:hideMark/>
          </w:tcPr>
          <w:p w14:paraId="3750E528"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5</w:t>
            </w:r>
          </w:p>
        </w:tc>
      </w:tr>
      <w:tr w:rsidR="006D7207" w:rsidRPr="00483510" w14:paraId="1D912699" w14:textId="77777777" w:rsidTr="00110120">
        <w:trPr>
          <w:cnfStyle w:val="000000010000" w:firstRow="0" w:lastRow="0" w:firstColumn="0" w:lastColumn="0" w:oddVBand="0" w:evenVBand="0" w:oddHBand="0" w:evenHBand="1"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949" w:type="dxa"/>
            <w:hideMark/>
          </w:tcPr>
          <w:p w14:paraId="3CE0B27B" w14:textId="77777777" w:rsidR="006D7207" w:rsidRPr="00483510" w:rsidRDefault="006D7207" w:rsidP="006D7207">
            <w:pPr>
              <w:rPr>
                <w:rFonts w:ascii="Arial Narrow" w:hAnsi="Arial Narrow"/>
                <w:sz w:val="18"/>
                <w:szCs w:val="18"/>
              </w:rPr>
            </w:pPr>
            <w:r w:rsidRPr="00483510">
              <w:rPr>
                <w:rFonts w:ascii="Arial Narrow" w:hAnsi="Arial Narrow"/>
                <w:sz w:val="18"/>
                <w:szCs w:val="18"/>
              </w:rPr>
              <w:lastRenderedPageBreak/>
              <w:t>COM</w:t>
            </w:r>
          </w:p>
        </w:tc>
        <w:tc>
          <w:tcPr>
            <w:tcW w:w="2072" w:type="dxa"/>
            <w:hideMark/>
          </w:tcPr>
          <w:p w14:paraId="132BF1ED"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Energy Information Management Systems (BEIMS)</w:t>
            </w:r>
          </w:p>
        </w:tc>
        <w:tc>
          <w:tcPr>
            <w:tcW w:w="5093" w:type="dxa"/>
            <w:hideMark/>
          </w:tcPr>
          <w:p w14:paraId="17ECD164"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Energy Information Management Systems enable building operations staff to achieve significant energy savings by monitoring, analyzing, and controlling building system performance and energy use. BEIMS can include benchmarking and utility bill tracking software, energy information systems (EIS), building automation systems, fault detection and diagnostic tools, and automated system optimization software, as well as value added services and contracts.</w:t>
            </w:r>
          </w:p>
        </w:tc>
        <w:tc>
          <w:tcPr>
            <w:tcW w:w="862" w:type="dxa"/>
            <w:noWrap/>
            <w:hideMark/>
          </w:tcPr>
          <w:p w14:paraId="732996F5" w14:textId="77777777" w:rsidR="006D7207" w:rsidRPr="00483510" w:rsidRDefault="002724E0"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3</w:t>
            </w:r>
          </w:p>
        </w:tc>
      </w:tr>
      <w:tr w:rsidR="006D7207" w:rsidRPr="00483510" w14:paraId="59010C2F" w14:textId="77777777" w:rsidTr="0011012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49" w:type="dxa"/>
            <w:hideMark/>
          </w:tcPr>
          <w:p w14:paraId="64827D24"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2072" w:type="dxa"/>
            <w:hideMark/>
          </w:tcPr>
          <w:p w14:paraId="7D07CBCE"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Operator Certification</w:t>
            </w:r>
          </w:p>
        </w:tc>
        <w:tc>
          <w:tcPr>
            <w:tcW w:w="5093" w:type="dxa"/>
            <w:hideMark/>
          </w:tcPr>
          <w:p w14:paraId="2F229619"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Operator Certification trains and educates commercial building operators about how to save energy by encouraging them to adopt energy efficient behaviors and make building changes that reduce energy use.</w:t>
            </w:r>
          </w:p>
        </w:tc>
        <w:tc>
          <w:tcPr>
            <w:tcW w:w="862" w:type="dxa"/>
            <w:noWrap/>
            <w:hideMark/>
          </w:tcPr>
          <w:p w14:paraId="5CE50516" w14:textId="77777777" w:rsidR="006D7207" w:rsidRPr="00483510" w:rsidRDefault="002724E0"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3</w:t>
            </w:r>
          </w:p>
        </w:tc>
      </w:tr>
      <w:tr w:rsidR="006D7207" w:rsidRPr="00483510" w14:paraId="6C236087" w14:textId="77777777" w:rsidTr="00110120">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49" w:type="dxa"/>
            <w:hideMark/>
          </w:tcPr>
          <w:p w14:paraId="183D5632"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2072" w:type="dxa"/>
            <w:hideMark/>
          </w:tcPr>
          <w:p w14:paraId="04207DF5"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Retrocommissioning</w:t>
            </w:r>
          </w:p>
        </w:tc>
        <w:tc>
          <w:tcPr>
            <w:tcW w:w="5093" w:type="dxa"/>
            <w:noWrap/>
            <w:hideMark/>
          </w:tcPr>
          <w:p w14:paraId="6D8CBF8C" w14:textId="77777777" w:rsidR="006D7207" w:rsidRPr="00483510" w:rsidRDefault="005C1F16"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C</w:t>
            </w:r>
            <w:r w:rsidR="006D7207" w:rsidRPr="00483510">
              <w:rPr>
                <w:rFonts w:ascii="Arial Narrow" w:hAnsi="Arial Narrow"/>
                <w:sz w:val="18"/>
                <w:szCs w:val="18"/>
              </w:rPr>
              <w:t xml:space="preserve">ommissioning is a whole-building systems approach to improving an existing building’s performance by identifying and implementing operational improvements to save energy and increase comfort. </w:t>
            </w:r>
            <w:r>
              <w:rPr>
                <w:rFonts w:ascii="Arial Narrow" w:hAnsi="Arial Narrow"/>
                <w:sz w:val="18"/>
                <w:szCs w:val="18"/>
              </w:rPr>
              <w:t xml:space="preserve">Retrocommissioning refers to commissioning a building that has not previously been commissioned. This program also includes recommissioning, or commissioning a building that has been commissioned at least 5 years prior. </w:t>
            </w:r>
          </w:p>
        </w:tc>
        <w:tc>
          <w:tcPr>
            <w:tcW w:w="862" w:type="dxa"/>
            <w:noWrap/>
            <w:hideMark/>
          </w:tcPr>
          <w:p w14:paraId="4B9D49C1" w14:textId="77777777" w:rsidR="006D7207" w:rsidRPr="00483510" w:rsidRDefault="00CD41D5"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3</w:t>
            </w:r>
          </w:p>
        </w:tc>
      </w:tr>
    </w:tbl>
    <w:p w14:paraId="243B1F12" w14:textId="77777777" w:rsidR="00705EB8" w:rsidRDefault="00705EB8" w:rsidP="0094570E">
      <w:pPr>
        <w:pStyle w:val="Heading3"/>
      </w:pPr>
      <w:bookmarkStart w:id="667" w:name="_Toc484172706"/>
      <w:bookmarkStart w:id="668" w:name="_Toc484183042"/>
      <w:bookmarkStart w:id="669" w:name="_Toc485126563"/>
      <w:bookmarkStart w:id="670" w:name="_Toc478990523"/>
      <w:bookmarkStart w:id="671" w:name="_Toc479768601"/>
      <w:bookmarkStart w:id="672" w:name="_Toc482357324"/>
      <w:bookmarkStart w:id="673" w:name="_Toc482634299"/>
      <w:bookmarkStart w:id="674" w:name="_Toc482626431"/>
      <w:bookmarkStart w:id="675" w:name="_Toc484092502"/>
      <w:r>
        <w:t>Stakeholder Input</w:t>
      </w:r>
      <w:bookmarkEnd w:id="667"/>
      <w:bookmarkEnd w:id="668"/>
      <w:bookmarkEnd w:id="669"/>
    </w:p>
    <w:p w14:paraId="0B23AB1E" w14:textId="77777777" w:rsidR="00705EB8" w:rsidRDefault="00705EB8" w:rsidP="0094570E">
      <w:r>
        <w:t xml:space="preserve">Stakeholders and members of the DAWG were given the opportunity to provide informal feedback to the team following a webinar presentation of draft results on April 20, 2017. </w:t>
      </w:r>
      <w:r w:rsidR="0094570E">
        <w:fldChar w:fldCharType="begin"/>
      </w:r>
      <w:r w:rsidR="0094570E">
        <w:instrText xml:space="preserve"> REF _Ref484167238 \h </w:instrText>
      </w:r>
      <w:r w:rsidR="0094570E">
        <w:fldChar w:fldCharType="separate"/>
      </w:r>
      <w:r w:rsidR="00C407F4">
        <w:t xml:space="preserve">Table </w:t>
      </w:r>
      <w:r w:rsidR="00C407F4">
        <w:rPr>
          <w:noProof/>
        </w:rPr>
        <w:t>3</w:t>
      </w:r>
      <w:r w:rsidR="00C407F4">
        <w:noBreakHyphen/>
      </w:r>
      <w:r w:rsidR="00C407F4">
        <w:rPr>
          <w:noProof/>
        </w:rPr>
        <w:t>26</w:t>
      </w:r>
      <w:r w:rsidR="0094570E">
        <w:fldChar w:fldCharType="end"/>
      </w:r>
      <w:r w:rsidR="0094570E">
        <w:t xml:space="preserve"> contains a high-level summary of relevant stakeholder feedback received and Navigant responses. </w:t>
      </w:r>
    </w:p>
    <w:p w14:paraId="72684C80" w14:textId="77777777" w:rsidR="0094570E" w:rsidRDefault="0094570E" w:rsidP="0094570E"/>
    <w:p w14:paraId="264BC9F4" w14:textId="77777777" w:rsidR="0094570E" w:rsidRDefault="0094570E" w:rsidP="0094570E">
      <w:pPr>
        <w:pStyle w:val="Caption"/>
        <w:rPr>
          <w:rFonts w:cs="Arial"/>
          <w:snapToGrid w:val="0"/>
        </w:rPr>
      </w:pPr>
      <w:bookmarkStart w:id="676" w:name="_Ref484167238"/>
      <w:bookmarkStart w:id="677" w:name="_Toc484436973"/>
      <w:bookmarkStart w:id="678" w:name="_Toc485125684"/>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26</w:t>
      </w:r>
      <w:r w:rsidR="00272F76">
        <w:rPr>
          <w:noProof/>
        </w:rPr>
        <w:fldChar w:fldCharType="end"/>
      </w:r>
      <w:bookmarkEnd w:id="676"/>
      <w:r w:rsidR="00BB59F5">
        <w:t>.</w:t>
      </w:r>
      <w:r>
        <w:t xml:space="preserve"> Stakeholder Feedback</w:t>
      </w:r>
      <w:bookmarkEnd w:id="677"/>
      <w:bookmarkEnd w:id="678"/>
    </w:p>
    <w:tbl>
      <w:tblPr>
        <w:tblStyle w:val="EnergyTable1"/>
        <w:tblW w:w="9450" w:type="dxa"/>
        <w:tblLook w:val="04A0" w:firstRow="1" w:lastRow="0" w:firstColumn="1" w:lastColumn="0" w:noHBand="0" w:noVBand="1"/>
      </w:tblPr>
      <w:tblGrid>
        <w:gridCol w:w="4950"/>
        <w:gridCol w:w="4500"/>
      </w:tblGrid>
      <w:tr w:rsidR="0094570E" w:rsidRPr="00F90D70" w14:paraId="1BAC18FB" w14:textId="77777777" w:rsidTr="004B0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0" w:type="dxa"/>
          </w:tcPr>
          <w:p w14:paraId="448F6E6E" w14:textId="77777777" w:rsidR="0094570E" w:rsidRPr="00F90D70" w:rsidRDefault="0094570E" w:rsidP="0060533C">
            <w:pPr>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Stakeholder Comments</w:t>
            </w:r>
          </w:p>
        </w:tc>
        <w:tc>
          <w:tcPr>
            <w:tcW w:w="4500" w:type="dxa"/>
          </w:tcPr>
          <w:p w14:paraId="4D8C552A" w14:textId="77777777" w:rsidR="0094570E" w:rsidRPr="00F90D70" w:rsidRDefault="0094570E" w:rsidP="0060533C">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Additional Context from Navigant</w:t>
            </w:r>
          </w:p>
        </w:tc>
      </w:tr>
      <w:tr w:rsidR="0094570E" w:rsidRPr="00F90D70" w14:paraId="275D07F4" w14:textId="77777777" w:rsidTr="00605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34471E2A" w14:textId="77777777" w:rsidR="0094570E" w:rsidRPr="00F90D70" w:rsidRDefault="00C52336" w:rsidP="0060533C">
            <w:pPr>
              <w:rPr>
                <w:rFonts w:ascii="Arial Narrow" w:hAnsi="Arial Narrow" w:cs="Arial"/>
                <w:b/>
                <w:snapToGrid w:val="0"/>
                <w:szCs w:val="18"/>
              </w:rPr>
            </w:pPr>
            <w:r>
              <w:rPr>
                <w:rFonts w:ascii="Arial Narrow" w:hAnsi="Arial Narrow" w:cs="Arial"/>
                <w:b/>
                <w:snapToGrid w:val="0"/>
                <w:szCs w:val="18"/>
              </w:rPr>
              <w:t>General</w:t>
            </w:r>
          </w:p>
        </w:tc>
      </w:tr>
      <w:tr w:rsidR="0094570E" w:rsidRPr="00F90D70" w14:paraId="07EC6EB1" w14:textId="77777777" w:rsidTr="004B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3706D530" w14:textId="77777777" w:rsidR="0094570E" w:rsidRDefault="00C52336"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Reduce near-term potential to reflect uncertainty.</w:t>
            </w:r>
          </w:p>
          <w:p w14:paraId="1C2D5919" w14:textId="77777777" w:rsidR="00C52336" w:rsidRDefault="00C52336"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Provide a high-level assessment of data quality and recommendations for further research to improve estimates of potential.</w:t>
            </w:r>
          </w:p>
          <w:p w14:paraId="12BFD293" w14:textId="77777777" w:rsidR="00AE51B3" w:rsidRDefault="00AE51B3"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Explicitly address potential double-counting of savings among interventions in the same sector. </w:t>
            </w:r>
          </w:p>
          <w:p w14:paraId="63FE179C" w14:textId="77777777" w:rsidR="00AE51B3" w:rsidRPr="00C52336" w:rsidRDefault="00AE51B3"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Reflect the non-linear scaling of costs. </w:t>
            </w:r>
          </w:p>
        </w:tc>
        <w:tc>
          <w:tcPr>
            <w:tcW w:w="4500" w:type="dxa"/>
          </w:tcPr>
          <w:p w14:paraId="25DC9D15" w14:textId="3FC4C5AD" w:rsidR="00956519" w:rsidRDefault="000B02D9"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fldChar w:fldCharType="begin"/>
            </w:r>
            <w:r>
              <w:rPr>
                <w:rFonts w:ascii="Arial Narrow" w:hAnsi="Arial Narrow" w:cs="Arial"/>
                <w:snapToGrid w:val="0"/>
                <w:szCs w:val="18"/>
              </w:rPr>
              <w:instrText xml:space="preserve"> REF _Ref484172741 \h  \* MERGEFORMAT </w:instrText>
            </w:r>
            <w:r>
              <w:rPr>
                <w:rFonts w:ascii="Arial Narrow" w:hAnsi="Arial Narrow" w:cs="Arial"/>
                <w:snapToGrid w:val="0"/>
                <w:szCs w:val="18"/>
              </w:rPr>
            </w:r>
            <w:r>
              <w:rPr>
                <w:rFonts w:ascii="Arial Narrow" w:hAnsi="Arial Narrow" w:cs="Arial"/>
                <w:snapToGrid w:val="0"/>
                <w:szCs w:val="18"/>
              </w:rPr>
              <w:fldChar w:fldCharType="separate"/>
            </w:r>
            <w:r w:rsidR="00C407F4" w:rsidRPr="005260A8">
              <w:rPr>
                <w:rFonts w:ascii="Arial Narrow" w:hAnsi="Arial Narrow" w:cs="Arial"/>
                <w:snapToGrid w:val="0"/>
                <w:szCs w:val="18"/>
              </w:rPr>
              <w:t>Table 3</w:t>
            </w:r>
            <w:r w:rsidR="00C407F4" w:rsidRPr="005260A8">
              <w:rPr>
                <w:rFonts w:ascii="Arial Narrow" w:hAnsi="Arial Narrow" w:cs="Arial"/>
                <w:snapToGrid w:val="0"/>
                <w:szCs w:val="18"/>
              </w:rPr>
              <w:noBreakHyphen/>
              <w:t>27</w:t>
            </w:r>
            <w:r>
              <w:rPr>
                <w:rFonts w:ascii="Arial Narrow" w:hAnsi="Arial Narrow" w:cs="Arial"/>
                <w:snapToGrid w:val="0"/>
                <w:szCs w:val="18"/>
              </w:rPr>
              <w:fldChar w:fldCharType="end"/>
            </w:r>
            <w:r>
              <w:rPr>
                <w:rFonts w:ascii="Arial Narrow" w:hAnsi="Arial Narrow" w:cs="Arial"/>
                <w:snapToGrid w:val="0"/>
                <w:szCs w:val="18"/>
              </w:rPr>
              <w:t xml:space="preserve"> provides a high-level assessment of data quality, and the general recommendation is to</w:t>
            </w:r>
            <w:r w:rsidR="00956519">
              <w:rPr>
                <w:rFonts w:ascii="Arial Narrow" w:hAnsi="Arial Narrow" w:cs="Arial"/>
                <w:snapToGrid w:val="0"/>
                <w:szCs w:val="18"/>
              </w:rPr>
              <w:t xml:space="preserve"> focus future research on initiatives with high potential savings, but a low level of data rigor.</w:t>
            </w:r>
          </w:p>
          <w:p w14:paraId="1B82E734" w14:textId="77777777" w:rsidR="0094570E" w:rsidRPr="00F90D70" w:rsidRDefault="00956519"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The methodology employed in this study does not account for non-linear cost scaling as sufficient data was not available.</w:t>
            </w:r>
          </w:p>
        </w:tc>
      </w:tr>
      <w:tr w:rsidR="0094570E" w:rsidRPr="00F90D70" w14:paraId="20E70BEB" w14:textId="77777777" w:rsidTr="00605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145F23A4" w14:textId="77777777" w:rsidR="0094570E" w:rsidRPr="00F90D70" w:rsidRDefault="00956519" w:rsidP="0060533C">
            <w:pPr>
              <w:keepNext/>
              <w:rPr>
                <w:rFonts w:ascii="Arial Narrow" w:hAnsi="Arial Narrow" w:cs="Arial"/>
                <w:b/>
                <w:snapToGrid w:val="0"/>
                <w:szCs w:val="18"/>
              </w:rPr>
            </w:pPr>
            <w:r>
              <w:rPr>
                <w:rFonts w:ascii="Arial Narrow" w:hAnsi="Arial Narrow" w:cs="Arial"/>
                <w:b/>
                <w:snapToGrid w:val="0"/>
                <w:szCs w:val="18"/>
              </w:rPr>
              <w:lastRenderedPageBreak/>
              <w:t>Residential Programs</w:t>
            </w:r>
          </w:p>
        </w:tc>
      </w:tr>
      <w:tr w:rsidR="0094570E" w:rsidRPr="00F90D70" w14:paraId="589D4D54" w14:textId="77777777" w:rsidTr="004B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5AC0F8D5" w14:textId="77777777" w:rsidR="00956519" w:rsidRDefault="00956519"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IOUs contributed additional data that helped tailor the analysis</w:t>
            </w:r>
            <w:r w:rsidR="0033045B">
              <w:rPr>
                <w:rFonts w:ascii="Arial Narrow" w:hAnsi="Arial Narrow" w:cs="Arial"/>
                <w:snapToGrid w:val="0"/>
                <w:szCs w:val="18"/>
              </w:rPr>
              <w:t xml:space="preserve"> of</w:t>
            </w:r>
            <w:r>
              <w:rPr>
                <w:rFonts w:ascii="Arial Narrow" w:hAnsi="Arial Narrow" w:cs="Arial"/>
                <w:snapToGrid w:val="0"/>
                <w:szCs w:val="18"/>
              </w:rPr>
              <w:t xml:space="preserve"> each residential program. </w:t>
            </w:r>
          </w:p>
          <w:p w14:paraId="3816E1A4" w14:textId="77777777" w:rsidR="0094570E" w:rsidRDefault="0062788A"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Concern was raised that s</w:t>
            </w:r>
            <w:r w:rsidR="00956519">
              <w:rPr>
                <w:rFonts w:ascii="Arial Narrow" w:hAnsi="Arial Narrow" w:cs="Arial"/>
                <w:snapToGrid w:val="0"/>
                <w:szCs w:val="18"/>
              </w:rPr>
              <w:t xml:space="preserve">avings forecasted </w:t>
            </w:r>
            <w:r>
              <w:rPr>
                <w:rFonts w:ascii="Arial Narrow" w:hAnsi="Arial Narrow" w:cs="Arial"/>
                <w:snapToGrid w:val="0"/>
                <w:szCs w:val="18"/>
              </w:rPr>
              <w:t>in this study may already have been claimed as part of the rollout of Smart Meters.</w:t>
            </w:r>
          </w:p>
          <w:p w14:paraId="60DB1762" w14:textId="77777777" w:rsidR="0062788A" w:rsidRPr="00956519" w:rsidRDefault="0062788A"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Concerns were expressed that the penetration of web-based real-time feedback was not representative of an opt-in program. </w:t>
            </w:r>
          </w:p>
        </w:tc>
        <w:tc>
          <w:tcPr>
            <w:tcW w:w="4500" w:type="dxa"/>
          </w:tcPr>
          <w:p w14:paraId="501CFD64" w14:textId="77777777" w:rsidR="0062788A" w:rsidRDefault="0062788A"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Double counting in the residential sector was determined not to affect the achievable savings because the programs target different behavior changes. </w:t>
            </w:r>
          </w:p>
          <w:p w14:paraId="0331C9A9" w14:textId="77777777" w:rsidR="0094570E" w:rsidRDefault="0038423C"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As the utilities have not decreased their claimed savings as a result of Smart Meters to-date, no such reduction was included in this modeling effort.</w:t>
            </w:r>
          </w:p>
          <w:p w14:paraId="28121430" w14:textId="77777777" w:rsidR="0038423C" w:rsidRPr="00F90D70" w:rsidRDefault="0038423C"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The penetration of web-based real-time feedback was adjusted to reflect more conservative estimates. </w:t>
            </w:r>
          </w:p>
        </w:tc>
      </w:tr>
      <w:tr w:rsidR="0094570E" w:rsidRPr="00F90D70" w14:paraId="6623EDC2" w14:textId="77777777" w:rsidTr="00605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gridSpan w:val="2"/>
            <w:shd w:val="clear" w:color="auto" w:fill="DCDDDE" w:themeFill="text2" w:themeFillTint="33"/>
          </w:tcPr>
          <w:p w14:paraId="25AC82D5" w14:textId="77777777" w:rsidR="0094570E" w:rsidRPr="00F90D70" w:rsidRDefault="009233A4" w:rsidP="007D4A2A">
            <w:pPr>
              <w:keepNext/>
              <w:rPr>
                <w:rFonts w:ascii="Arial Narrow" w:hAnsi="Arial Narrow" w:cs="Arial"/>
                <w:b/>
                <w:snapToGrid w:val="0"/>
                <w:szCs w:val="18"/>
              </w:rPr>
            </w:pPr>
            <w:r>
              <w:rPr>
                <w:rFonts w:ascii="Arial Narrow" w:hAnsi="Arial Narrow" w:cs="Arial"/>
                <w:b/>
                <w:snapToGrid w:val="0"/>
                <w:szCs w:val="18"/>
              </w:rPr>
              <w:t>Commercial Programs</w:t>
            </w:r>
          </w:p>
        </w:tc>
      </w:tr>
      <w:tr w:rsidR="0094570E" w:rsidRPr="00F90D70" w14:paraId="641C9BD4" w14:textId="77777777" w:rsidTr="004B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0B651727" w14:textId="77777777" w:rsid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IOUs contributed additional data that helped tailor the analysis of several commercial programs. </w:t>
            </w:r>
          </w:p>
          <w:p w14:paraId="4035E752" w14:textId="77777777" w:rsid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Commercial Competitions drew heavy criticism for its high forecasted potential and low data rigor. </w:t>
            </w:r>
          </w:p>
          <w:p w14:paraId="6EF7F872" w14:textId="77777777" w:rsid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It was suggested that unit energy savings for BEIMS increase over time to reflect improvements to data analytics and software algorithms (e.g., machine learning).</w:t>
            </w:r>
          </w:p>
          <w:p w14:paraId="3A032E71" w14:textId="77777777" w:rsid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The potential for claimed savings from Building Benchmarking was questioned in light of related government requirements. </w:t>
            </w:r>
          </w:p>
          <w:p w14:paraId="271976CD" w14:textId="77777777" w:rsidR="0094570E" w:rsidRP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A CPUC decision allows for recommissioning after 5 years. </w:t>
            </w:r>
          </w:p>
        </w:tc>
        <w:tc>
          <w:tcPr>
            <w:tcW w:w="4500" w:type="dxa"/>
          </w:tcPr>
          <w:p w14:paraId="16EF5078" w14:textId="77777777" w:rsidR="00393EA2" w:rsidRDefault="009233A4"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Double counting</w:t>
            </w:r>
            <w:r w:rsidR="0094570E" w:rsidRPr="00F90D70">
              <w:rPr>
                <w:rFonts w:ascii="Arial Narrow" w:hAnsi="Arial Narrow" w:cs="Arial"/>
                <w:snapToGrid w:val="0"/>
                <w:szCs w:val="18"/>
              </w:rPr>
              <w:t xml:space="preserve"> </w:t>
            </w:r>
            <w:r w:rsidR="00393EA2">
              <w:rPr>
                <w:rFonts w:ascii="Arial Narrow" w:hAnsi="Arial Narrow" w:cs="Arial"/>
                <w:snapToGrid w:val="0"/>
                <w:szCs w:val="18"/>
              </w:rPr>
              <w:t xml:space="preserve">concerns were addressed by adjusting the penetration of recommissioning after all other revisions were made. All other penetration is considered independent. </w:t>
            </w:r>
          </w:p>
          <w:p w14:paraId="75EED5B2" w14:textId="77777777" w:rsidR="00393EA2"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The savings associated with Commercial Competitions was lowered to reflect IOU analysis presented. </w:t>
            </w:r>
          </w:p>
          <w:p w14:paraId="66890027" w14:textId="77777777" w:rsidR="00393EA2"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Energy savings of BEIMS was not increased over time due to a lack of data and to maintain a conservative forecast. </w:t>
            </w:r>
          </w:p>
          <w:p w14:paraId="30D7C6FD" w14:textId="77777777" w:rsidR="00393EA2"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Building Benchmarking was removed from the reference scenario. </w:t>
            </w:r>
          </w:p>
          <w:p w14:paraId="60F9A42F" w14:textId="77777777" w:rsidR="0094570E" w:rsidRPr="00F90D70"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Recommissioning was added to the characterization of the Retrocommissioning program. </w:t>
            </w:r>
          </w:p>
        </w:tc>
      </w:tr>
    </w:tbl>
    <w:p w14:paraId="3892FE6A" w14:textId="77777777" w:rsidR="00705EB8" w:rsidRDefault="00705EB8" w:rsidP="004B097B">
      <w:pPr>
        <w:pStyle w:val="Heading3"/>
      </w:pPr>
      <w:bookmarkStart w:id="679" w:name="_Toc484172707"/>
      <w:bookmarkStart w:id="680" w:name="_Toc484183043"/>
      <w:bookmarkStart w:id="681" w:name="_Toc485126564"/>
      <w:r>
        <w:t>Data Rigor</w:t>
      </w:r>
      <w:bookmarkEnd w:id="679"/>
      <w:bookmarkEnd w:id="680"/>
      <w:bookmarkEnd w:id="681"/>
    </w:p>
    <w:p w14:paraId="7A36FFA5" w14:textId="77777777" w:rsidR="008E4659" w:rsidRDefault="008739A0" w:rsidP="008739A0">
      <w:r>
        <w:t xml:space="preserve">Navigant conducted an extensive industry scan for data on BROs initiatives and found that many of these programs are relatively new and much learning about their effectiveness is ongoing. The published data spans a wide range in the rigor of analysis conducted on the data around energy savings resulting from these interventions. </w:t>
      </w:r>
      <w:r>
        <w:fldChar w:fldCharType="begin"/>
      </w:r>
      <w:r>
        <w:instrText xml:space="preserve"> REF _Ref484172741 \h </w:instrText>
      </w:r>
      <w:r>
        <w:fldChar w:fldCharType="separate"/>
      </w:r>
      <w:r w:rsidR="00C407F4">
        <w:t xml:space="preserve">Table </w:t>
      </w:r>
      <w:r w:rsidR="00C407F4">
        <w:rPr>
          <w:noProof/>
        </w:rPr>
        <w:t>3</w:t>
      </w:r>
      <w:r w:rsidR="00C407F4">
        <w:noBreakHyphen/>
      </w:r>
      <w:r w:rsidR="00C407F4">
        <w:rPr>
          <w:noProof/>
        </w:rPr>
        <w:t>27</w:t>
      </w:r>
      <w:r>
        <w:fldChar w:fldCharType="end"/>
      </w:r>
      <w:r>
        <w:t xml:space="preserve"> provides a snapshot of the quality of data collected for this study. </w:t>
      </w:r>
      <w:r w:rsidR="008E4659">
        <w:t xml:space="preserve">Across the board, demand savings data is often very limited and cost data is hard to obtain. Penetration forecasts are the most uncertain because of limited historic penetration rates upon which to base a forecast.  </w:t>
      </w:r>
    </w:p>
    <w:p w14:paraId="2AFA66A9" w14:textId="77777777" w:rsidR="008E4659" w:rsidRDefault="008E4659" w:rsidP="008739A0"/>
    <w:p w14:paraId="634135D6" w14:textId="77777777" w:rsidR="008739A0" w:rsidRDefault="008E4659" w:rsidP="008739A0">
      <w:r>
        <w:t>W</w:t>
      </w:r>
      <w:r w:rsidR="0072229E">
        <w:t xml:space="preserve">e recommend the industry consider pilot studies along with measurement and verification to provide better data to future potential studies. Interventions that literature claims to show large promise though limited verified data exists include: strategic energy management, building benchmarking, competitions, web based feedback, and in-home real time feedback. </w:t>
      </w:r>
    </w:p>
    <w:p w14:paraId="57BB47C7" w14:textId="77777777" w:rsidR="008739A0" w:rsidRDefault="008739A0" w:rsidP="000946B6"/>
    <w:p w14:paraId="46BD92DB" w14:textId="77777777" w:rsidR="00C17D59" w:rsidRDefault="00C17D59" w:rsidP="00C17D59">
      <w:pPr>
        <w:pStyle w:val="Caption"/>
      </w:pPr>
      <w:bookmarkStart w:id="682" w:name="_Ref484172741"/>
      <w:bookmarkStart w:id="683" w:name="_Toc484436974"/>
      <w:bookmarkStart w:id="684" w:name="_Toc485125685"/>
      <w:r>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C407F4">
        <w:rPr>
          <w:noProof/>
        </w:rPr>
        <w:t>27</w:t>
      </w:r>
      <w:r w:rsidR="00272F76">
        <w:rPr>
          <w:noProof/>
        </w:rPr>
        <w:fldChar w:fldCharType="end"/>
      </w:r>
      <w:bookmarkEnd w:id="682"/>
      <w:r>
        <w:t>. Qualitative Assessment of Data Quality</w:t>
      </w:r>
      <w:bookmarkEnd w:id="683"/>
      <w:bookmarkEnd w:id="684"/>
    </w:p>
    <w:p w14:paraId="71B7B52C" w14:textId="77777777" w:rsidR="00592A77" w:rsidRDefault="0060533C" w:rsidP="00095E9B">
      <w:pPr>
        <w:jc w:val="center"/>
      </w:pPr>
      <w:r w:rsidRPr="0060533C">
        <w:rPr>
          <w:noProof/>
        </w:rPr>
        <w:drawing>
          <wp:inline distT="0" distB="0" distL="0" distR="0" wp14:anchorId="096B474C" wp14:editId="739AD7F8">
            <wp:extent cx="6024269" cy="33240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6141" cy="3330557"/>
                    </a:xfrm>
                    <a:prstGeom prst="rect">
                      <a:avLst/>
                    </a:prstGeom>
                    <a:noFill/>
                    <a:ln>
                      <a:noFill/>
                    </a:ln>
                  </pic:spPr>
                </pic:pic>
              </a:graphicData>
            </a:graphic>
          </wp:inline>
        </w:drawing>
      </w:r>
    </w:p>
    <w:p w14:paraId="2FAE3C1E" w14:textId="77777777" w:rsidR="00592A77" w:rsidRPr="00AE51B3" w:rsidRDefault="00592A77" w:rsidP="00095E9B"/>
    <w:p w14:paraId="4A450A5D" w14:textId="77777777" w:rsidR="00A569BE" w:rsidRDefault="00A569BE" w:rsidP="00A569BE">
      <w:pPr>
        <w:pStyle w:val="Heading2"/>
      </w:pPr>
      <w:bookmarkStart w:id="685" w:name="_Toc484172708"/>
      <w:bookmarkStart w:id="686" w:name="_Toc484183044"/>
      <w:bookmarkStart w:id="687" w:name="_Toc485126565"/>
      <w:r>
        <w:t>Low Income Programs</w:t>
      </w:r>
      <w:bookmarkEnd w:id="670"/>
      <w:bookmarkEnd w:id="671"/>
      <w:bookmarkEnd w:id="672"/>
      <w:bookmarkEnd w:id="673"/>
      <w:bookmarkEnd w:id="674"/>
      <w:bookmarkEnd w:id="675"/>
      <w:bookmarkEnd w:id="685"/>
      <w:bookmarkEnd w:id="686"/>
      <w:bookmarkEnd w:id="687"/>
      <w:r w:rsidR="008819AB">
        <w:t xml:space="preserve"> </w:t>
      </w:r>
    </w:p>
    <w:p w14:paraId="55AB65DB" w14:textId="77777777" w:rsidR="006D2D50" w:rsidRDefault="008016FC" w:rsidP="006D2D50">
      <w:r w:rsidRPr="006D2D50">
        <w:t>Data for Low Income Programs was primarily obtained from the IOUs via a formal data request. The first round of data provided by the IOUs was summarized by Navigant in a public workshop</w:t>
      </w:r>
      <w:r w:rsidR="006D2D50" w:rsidRPr="006D2D50">
        <w:rPr>
          <w:rFonts w:cs="Arial"/>
        </w:rPr>
        <w:t xml:space="preserve"> through the Demand Analysis Working Group </w:t>
      </w:r>
      <w:r w:rsidRPr="006D2D50">
        <w:t>on April 28, 2017. The workshop noted several minor gaps in data received. Discussion during and after the workshop releveled that additional information was available from the IOUs to fill these gaps. The final data provided by the IO</w:t>
      </w:r>
      <w:r w:rsidR="00E86334">
        <w:t xml:space="preserve">Us is reflected in this report and can be found in </w:t>
      </w:r>
      <w:r w:rsidR="00E86334">
        <w:fldChar w:fldCharType="begin"/>
      </w:r>
      <w:r w:rsidR="00E86334">
        <w:instrText xml:space="preserve"> REF _Ref483566421 \n \h </w:instrText>
      </w:r>
      <w:r w:rsidR="00E86334">
        <w:fldChar w:fldCharType="separate"/>
      </w:r>
      <w:r w:rsidR="00C407F4">
        <w:t>Appendix F</w:t>
      </w:r>
      <w:r w:rsidR="00E86334">
        <w:fldChar w:fldCharType="end"/>
      </w:r>
      <w:r w:rsidR="00E86334">
        <w:t>.</w:t>
      </w:r>
    </w:p>
    <w:p w14:paraId="2B6F54C2" w14:textId="77777777" w:rsidR="008016FC" w:rsidRDefault="006D2D50" w:rsidP="006D2D50">
      <w:pPr>
        <w:pStyle w:val="Heading3"/>
      </w:pPr>
      <w:bookmarkStart w:id="688" w:name="_Toc484092503"/>
      <w:bookmarkStart w:id="689" w:name="_Toc484172709"/>
      <w:bookmarkStart w:id="690" w:name="_Toc484183045"/>
      <w:bookmarkStart w:id="691" w:name="_Toc485126566"/>
      <w:r>
        <w:t>Households Treated</w:t>
      </w:r>
      <w:bookmarkEnd w:id="688"/>
      <w:bookmarkEnd w:id="689"/>
      <w:bookmarkEnd w:id="690"/>
      <w:bookmarkEnd w:id="691"/>
    </w:p>
    <w:p w14:paraId="691353EA" w14:textId="77777777" w:rsidR="008016FC" w:rsidRDefault="006D2D50" w:rsidP="006D2D50">
      <w:pPr>
        <w:rPr>
          <w:rFonts w:cs="Arial"/>
        </w:rPr>
      </w:pPr>
      <w:r>
        <w:rPr>
          <w:rFonts w:cs="Arial"/>
        </w:rPr>
        <w:t>The IOUs provided planned household participation for first time treatment and retreatment in their Low Income Programs. T</w:t>
      </w:r>
      <w:r w:rsidR="008016FC" w:rsidRPr="00CA5727">
        <w:rPr>
          <w:rFonts w:cs="Arial"/>
        </w:rPr>
        <w:t xml:space="preserve">he </w:t>
      </w:r>
      <w:r w:rsidR="008016FC">
        <w:rPr>
          <w:rFonts w:cs="Arial"/>
        </w:rPr>
        <w:t>primary e</w:t>
      </w:r>
      <w:r w:rsidR="008016FC" w:rsidRPr="005609E7">
        <w:rPr>
          <w:rFonts w:cs="Arial"/>
        </w:rPr>
        <w:t xml:space="preserve">ligibility </w:t>
      </w:r>
      <w:r w:rsidR="008016FC">
        <w:rPr>
          <w:rFonts w:cs="Arial"/>
        </w:rPr>
        <w:t xml:space="preserve">criteria for </w:t>
      </w:r>
      <w:r w:rsidR="008016FC" w:rsidRPr="00CA5727">
        <w:rPr>
          <w:rFonts w:cs="Arial"/>
        </w:rPr>
        <w:t xml:space="preserve">ESAP </w:t>
      </w:r>
      <w:r w:rsidR="008016FC">
        <w:rPr>
          <w:rFonts w:cs="Arial"/>
        </w:rPr>
        <w:t xml:space="preserve">first time participants </w:t>
      </w:r>
      <w:r w:rsidR="008016FC" w:rsidRPr="00CA5727">
        <w:rPr>
          <w:rFonts w:cs="Arial"/>
        </w:rPr>
        <w:t xml:space="preserve">are that </w:t>
      </w:r>
      <w:r w:rsidR="008016FC">
        <w:rPr>
          <w:rFonts w:cs="Arial"/>
        </w:rPr>
        <w:t xml:space="preserve">they </w:t>
      </w:r>
      <w:r w:rsidR="008016FC" w:rsidRPr="00CA5727">
        <w:rPr>
          <w:rFonts w:cs="Arial"/>
        </w:rPr>
        <w:t xml:space="preserve">must live in a house, mobile home or apartment that is at least five years old and must meet income guidelines which are the same as those for the California Alternative Rates for Energy </w:t>
      </w:r>
      <w:r w:rsidR="008016FC">
        <w:rPr>
          <w:rFonts w:cs="Arial"/>
        </w:rPr>
        <w:t>(CARE) p</w:t>
      </w:r>
      <w:r w:rsidR="008016FC" w:rsidRPr="00CA5727">
        <w:rPr>
          <w:rFonts w:cs="Arial"/>
        </w:rPr>
        <w:t>rogram.</w:t>
      </w:r>
      <w:r w:rsidR="008016FC">
        <w:rPr>
          <w:rFonts w:cs="Arial"/>
        </w:rPr>
        <w:t xml:space="preserve">  Decision 16-11-022 also defines various criteria for</w:t>
      </w:r>
      <w:r>
        <w:rPr>
          <w:rFonts w:cs="Arial"/>
        </w:rPr>
        <w:t xml:space="preserve"> retreatment eligibility. </w:t>
      </w:r>
      <w:r w:rsidR="008016FC">
        <w:rPr>
          <w:rFonts w:cs="Arial"/>
        </w:rPr>
        <w:t>Based on these criteria, California’s four IOUs forecast</w:t>
      </w:r>
      <w:r>
        <w:rPr>
          <w:rFonts w:cs="Arial"/>
        </w:rPr>
        <w:t>ed</w:t>
      </w:r>
      <w:r w:rsidR="008016FC">
        <w:rPr>
          <w:rFonts w:cs="Arial"/>
        </w:rPr>
        <w:t xml:space="preserve"> ESAP e</w:t>
      </w:r>
      <w:r w:rsidR="008016FC" w:rsidRPr="000C6893">
        <w:rPr>
          <w:rFonts w:cs="Arial"/>
        </w:rPr>
        <w:t xml:space="preserve">ligibility and </w:t>
      </w:r>
      <w:r w:rsidR="008016FC">
        <w:rPr>
          <w:rFonts w:cs="Arial"/>
        </w:rPr>
        <w:t>p</w:t>
      </w:r>
      <w:r w:rsidR="008016FC" w:rsidRPr="000C6893">
        <w:rPr>
          <w:rFonts w:cs="Arial"/>
        </w:rPr>
        <w:t>articipation</w:t>
      </w:r>
      <w:r w:rsidR="008016FC">
        <w:rPr>
          <w:rFonts w:cs="Arial"/>
        </w:rPr>
        <w:t xml:space="preserve"> at the household (HH) level</w:t>
      </w:r>
      <w:r>
        <w:rPr>
          <w:rFonts w:cs="Arial"/>
        </w:rPr>
        <w:t xml:space="preserve"> </w:t>
      </w:r>
      <w:r w:rsidR="008016FC">
        <w:rPr>
          <w:rFonts w:cs="Arial"/>
        </w:rPr>
        <w:t xml:space="preserve">including: </w:t>
      </w:r>
    </w:p>
    <w:p w14:paraId="2587361D" w14:textId="77777777" w:rsidR="008016FC" w:rsidRPr="00074DC1" w:rsidRDefault="008016FC" w:rsidP="004E4E36">
      <w:pPr>
        <w:pStyle w:val="ListParagraph"/>
        <w:numPr>
          <w:ilvl w:val="0"/>
          <w:numId w:val="49"/>
        </w:numPr>
        <w:rPr>
          <w:rFonts w:cs="Arial"/>
        </w:rPr>
      </w:pPr>
      <w:r w:rsidRPr="00074DC1">
        <w:rPr>
          <w:rFonts w:cs="Arial"/>
        </w:rPr>
        <w:t>Installation forecasts by HH type for single family, multifamily, and manufactured homes</w:t>
      </w:r>
    </w:p>
    <w:p w14:paraId="4F33C4E9" w14:textId="77777777" w:rsidR="008016FC" w:rsidRPr="00074DC1" w:rsidRDefault="008016FC" w:rsidP="004E4E36">
      <w:pPr>
        <w:pStyle w:val="ListParagraph"/>
        <w:numPr>
          <w:ilvl w:val="0"/>
          <w:numId w:val="49"/>
        </w:numPr>
        <w:rPr>
          <w:rFonts w:cs="Arial"/>
        </w:rPr>
      </w:pPr>
      <w:r w:rsidRPr="00074DC1">
        <w:rPr>
          <w:rFonts w:cs="Arial"/>
        </w:rPr>
        <w:t>First time HH installation forecasts for program years 2017 through 2020</w:t>
      </w:r>
    </w:p>
    <w:p w14:paraId="1015F856" w14:textId="77777777" w:rsidR="008016FC" w:rsidRDefault="008016FC" w:rsidP="004E4E36">
      <w:pPr>
        <w:pStyle w:val="ListParagraph"/>
        <w:numPr>
          <w:ilvl w:val="0"/>
          <w:numId w:val="49"/>
        </w:numPr>
        <w:rPr>
          <w:rFonts w:cs="Arial"/>
        </w:rPr>
      </w:pPr>
      <w:r w:rsidRPr="00074DC1">
        <w:rPr>
          <w:rFonts w:cs="Arial"/>
        </w:rPr>
        <w:t>Retreatment HH installation forecasts for program years 2017 through 2030</w:t>
      </w:r>
    </w:p>
    <w:p w14:paraId="35E4BEFA" w14:textId="77777777" w:rsidR="00074DC1" w:rsidRDefault="00074DC1" w:rsidP="006D2D50">
      <w:pPr>
        <w:rPr>
          <w:szCs w:val="20"/>
        </w:rPr>
      </w:pPr>
    </w:p>
    <w:p w14:paraId="237F5E74" w14:textId="77777777" w:rsidR="006D2D50" w:rsidRDefault="008016FC" w:rsidP="006D2D50">
      <w:pPr>
        <w:rPr>
          <w:szCs w:val="20"/>
        </w:rPr>
      </w:pPr>
      <w:r>
        <w:rPr>
          <w:szCs w:val="20"/>
        </w:rPr>
        <w:lastRenderedPageBreak/>
        <w:t xml:space="preserve">All IOUs provided HH type forecast for first and retreatment households, though only SCG and SDG&amp;E provided guidance on HH retreatment forecasts from 2017 to 2030, as allowed by the Decision.  PG&amp;E and SCE only provided retreatment HH forecasts for 2017 through 2020, and the 2018 PG model therefor forecasts retreatment HH for PG&amp;E and SCE using </w:t>
      </w:r>
      <w:r w:rsidR="006D2D50">
        <w:rPr>
          <w:szCs w:val="20"/>
        </w:rPr>
        <w:t>the assumption that participation rate holds constant from 2020 through 2030 (</w:t>
      </w:r>
      <w:r w:rsidR="006D2D50" w:rsidRPr="006D2D50">
        <w:rPr>
          <w:szCs w:val="20"/>
        </w:rPr>
        <w:t>similar to was SCG</w:t>
      </w:r>
      <w:r w:rsidR="006D2D50">
        <w:rPr>
          <w:szCs w:val="20"/>
        </w:rPr>
        <w:t xml:space="preserve"> and SDG&amp;E assume)</w:t>
      </w:r>
      <w:r>
        <w:rPr>
          <w:szCs w:val="20"/>
        </w:rPr>
        <w:t xml:space="preserve">. </w:t>
      </w:r>
    </w:p>
    <w:p w14:paraId="6857559D" w14:textId="77777777" w:rsidR="008016FC" w:rsidRPr="008261F5" w:rsidRDefault="006D2D50" w:rsidP="006D2D50">
      <w:pPr>
        <w:pStyle w:val="Heading3"/>
      </w:pPr>
      <w:bookmarkStart w:id="692" w:name="_Toc484092504"/>
      <w:bookmarkStart w:id="693" w:name="_Toc484172710"/>
      <w:bookmarkStart w:id="694" w:name="_Toc484183046"/>
      <w:bookmarkStart w:id="695" w:name="_Toc485126567"/>
      <w:r>
        <w:t xml:space="preserve">Unit Energy </w:t>
      </w:r>
      <w:r w:rsidR="008016FC" w:rsidRPr="008261F5">
        <w:t>Savings</w:t>
      </w:r>
      <w:bookmarkEnd w:id="692"/>
      <w:bookmarkEnd w:id="693"/>
      <w:bookmarkEnd w:id="694"/>
      <w:bookmarkEnd w:id="695"/>
    </w:p>
    <w:p w14:paraId="797C6131" w14:textId="77777777" w:rsidR="008016FC" w:rsidRDefault="008016FC" w:rsidP="006D2D50">
      <w:pPr>
        <w:rPr>
          <w:rFonts w:cs="Arial"/>
        </w:rPr>
      </w:pPr>
      <w:r>
        <w:rPr>
          <w:szCs w:val="20"/>
        </w:rPr>
        <w:t>Consistent with Navigant’s past forecasts of low income sector potential, the forecast is based on a unit energy savings (UES) that is defined at the household level.  T</w:t>
      </w:r>
      <w:r>
        <w:rPr>
          <w:rFonts w:cs="Arial"/>
        </w:rPr>
        <w:t xml:space="preserve">hroughout April and May of 2017 the CPUC Energy Division and Navigant Consulting Inc. engaged California’s four IOUs in several data requests to provide the UES estimates for KWh, KW, and Therms used in the 2018 PG model, including: </w:t>
      </w:r>
    </w:p>
    <w:p w14:paraId="33A989FD" w14:textId="77777777" w:rsidR="008016FC" w:rsidRPr="00074DC1" w:rsidRDefault="008016FC" w:rsidP="004E4E36">
      <w:pPr>
        <w:pStyle w:val="ListParagraph"/>
        <w:numPr>
          <w:ilvl w:val="0"/>
          <w:numId w:val="50"/>
        </w:numPr>
        <w:rPr>
          <w:rFonts w:cs="Arial"/>
        </w:rPr>
      </w:pPr>
      <w:r w:rsidRPr="00074DC1">
        <w:rPr>
          <w:rFonts w:cs="Arial"/>
        </w:rPr>
        <w:t>UES values for first time installations by HH type for single family, multifamily, and manufactured homes</w:t>
      </w:r>
    </w:p>
    <w:p w14:paraId="0A1F8C0D" w14:textId="77777777" w:rsidR="008016FC" w:rsidRDefault="008016FC" w:rsidP="004E4E36">
      <w:pPr>
        <w:pStyle w:val="ListParagraph"/>
        <w:numPr>
          <w:ilvl w:val="0"/>
          <w:numId w:val="50"/>
        </w:numPr>
        <w:rPr>
          <w:rFonts w:cs="Arial"/>
        </w:rPr>
      </w:pPr>
      <w:r w:rsidRPr="00074DC1">
        <w:rPr>
          <w:rFonts w:cs="Arial"/>
        </w:rPr>
        <w:t>UES value for retreatment installations by HH type for single family, multifamily, and manufactured homes</w:t>
      </w:r>
    </w:p>
    <w:p w14:paraId="774C79BA" w14:textId="77777777" w:rsidR="00074DC1" w:rsidRDefault="00074DC1" w:rsidP="006D2D50">
      <w:pPr>
        <w:rPr>
          <w:szCs w:val="20"/>
        </w:rPr>
      </w:pPr>
    </w:p>
    <w:p w14:paraId="4BE6DED0" w14:textId="77777777" w:rsidR="008016FC" w:rsidRDefault="008016FC" w:rsidP="006D2D50">
      <w:pPr>
        <w:rPr>
          <w:szCs w:val="20"/>
        </w:rPr>
      </w:pPr>
      <w:r>
        <w:rPr>
          <w:szCs w:val="20"/>
        </w:rPr>
        <w:t xml:space="preserve">All IOUs provided UES estimates by HH type for first time and treatment installations.  PG&amp;E, SDG&amp;E, and SCG also provided estimated useful life (EUL) values by HH type which ranged between 8 and 14 years.  SCE declined to provide an EUL estimated and the 2018 PG model uses an average of EUL estimated provided by the other IOUs, ranging between 10.8 and 11.9 years, depending on the household type and treatment.  All IOUs concurred with the </w:t>
      </w:r>
      <w:r>
        <w:rPr>
          <w:rFonts w:cs="Arial"/>
        </w:rPr>
        <w:t>CPUC-ED and Navigant guidance that a net-to-gross of 1</w:t>
      </w:r>
      <w:r w:rsidR="006D2D50">
        <w:rPr>
          <w:rFonts w:cs="Arial"/>
        </w:rPr>
        <w:t>.0</w:t>
      </w:r>
      <w:r>
        <w:rPr>
          <w:rFonts w:cs="Arial"/>
        </w:rPr>
        <w:t xml:space="preserve"> is appropriate for the low-income sector forecast.  </w:t>
      </w:r>
    </w:p>
    <w:p w14:paraId="72FEB058" w14:textId="77777777" w:rsidR="00B56A32" w:rsidRDefault="00B56A32" w:rsidP="00B56A32">
      <w:pPr>
        <w:pStyle w:val="Heading2"/>
      </w:pPr>
      <w:bookmarkStart w:id="696" w:name="_Toc478990524"/>
      <w:bookmarkStart w:id="697" w:name="_Toc479768602"/>
      <w:bookmarkStart w:id="698" w:name="_Toc482357325"/>
      <w:bookmarkStart w:id="699" w:name="_Toc482634300"/>
      <w:bookmarkStart w:id="700" w:name="_Toc482626432"/>
      <w:bookmarkStart w:id="701" w:name="_Toc484092505"/>
      <w:bookmarkStart w:id="702" w:name="_Toc484172711"/>
      <w:bookmarkStart w:id="703" w:name="_Toc484183047"/>
      <w:bookmarkStart w:id="704" w:name="_Toc485126568"/>
      <w:r>
        <w:t>Energy Efficiency Financing</w:t>
      </w:r>
      <w:bookmarkEnd w:id="696"/>
      <w:bookmarkEnd w:id="697"/>
      <w:bookmarkEnd w:id="698"/>
      <w:bookmarkEnd w:id="699"/>
      <w:bookmarkEnd w:id="700"/>
      <w:bookmarkEnd w:id="701"/>
      <w:bookmarkEnd w:id="702"/>
      <w:bookmarkEnd w:id="703"/>
      <w:bookmarkEnd w:id="704"/>
    </w:p>
    <w:p w14:paraId="2FC0178E" w14:textId="77777777" w:rsidR="007370A3" w:rsidRPr="00110120" w:rsidRDefault="00B56A32" w:rsidP="00110120">
      <w:pPr>
        <w:rPr>
          <w:b/>
          <w:i/>
        </w:rPr>
      </w:pPr>
      <w:bookmarkStart w:id="705" w:name="_Toc482357326"/>
      <w:bookmarkStart w:id="706" w:name="_Toc482634301"/>
      <w:bookmarkStart w:id="707" w:name="_Toc482626433"/>
      <w:r w:rsidRPr="00110120">
        <w:t>The CPUC has recognized financing as an energy efficiency resource program.</w:t>
      </w:r>
      <w:r w:rsidRPr="00110120">
        <w:rPr>
          <w:vertAlign w:val="superscript"/>
        </w:rPr>
        <w:footnoteReference w:id="85"/>
      </w:r>
      <w:r w:rsidRPr="00110120">
        <w:t xml:space="preserve"> </w:t>
      </w:r>
      <w:r w:rsidR="00492578" w:rsidRPr="00110120">
        <w:t xml:space="preserve">However, as of March 2017 (when research for this study was finalized), no impact evaluations have been published to provide verified savings estimates. </w:t>
      </w:r>
      <w:r w:rsidR="005037D7" w:rsidRPr="00110120">
        <w:t>In the absence of impact studies, the input data to model financing was developed by Navigant leverage available market studies</w:t>
      </w:r>
      <w:r w:rsidR="005037D7" w:rsidRPr="00110120">
        <w:rPr>
          <w:b/>
          <w:i/>
        </w:rPr>
        <w:t>.</w:t>
      </w:r>
      <w:bookmarkEnd w:id="705"/>
      <w:bookmarkEnd w:id="706"/>
      <w:bookmarkEnd w:id="707"/>
      <w:r w:rsidR="005037D7" w:rsidRPr="00110120">
        <w:rPr>
          <w:b/>
          <w:i/>
        </w:rPr>
        <w:t xml:space="preserve"> </w:t>
      </w:r>
    </w:p>
    <w:p w14:paraId="77547887" w14:textId="77777777" w:rsidR="007370A3" w:rsidRDefault="007370A3" w:rsidP="005037D7">
      <w:pPr>
        <w:pStyle w:val="Heading3"/>
      </w:pPr>
      <w:bookmarkStart w:id="708" w:name="_Toc482357327"/>
      <w:bookmarkStart w:id="709" w:name="_Toc482634302"/>
      <w:bookmarkStart w:id="710" w:name="_Toc482626434"/>
      <w:bookmarkStart w:id="711" w:name="_Toc484092506"/>
      <w:bookmarkStart w:id="712" w:name="_Toc484172712"/>
      <w:bookmarkStart w:id="713" w:name="_Toc484183048"/>
      <w:bookmarkStart w:id="714" w:name="_Toc485126569"/>
      <w:r w:rsidRPr="004B7BF5">
        <w:t>Residential Inputs</w:t>
      </w:r>
      <w:bookmarkEnd w:id="708"/>
      <w:bookmarkEnd w:id="709"/>
      <w:bookmarkEnd w:id="710"/>
      <w:bookmarkEnd w:id="711"/>
      <w:bookmarkEnd w:id="712"/>
      <w:bookmarkEnd w:id="713"/>
      <w:bookmarkEnd w:id="714"/>
    </w:p>
    <w:p w14:paraId="7EA0B9FE" w14:textId="77777777" w:rsidR="007370A3" w:rsidRPr="004B7BF5" w:rsidRDefault="007370A3" w:rsidP="007370A3">
      <w:pPr>
        <w:autoSpaceDE w:val="0"/>
        <w:autoSpaceDN w:val="0"/>
        <w:adjustRightInd w:val="0"/>
        <w:spacing w:line="240" w:lineRule="auto"/>
        <w:rPr>
          <w:rFonts w:cs="Arial"/>
          <w:bCs/>
          <w:szCs w:val="20"/>
        </w:rPr>
      </w:pPr>
      <w:r w:rsidRPr="004B7BF5">
        <w:rPr>
          <w:rFonts w:cs="Arial"/>
          <w:bCs/>
          <w:szCs w:val="20"/>
        </w:rPr>
        <w:t>To develop the residential financing cash flow model inputs, Navigant considered the achievements to date of the existing Regional Finance Programs</w:t>
      </w:r>
      <w:r>
        <w:rPr>
          <w:rFonts w:cs="Arial"/>
          <w:bCs/>
          <w:szCs w:val="20"/>
        </w:rPr>
        <w:t xml:space="preserve">, and the key financing terms for the </w:t>
      </w:r>
      <w:r w:rsidRPr="00E841D1">
        <w:rPr>
          <w:rFonts w:cs="Arial"/>
          <w:bCs/>
          <w:szCs w:val="20"/>
        </w:rPr>
        <w:t>Residential Energy Efficiency Loan (REEL) Program</w:t>
      </w:r>
      <w:r>
        <w:rPr>
          <w:rFonts w:cs="Arial"/>
          <w:bCs/>
          <w:szCs w:val="20"/>
        </w:rPr>
        <w:t xml:space="preserve"> lenders</w:t>
      </w:r>
      <w:r>
        <w:rPr>
          <w:rStyle w:val="FootnoteReference"/>
          <w:rFonts w:cs="Arial"/>
          <w:bCs/>
          <w:szCs w:val="20"/>
        </w:rPr>
        <w:footnoteReference w:id="86"/>
      </w:r>
      <w:r w:rsidRPr="004B7BF5">
        <w:rPr>
          <w:rFonts w:cs="Arial"/>
          <w:bCs/>
          <w:szCs w:val="20"/>
        </w:rPr>
        <w:t xml:space="preserve">. </w:t>
      </w:r>
    </w:p>
    <w:p w14:paraId="770C354A" w14:textId="77777777" w:rsidR="007370A3" w:rsidRDefault="007370A3" w:rsidP="007370A3">
      <w:pPr>
        <w:pStyle w:val="ListParagraph"/>
        <w:autoSpaceDE w:val="0"/>
        <w:autoSpaceDN w:val="0"/>
        <w:adjustRightInd w:val="0"/>
        <w:spacing w:line="240" w:lineRule="auto"/>
        <w:rPr>
          <w:rFonts w:cs="Arial"/>
          <w:bCs/>
          <w:szCs w:val="20"/>
        </w:rPr>
      </w:pPr>
    </w:p>
    <w:p w14:paraId="2A654701" w14:textId="77777777" w:rsidR="00211361" w:rsidRDefault="00211361" w:rsidP="007370A3">
      <w:pPr>
        <w:pStyle w:val="ListParagraph"/>
        <w:autoSpaceDE w:val="0"/>
        <w:autoSpaceDN w:val="0"/>
        <w:adjustRightInd w:val="0"/>
        <w:spacing w:line="240" w:lineRule="auto"/>
        <w:rPr>
          <w:rFonts w:cs="Arial"/>
          <w:bCs/>
          <w:szCs w:val="20"/>
        </w:rPr>
      </w:pPr>
    </w:p>
    <w:p w14:paraId="0A61B33B" w14:textId="77777777" w:rsidR="007370A3" w:rsidRDefault="007370A3" w:rsidP="00211361">
      <w:pPr>
        <w:pStyle w:val="Caption"/>
      </w:pPr>
      <w:bookmarkStart w:id="715" w:name="_Toc482634234"/>
      <w:bookmarkStart w:id="716" w:name="_Toc484436975"/>
      <w:bookmarkStart w:id="717" w:name="_Toc485125686"/>
      <w:r>
        <w:lastRenderedPageBreak/>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28</w:t>
      </w:r>
      <w:r w:rsidR="00272F76">
        <w:rPr>
          <w:noProof/>
        </w:rPr>
        <w:fldChar w:fldCharType="end"/>
      </w:r>
      <w:r>
        <w:t>. 2013-2015 Achievements by Regional Financing Program</w:t>
      </w:r>
      <w:bookmarkEnd w:id="715"/>
      <w:bookmarkEnd w:id="716"/>
      <w:bookmarkEnd w:id="717"/>
    </w:p>
    <w:tbl>
      <w:tblPr>
        <w:tblStyle w:val="EnergyTable1"/>
        <w:tblpPr w:leftFromText="180" w:rightFromText="180" w:vertAnchor="text" w:horzAnchor="margin" w:tblpXSpec="center" w:tblpY="103"/>
        <w:tblW w:w="0" w:type="auto"/>
        <w:jc w:val="left"/>
        <w:tblLook w:val="04A0" w:firstRow="1" w:lastRow="0" w:firstColumn="1" w:lastColumn="0" w:noHBand="0" w:noVBand="1"/>
      </w:tblPr>
      <w:tblGrid>
        <w:gridCol w:w="1927"/>
        <w:gridCol w:w="878"/>
        <w:gridCol w:w="1353"/>
        <w:gridCol w:w="870"/>
        <w:gridCol w:w="863"/>
        <w:gridCol w:w="1244"/>
        <w:gridCol w:w="1298"/>
        <w:gridCol w:w="1143"/>
      </w:tblGrid>
      <w:tr w:rsidR="004A09CC" w:rsidRPr="005037D7" w14:paraId="3401D503" w14:textId="77777777" w:rsidTr="007370A3">
        <w:trPr>
          <w:cnfStyle w:val="100000000000" w:firstRow="1" w:lastRow="0" w:firstColumn="0" w:lastColumn="0" w:oddVBand="0" w:evenVBand="0" w:oddHBand="0"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12584F2" w14:textId="77777777" w:rsidR="007370A3" w:rsidRPr="005037D7" w:rsidRDefault="007370A3" w:rsidP="00067CCB">
            <w:pPr>
              <w:keepNext/>
              <w:spacing w:line="240" w:lineRule="auto"/>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Program</w:t>
            </w:r>
          </w:p>
        </w:tc>
        <w:tc>
          <w:tcPr>
            <w:tcW w:w="0" w:type="auto"/>
            <w:noWrap/>
            <w:hideMark/>
          </w:tcPr>
          <w:p w14:paraId="776A1FB0"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Start Date</w:t>
            </w:r>
          </w:p>
        </w:tc>
        <w:tc>
          <w:tcPr>
            <w:tcW w:w="0" w:type="auto"/>
            <w:noWrap/>
            <w:hideMark/>
          </w:tcPr>
          <w:p w14:paraId="3D4E92BB"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Utility</w:t>
            </w:r>
          </w:p>
        </w:tc>
        <w:tc>
          <w:tcPr>
            <w:tcW w:w="0" w:type="auto"/>
            <w:noWrap/>
            <w:hideMark/>
          </w:tcPr>
          <w:p w14:paraId="0A5FEA13"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Min. FICO</w:t>
            </w:r>
          </w:p>
        </w:tc>
        <w:tc>
          <w:tcPr>
            <w:tcW w:w="0" w:type="auto"/>
            <w:noWrap/>
            <w:hideMark/>
          </w:tcPr>
          <w:p w14:paraId="1CA3A216"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Avg. Rate</w:t>
            </w:r>
          </w:p>
        </w:tc>
        <w:tc>
          <w:tcPr>
            <w:tcW w:w="0" w:type="auto"/>
            <w:noWrap/>
            <w:hideMark/>
          </w:tcPr>
          <w:p w14:paraId="4C8DEEE6"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Avg. Term (yrs)</w:t>
            </w:r>
          </w:p>
        </w:tc>
        <w:tc>
          <w:tcPr>
            <w:tcW w:w="0" w:type="auto"/>
            <w:noWrap/>
            <w:hideMark/>
          </w:tcPr>
          <w:p w14:paraId="7C12BD46"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Avg. Amount ($)</w:t>
            </w:r>
          </w:p>
        </w:tc>
        <w:tc>
          <w:tcPr>
            <w:tcW w:w="0" w:type="auto"/>
            <w:noWrap/>
            <w:hideMark/>
          </w:tcPr>
          <w:p w14:paraId="75F430D2"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Loans to Date</w:t>
            </w:r>
          </w:p>
        </w:tc>
      </w:tr>
      <w:tr w:rsidR="007370A3" w:rsidRPr="005037D7" w14:paraId="48E47337" w14:textId="77777777" w:rsidTr="00110120">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2218" w:type="dxa"/>
            <w:noWrap/>
            <w:hideMark/>
          </w:tcPr>
          <w:p w14:paraId="45559D25" w14:textId="77777777" w:rsidR="007370A3" w:rsidRPr="005037D7" w:rsidRDefault="007370A3" w:rsidP="00211361">
            <w:pPr>
              <w:keepNext/>
              <w:spacing w:line="240" w:lineRule="auto"/>
              <w:rPr>
                <w:rFonts w:ascii="Arial Narrow" w:hAnsi="Arial Narrow" w:cs="Calibri"/>
                <w:color w:val="000000"/>
                <w:szCs w:val="20"/>
              </w:rPr>
            </w:pPr>
            <w:r w:rsidRPr="005037D7">
              <w:rPr>
                <w:rFonts w:ascii="Arial Narrow" w:hAnsi="Arial Narrow" w:cs="Calibri"/>
                <w:color w:val="000000"/>
                <w:szCs w:val="20"/>
              </w:rPr>
              <w:t>Golden State Financing Authority (GSFA) Energy Retrofit Program</w:t>
            </w:r>
          </w:p>
        </w:tc>
        <w:tc>
          <w:tcPr>
            <w:tcW w:w="0" w:type="auto"/>
            <w:noWrap/>
            <w:hideMark/>
          </w:tcPr>
          <w:p w14:paraId="007A721B"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Sep-12</w:t>
            </w:r>
          </w:p>
        </w:tc>
        <w:tc>
          <w:tcPr>
            <w:tcW w:w="0" w:type="auto"/>
            <w:noWrap/>
            <w:hideMark/>
          </w:tcPr>
          <w:p w14:paraId="74782B3B"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PG&amp;E</w:t>
            </w:r>
          </w:p>
        </w:tc>
        <w:tc>
          <w:tcPr>
            <w:tcW w:w="0" w:type="auto"/>
            <w:noWrap/>
            <w:hideMark/>
          </w:tcPr>
          <w:p w14:paraId="411F63D5"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640</w:t>
            </w:r>
          </w:p>
        </w:tc>
        <w:tc>
          <w:tcPr>
            <w:tcW w:w="0" w:type="auto"/>
            <w:noWrap/>
            <w:hideMark/>
          </w:tcPr>
          <w:p w14:paraId="6C45A8E2"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6.50%</w:t>
            </w:r>
          </w:p>
        </w:tc>
        <w:tc>
          <w:tcPr>
            <w:tcW w:w="0" w:type="auto"/>
            <w:noWrap/>
            <w:hideMark/>
          </w:tcPr>
          <w:p w14:paraId="476CE362"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15</w:t>
            </w:r>
          </w:p>
        </w:tc>
        <w:tc>
          <w:tcPr>
            <w:tcW w:w="0" w:type="auto"/>
            <w:noWrap/>
            <w:hideMark/>
          </w:tcPr>
          <w:p w14:paraId="375BF50D"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25,612</w:t>
            </w:r>
          </w:p>
        </w:tc>
        <w:tc>
          <w:tcPr>
            <w:tcW w:w="0" w:type="auto"/>
            <w:noWrap/>
            <w:hideMark/>
          </w:tcPr>
          <w:p w14:paraId="5DD4D461"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201</w:t>
            </w:r>
          </w:p>
        </w:tc>
      </w:tr>
      <w:tr w:rsidR="004A09CC" w:rsidRPr="005037D7" w14:paraId="3FE0AE9D" w14:textId="77777777" w:rsidTr="007370A3">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2218" w:type="dxa"/>
            <w:noWrap/>
            <w:hideMark/>
          </w:tcPr>
          <w:p w14:paraId="7F24E6FC" w14:textId="77777777" w:rsidR="007370A3" w:rsidRPr="005037D7" w:rsidRDefault="007370A3" w:rsidP="00211361">
            <w:pPr>
              <w:keepNext/>
              <w:spacing w:line="240" w:lineRule="auto"/>
              <w:rPr>
                <w:rFonts w:ascii="Arial Narrow" w:hAnsi="Arial Narrow" w:cs="Calibri"/>
                <w:color w:val="000000"/>
                <w:szCs w:val="20"/>
              </w:rPr>
            </w:pPr>
            <w:r w:rsidRPr="005037D7">
              <w:rPr>
                <w:rFonts w:ascii="Arial Narrow" w:hAnsi="Arial Narrow" w:cs="Calibri"/>
                <w:color w:val="000000"/>
                <w:szCs w:val="20"/>
              </w:rPr>
              <w:t>emPower Central Coast</w:t>
            </w:r>
          </w:p>
        </w:tc>
        <w:tc>
          <w:tcPr>
            <w:tcW w:w="0" w:type="auto"/>
            <w:noWrap/>
            <w:hideMark/>
          </w:tcPr>
          <w:p w14:paraId="45BE41DD"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Nov-11</w:t>
            </w:r>
          </w:p>
        </w:tc>
        <w:tc>
          <w:tcPr>
            <w:tcW w:w="0" w:type="auto"/>
            <w:noWrap/>
            <w:hideMark/>
          </w:tcPr>
          <w:p w14:paraId="2EF19FEA"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SCE, SCG, PG&amp;E</w:t>
            </w:r>
          </w:p>
        </w:tc>
        <w:tc>
          <w:tcPr>
            <w:tcW w:w="0" w:type="auto"/>
            <w:noWrap/>
            <w:hideMark/>
          </w:tcPr>
          <w:p w14:paraId="0690ABAE"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590</w:t>
            </w:r>
          </w:p>
        </w:tc>
        <w:tc>
          <w:tcPr>
            <w:tcW w:w="0" w:type="auto"/>
            <w:noWrap/>
            <w:hideMark/>
          </w:tcPr>
          <w:p w14:paraId="7716D340"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5.85%</w:t>
            </w:r>
          </w:p>
        </w:tc>
        <w:tc>
          <w:tcPr>
            <w:tcW w:w="0" w:type="auto"/>
            <w:noWrap/>
            <w:hideMark/>
          </w:tcPr>
          <w:p w14:paraId="41B3426C"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14.5</w:t>
            </w:r>
          </w:p>
        </w:tc>
        <w:tc>
          <w:tcPr>
            <w:tcW w:w="0" w:type="auto"/>
            <w:noWrap/>
            <w:hideMark/>
          </w:tcPr>
          <w:p w14:paraId="150812F6"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20,809</w:t>
            </w:r>
          </w:p>
        </w:tc>
        <w:tc>
          <w:tcPr>
            <w:tcW w:w="0" w:type="auto"/>
            <w:noWrap/>
            <w:hideMark/>
          </w:tcPr>
          <w:p w14:paraId="71CC2628"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52</w:t>
            </w:r>
          </w:p>
        </w:tc>
      </w:tr>
      <w:tr w:rsidR="007370A3" w:rsidRPr="005037D7" w14:paraId="56BBBB28" w14:textId="77777777" w:rsidTr="00110120">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2218" w:type="dxa"/>
            <w:noWrap/>
            <w:hideMark/>
          </w:tcPr>
          <w:p w14:paraId="29978E09" w14:textId="77777777" w:rsidR="007370A3" w:rsidRPr="005037D7" w:rsidRDefault="007370A3" w:rsidP="00211361">
            <w:pPr>
              <w:keepNext/>
              <w:spacing w:line="240" w:lineRule="auto"/>
              <w:rPr>
                <w:rFonts w:ascii="Arial Narrow" w:hAnsi="Arial Narrow" w:cs="Calibri"/>
                <w:color w:val="000000"/>
                <w:szCs w:val="20"/>
              </w:rPr>
            </w:pPr>
            <w:r w:rsidRPr="005037D7">
              <w:rPr>
                <w:rFonts w:ascii="Arial Narrow" w:hAnsi="Arial Narrow" w:cs="Calibri"/>
                <w:color w:val="000000"/>
                <w:szCs w:val="20"/>
              </w:rPr>
              <w:t>SoCalREN Home Energy Loans</w:t>
            </w:r>
          </w:p>
        </w:tc>
        <w:tc>
          <w:tcPr>
            <w:tcW w:w="0" w:type="auto"/>
            <w:noWrap/>
            <w:hideMark/>
          </w:tcPr>
          <w:p w14:paraId="3630B04F"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Dec-13</w:t>
            </w:r>
          </w:p>
        </w:tc>
        <w:tc>
          <w:tcPr>
            <w:tcW w:w="0" w:type="auto"/>
            <w:noWrap/>
            <w:hideMark/>
          </w:tcPr>
          <w:p w14:paraId="04E893A8"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SCE, SCG</w:t>
            </w:r>
          </w:p>
        </w:tc>
        <w:tc>
          <w:tcPr>
            <w:tcW w:w="0" w:type="auto"/>
            <w:noWrap/>
            <w:hideMark/>
          </w:tcPr>
          <w:p w14:paraId="6975360C"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660</w:t>
            </w:r>
          </w:p>
        </w:tc>
        <w:tc>
          <w:tcPr>
            <w:tcW w:w="0" w:type="auto"/>
            <w:noWrap/>
            <w:hideMark/>
          </w:tcPr>
          <w:p w14:paraId="50A75608"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5.87%</w:t>
            </w:r>
          </w:p>
        </w:tc>
        <w:tc>
          <w:tcPr>
            <w:tcW w:w="0" w:type="auto"/>
            <w:noWrap/>
            <w:hideMark/>
          </w:tcPr>
          <w:p w14:paraId="3E9C4B6C"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9.5</w:t>
            </w:r>
          </w:p>
        </w:tc>
        <w:tc>
          <w:tcPr>
            <w:tcW w:w="0" w:type="auto"/>
            <w:noWrap/>
            <w:hideMark/>
          </w:tcPr>
          <w:p w14:paraId="0D0631E6"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18,087</w:t>
            </w:r>
          </w:p>
        </w:tc>
        <w:tc>
          <w:tcPr>
            <w:tcW w:w="0" w:type="auto"/>
            <w:noWrap/>
            <w:hideMark/>
          </w:tcPr>
          <w:p w14:paraId="41B4F8DB"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100</w:t>
            </w:r>
          </w:p>
        </w:tc>
      </w:tr>
    </w:tbl>
    <w:p w14:paraId="7B07BFF3" w14:textId="77777777" w:rsidR="007370A3" w:rsidRPr="004B7BF5" w:rsidRDefault="007370A3" w:rsidP="005037D7">
      <w:pPr>
        <w:pStyle w:val="Source"/>
        <w:jc w:val="center"/>
      </w:pPr>
      <w:r w:rsidRPr="004B7BF5">
        <w:t xml:space="preserve">Source: Regional </w:t>
      </w:r>
      <w:r w:rsidRPr="005037D7">
        <w:rPr>
          <w:rStyle w:val="SourceChar"/>
        </w:rPr>
        <w:t>Finance</w:t>
      </w:r>
      <w:r w:rsidRPr="004B7BF5">
        <w:t xml:space="preserve"> Program Attribution and Cost Effectiveness Study Evaluation Plan.</w:t>
      </w:r>
    </w:p>
    <w:p w14:paraId="735BC5FC" w14:textId="77777777" w:rsidR="007370A3" w:rsidRDefault="007370A3" w:rsidP="007370A3">
      <w:pPr>
        <w:pStyle w:val="Heading4b"/>
      </w:pPr>
      <w:r w:rsidRPr="004B7BF5">
        <w:t xml:space="preserve">Interest </w:t>
      </w:r>
      <w:r>
        <w:t>r</w:t>
      </w:r>
      <w:r w:rsidRPr="004B7BF5">
        <w:t>ate</w:t>
      </w:r>
    </w:p>
    <w:p w14:paraId="22C7465D" w14:textId="77777777" w:rsidR="007370A3" w:rsidRPr="004B7BF5" w:rsidRDefault="007370A3" w:rsidP="007370A3">
      <w:pPr>
        <w:pStyle w:val="ListParagraph"/>
        <w:autoSpaceDE w:val="0"/>
        <w:autoSpaceDN w:val="0"/>
        <w:adjustRightInd w:val="0"/>
        <w:spacing w:line="240" w:lineRule="auto"/>
        <w:rPr>
          <w:rFonts w:cs="Arial"/>
          <w:bCs/>
          <w:szCs w:val="20"/>
        </w:rPr>
      </w:pPr>
      <w:r w:rsidRPr="004B7BF5">
        <w:rPr>
          <w:rFonts w:cs="Arial"/>
          <w:bCs/>
          <w:szCs w:val="20"/>
        </w:rPr>
        <w:t>The interest rate is the percentage of the principal that a lender charges to a borrower for taking out a loan.</w:t>
      </w:r>
      <w:r>
        <w:rPr>
          <w:rFonts w:cs="Arial"/>
          <w:bCs/>
          <w:szCs w:val="20"/>
        </w:rPr>
        <w:t xml:space="preserve"> </w:t>
      </w:r>
      <w:r>
        <w:t xml:space="preserve">Navigant considered the average discount rates of the Regional Financing Programs, and the range of interest rates available to borrowers of the </w:t>
      </w:r>
      <w:r w:rsidRPr="00E841D1">
        <w:t>Residential Energy Efficiency Loan (REEL) Program</w:t>
      </w:r>
      <w:r>
        <w:t>. Based on this information, Navigant assumed an interest rate of 6% for residential energy efficiency loans in the cash flow model.</w:t>
      </w:r>
    </w:p>
    <w:p w14:paraId="51E33454" w14:textId="77777777" w:rsidR="007370A3" w:rsidRDefault="007370A3" w:rsidP="007370A3">
      <w:pPr>
        <w:pStyle w:val="Heading4b"/>
      </w:pPr>
      <w:r>
        <w:t xml:space="preserve">Loan term </w:t>
      </w:r>
    </w:p>
    <w:p w14:paraId="145B4C7D" w14:textId="77777777" w:rsidR="007370A3" w:rsidRDefault="007370A3" w:rsidP="007370A3">
      <w:pPr>
        <w:ind w:left="720"/>
      </w:pPr>
      <w:r>
        <w:t>The loan term is the length of time of the loan agreement.  REEL Program loans offer terms up to 15 years</w:t>
      </w:r>
      <w:r>
        <w:rPr>
          <w:rStyle w:val="FootnoteReference"/>
        </w:rPr>
        <w:footnoteReference w:id="87"/>
      </w:r>
      <w:r>
        <w:t xml:space="preserve">. The average term of the Regional Finance Program loans ranges from 9.5 to 15 years. Based on this information, Navigant assumed a loan term of 12 years in the cash flow model. </w:t>
      </w:r>
    </w:p>
    <w:p w14:paraId="0D922650" w14:textId="77777777" w:rsidR="007370A3" w:rsidRPr="004B7BF5" w:rsidRDefault="007370A3" w:rsidP="007370A3">
      <w:pPr>
        <w:pStyle w:val="Heading4b"/>
      </w:pPr>
      <w:r>
        <w:t>Consumer d</w:t>
      </w:r>
      <w:r w:rsidRPr="004B7BF5">
        <w:t>iscount</w:t>
      </w:r>
      <w:r>
        <w:t xml:space="preserve"> r</w:t>
      </w:r>
      <w:r w:rsidRPr="004B7BF5">
        <w:t>ate</w:t>
      </w:r>
    </w:p>
    <w:p w14:paraId="3AD488CE"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bCs/>
          <w:szCs w:val="20"/>
        </w:rPr>
        <w:t xml:space="preserve">The discount rate is the rate by which future cash flows are discounted to determine the present value of the payment stream. Using a consumer discount rate allows multiple payment streams to be compared in the same timeframe. A low discount rate indicates that the value of future cash flows is low compared to the value now. We use the real discount rate, instead of the nominal discount rate, to eliminate the effect of inflation. </w:t>
      </w:r>
    </w:p>
    <w:p w14:paraId="06911417"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bCs/>
          <w:szCs w:val="20"/>
        </w:rPr>
        <w:t>Estimating the discount rate for residential customers is not straightforward, and may vary by demographic factors such as credit score, income, race, and household size. The Office of Management and Budget (OMB) has prescribed a discount rate of seven percent for benefit-cost analysis, and the U.S. Department of Energy (DOE) uses 3 percent and 7 percent in the analyses for residential appliance standards.</w:t>
      </w:r>
      <w:r w:rsidRPr="004B7BF5">
        <w:rPr>
          <w:rStyle w:val="FootnoteReference"/>
          <w:rFonts w:cs="Arial"/>
          <w:bCs/>
          <w:szCs w:val="20"/>
        </w:rPr>
        <w:footnoteReference w:id="88"/>
      </w:r>
      <w:r w:rsidRPr="004B7BF5">
        <w:rPr>
          <w:rFonts w:cs="Arial"/>
          <w:bCs/>
          <w:szCs w:val="20"/>
        </w:rPr>
        <w:t xml:space="preserve"> Other government organizes use discount rates in this range. For example, the Northwest Power and Conservation Council which used 3% in the Seventh Power and Conservation Plan, and a lighting study by the DOE calculated a consumer discount rate of 5.6%.</w:t>
      </w:r>
    </w:p>
    <w:p w14:paraId="06BC7440" w14:textId="77777777" w:rsidR="007370A3" w:rsidRPr="004B7BF5" w:rsidRDefault="007370A3" w:rsidP="007370A3">
      <w:pPr>
        <w:pStyle w:val="ListParagraph"/>
        <w:autoSpaceDE w:val="0"/>
        <w:autoSpaceDN w:val="0"/>
        <w:adjustRightInd w:val="0"/>
        <w:spacing w:line="240" w:lineRule="auto"/>
        <w:rPr>
          <w:rFonts w:cs="Arial"/>
          <w:bCs/>
          <w:szCs w:val="20"/>
        </w:rPr>
      </w:pPr>
      <w:r w:rsidRPr="004B7BF5">
        <w:rPr>
          <w:rFonts w:cs="Arial"/>
          <w:bCs/>
          <w:szCs w:val="20"/>
        </w:rPr>
        <w:lastRenderedPageBreak/>
        <w:t xml:space="preserve">However, the estimated discount rate for residential customers </w:t>
      </w:r>
      <w:r>
        <w:rPr>
          <w:rFonts w:cs="Arial"/>
          <w:bCs/>
          <w:szCs w:val="20"/>
        </w:rPr>
        <w:t>may be</w:t>
      </w:r>
      <w:r w:rsidRPr="004B7BF5">
        <w:rPr>
          <w:rFonts w:cs="Arial"/>
          <w:bCs/>
          <w:szCs w:val="20"/>
        </w:rPr>
        <w:t xml:space="preserve"> much higher than the range of 3-7% used in regulatory analysis. For example, one study looked at the observed discount rates for individuals and their preferences for energy efficiency and found that “a simple fact emerges that in making decisions which involve discounting over time, individuals behave in a manner which implies a much higher discount rate than can be explained in terms of the opportunity costs of funds available in credit markets”.</w:t>
      </w:r>
      <w:r w:rsidRPr="004B7BF5">
        <w:rPr>
          <w:rStyle w:val="FootnoteReference"/>
          <w:rFonts w:cs="Arial"/>
          <w:bCs/>
          <w:szCs w:val="20"/>
        </w:rPr>
        <w:footnoteReference w:id="89"/>
      </w:r>
      <w:r>
        <w:rPr>
          <w:rFonts w:cs="Arial"/>
          <w:bCs/>
          <w:szCs w:val="20"/>
        </w:rPr>
        <w:t xml:space="preserve"> Based on these considerations, Navigant used a consumer discount rate of seven percent for the financing model. </w:t>
      </w:r>
    </w:p>
    <w:p w14:paraId="06C47014" w14:textId="77777777" w:rsidR="007370A3" w:rsidRDefault="007370A3" w:rsidP="007370A3">
      <w:pPr>
        <w:pStyle w:val="Heading4b"/>
      </w:pPr>
      <w:r w:rsidRPr="004B7BF5">
        <w:t xml:space="preserve">Eligible population </w:t>
      </w:r>
    </w:p>
    <w:p w14:paraId="390C64EA" w14:textId="77777777" w:rsidR="007370A3" w:rsidRDefault="007370A3" w:rsidP="007370A3">
      <w:pPr>
        <w:pStyle w:val="ListParagraph"/>
        <w:autoSpaceDE w:val="0"/>
        <w:autoSpaceDN w:val="0"/>
        <w:adjustRightInd w:val="0"/>
        <w:spacing w:line="240" w:lineRule="auto"/>
      </w:pPr>
      <w:r w:rsidRPr="004B7BF5">
        <w:rPr>
          <w:rFonts w:cs="Arial"/>
          <w:bCs/>
          <w:szCs w:val="20"/>
        </w:rPr>
        <w:t xml:space="preserve">Navigant </w:t>
      </w:r>
      <w:r>
        <w:rPr>
          <w:rFonts w:cs="Arial"/>
          <w:bCs/>
          <w:szCs w:val="20"/>
        </w:rPr>
        <w:t>updated the</w:t>
      </w:r>
      <w:r w:rsidRPr="004B7BF5">
        <w:rPr>
          <w:rFonts w:cs="Arial"/>
          <w:bCs/>
          <w:szCs w:val="20"/>
        </w:rPr>
        <w:t xml:space="preserve"> residential population eligibility in</w:t>
      </w:r>
      <w:r>
        <w:t xml:space="preserve"> the 2015 Potential and Goals Study using </w:t>
      </w:r>
      <w:r w:rsidRPr="00CA6B64">
        <w:t>Experian Consumer Credit data</w:t>
      </w:r>
      <w:r>
        <w:t>,</w:t>
      </w:r>
      <w:r w:rsidRPr="00CA6B64">
        <w:t xml:space="preserve"> accessed in November 2014</w:t>
      </w:r>
      <w:r>
        <w:t xml:space="preserve">. The 2015 Study </w:t>
      </w:r>
      <w:r w:rsidRPr="00CA6B64">
        <w:t xml:space="preserve">identified the residential population eligibility </w:t>
      </w:r>
      <w:r>
        <w:t>at</w:t>
      </w:r>
      <w:r w:rsidRPr="00CA6B64">
        <w:t xml:space="preserve"> 98%. </w:t>
      </w:r>
      <w:r>
        <w:t xml:space="preserve">Like the 2015 Potential Study, Navigant assumes that residential customers with FICO credit scores above 580 are eligible for financing, and that 98% of single family customers are eligible for financing. The credit requirement aligns with the REEL program, which requires a minimum FICO score of 580 with income verification, and a FICO score of 640 without income verification. </w:t>
      </w:r>
    </w:p>
    <w:p w14:paraId="2B8840F2" w14:textId="77777777" w:rsidR="007370A3" w:rsidRDefault="007370A3" w:rsidP="007370A3">
      <w:pPr>
        <w:pStyle w:val="ListParagraph"/>
        <w:autoSpaceDE w:val="0"/>
        <w:autoSpaceDN w:val="0"/>
        <w:adjustRightInd w:val="0"/>
        <w:spacing w:line="240" w:lineRule="auto"/>
        <w:rPr>
          <w:rFonts w:cs="Arial"/>
          <w:bCs/>
          <w:szCs w:val="20"/>
        </w:rPr>
      </w:pPr>
      <w:r>
        <w:rPr>
          <w:rFonts w:cs="Arial"/>
          <w:bCs/>
          <w:szCs w:val="20"/>
        </w:rPr>
        <w:t>Following the approach to eligibility assumptions for the multi-family sector in the 2013 and 2015 Potential Studies, Navigant estimated multi-family sector eligibility to be 5% based on the proportion of the segment that is affordable housing.</w:t>
      </w:r>
      <w:r>
        <w:rPr>
          <w:rStyle w:val="FootnoteReference"/>
          <w:rFonts w:cs="Arial"/>
          <w:bCs/>
          <w:szCs w:val="20"/>
        </w:rPr>
        <w:footnoteReference w:id="90"/>
      </w:r>
      <w:r>
        <w:rPr>
          <w:rFonts w:cs="Arial"/>
          <w:bCs/>
          <w:szCs w:val="20"/>
        </w:rPr>
        <w:t xml:space="preserve"> </w:t>
      </w:r>
    </w:p>
    <w:p w14:paraId="253058E2" w14:textId="77777777" w:rsidR="007370A3" w:rsidRDefault="007370A3" w:rsidP="007370A3">
      <w:pPr>
        <w:pStyle w:val="ListParagraph"/>
        <w:autoSpaceDE w:val="0"/>
        <w:autoSpaceDN w:val="0"/>
        <w:adjustRightInd w:val="0"/>
        <w:spacing w:line="240" w:lineRule="auto"/>
        <w:rPr>
          <w:rFonts w:cs="Arial"/>
          <w:bCs/>
          <w:szCs w:val="20"/>
        </w:rPr>
      </w:pPr>
    </w:p>
    <w:p w14:paraId="4ACEAF31" w14:textId="77777777" w:rsidR="007370A3" w:rsidRDefault="007370A3" w:rsidP="007370A3">
      <w:r>
        <w:t xml:space="preserve">In summary, the Navigant team used the following inputs for the residential cash flow model: </w:t>
      </w:r>
    </w:p>
    <w:p w14:paraId="7623C383" w14:textId="77777777" w:rsidR="007370A3" w:rsidRDefault="007370A3" w:rsidP="007370A3">
      <w:pPr>
        <w:rPr>
          <w:highlight w:val="yellow"/>
        </w:rPr>
      </w:pPr>
    </w:p>
    <w:p w14:paraId="55107B30" w14:textId="77777777" w:rsidR="007370A3" w:rsidRDefault="007370A3" w:rsidP="007370A3">
      <w:pPr>
        <w:pStyle w:val="Caption"/>
      </w:pPr>
      <w:bookmarkStart w:id="718" w:name="_Toc482634235"/>
      <w:bookmarkStart w:id="719" w:name="_Toc484436976"/>
      <w:bookmarkStart w:id="720" w:name="_Toc485125687"/>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29</w:t>
      </w:r>
      <w:r w:rsidR="00272F76">
        <w:rPr>
          <w:noProof/>
        </w:rPr>
        <w:fldChar w:fldCharType="end"/>
      </w:r>
      <w:r>
        <w:t>. Key Inputs to Residential Financing Cash Flow Model</w:t>
      </w:r>
      <w:bookmarkEnd w:id="718"/>
      <w:bookmarkEnd w:id="719"/>
      <w:bookmarkEnd w:id="720"/>
    </w:p>
    <w:tbl>
      <w:tblPr>
        <w:tblStyle w:val="EnergyTable1"/>
        <w:tblW w:w="8090" w:type="dxa"/>
        <w:tblLook w:val="04A0" w:firstRow="1" w:lastRow="0" w:firstColumn="1" w:lastColumn="0" w:noHBand="0" w:noVBand="1"/>
      </w:tblPr>
      <w:tblGrid>
        <w:gridCol w:w="2198"/>
        <w:gridCol w:w="2374"/>
        <w:gridCol w:w="3518"/>
      </w:tblGrid>
      <w:tr w:rsidR="007370A3" w:rsidRPr="005037D7" w14:paraId="11AD952F" w14:textId="77777777" w:rsidTr="00110120">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198" w:type="dxa"/>
            <w:noWrap/>
            <w:hideMark/>
          </w:tcPr>
          <w:p w14:paraId="7452D15A" w14:textId="77777777" w:rsidR="007370A3" w:rsidRPr="005037D7" w:rsidRDefault="007370A3" w:rsidP="007370A3">
            <w:pPr>
              <w:keepNext/>
              <w:spacing w:line="240" w:lineRule="auto"/>
              <w:rPr>
                <w:rFonts w:ascii="Arial Narrow" w:hAnsi="Arial Narrow" w:cs="Arial"/>
                <w:bCs/>
                <w:color w:val="FFFFFF" w:themeColor="background1"/>
                <w:szCs w:val="20"/>
              </w:rPr>
            </w:pPr>
            <w:r w:rsidRPr="005037D7">
              <w:rPr>
                <w:rFonts w:ascii="Arial Narrow" w:hAnsi="Arial Narrow" w:cs="Arial"/>
                <w:bCs/>
                <w:color w:val="FFFFFF" w:themeColor="background1"/>
                <w:szCs w:val="20"/>
              </w:rPr>
              <w:t>Model Input</w:t>
            </w:r>
          </w:p>
        </w:tc>
        <w:tc>
          <w:tcPr>
            <w:tcW w:w="2374" w:type="dxa"/>
            <w:noWrap/>
            <w:hideMark/>
          </w:tcPr>
          <w:p w14:paraId="28365FA2" w14:textId="77777777" w:rsidR="007370A3" w:rsidRPr="005037D7" w:rsidRDefault="007370A3" w:rsidP="007370A3">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 xml:space="preserve">Assumption </w:t>
            </w:r>
          </w:p>
        </w:tc>
        <w:tc>
          <w:tcPr>
            <w:tcW w:w="3518" w:type="dxa"/>
            <w:noWrap/>
            <w:hideMark/>
          </w:tcPr>
          <w:p w14:paraId="48FFA018" w14:textId="77777777" w:rsidR="007370A3" w:rsidRPr="005037D7" w:rsidRDefault="007370A3" w:rsidP="007370A3">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Source</w:t>
            </w:r>
          </w:p>
        </w:tc>
      </w:tr>
      <w:tr w:rsidR="007370A3" w:rsidRPr="005037D7" w14:paraId="4E5DF05C" w14:textId="77777777" w:rsidTr="0011012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98" w:type="dxa"/>
            <w:noWrap/>
            <w:hideMark/>
          </w:tcPr>
          <w:p w14:paraId="4B40E518"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Interest Rate</w:t>
            </w:r>
          </w:p>
        </w:tc>
        <w:tc>
          <w:tcPr>
            <w:tcW w:w="2374" w:type="dxa"/>
            <w:noWrap/>
            <w:hideMark/>
          </w:tcPr>
          <w:p w14:paraId="13A1AC54"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w:t>
            </w:r>
          </w:p>
        </w:tc>
        <w:tc>
          <w:tcPr>
            <w:tcW w:w="3518" w:type="dxa"/>
            <w:hideMark/>
          </w:tcPr>
          <w:p w14:paraId="3C5CC77E"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Navigant analysis of California IOU financing programs data</w:t>
            </w:r>
            <w:r w:rsidRPr="005037D7">
              <w:rPr>
                <w:rFonts w:ascii="Arial Narrow" w:hAnsi="Arial Narrow" w:cs="Calibri"/>
                <w:color w:val="000000"/>
                <w:szCs w:val="20"/>
                <w:vertAlign w:val="superscript"/>
              </w:rPr>
              <w:t>1</w:t>
            </w:r>
          </w:p>
        </w:tc>
      </w:tr>
      <w:tr w:rsidR="007370A3" w:rsidRPr="005037D7" w14:paraId="19470349" w14:textId="77777777" w:rsidTr="00110120">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98" w:type="dxa"/>
            <w:noWrap/>
            <w:hideMark/>
          </w:tcPr>
          <w:p w14:paraId="04DACD1F"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Loan Term</w:t>
            </w:r>
          </w:p>
        </w:tc>
        <w:tc>
          <w:tcPr>
            <w:tcW w:w="2374" w:type="dxa"/>
            <w:noWrap/>
            <w:hideMark/>
          </w:tcPr>
          <w:p w14:paraId="58FBCD9D"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12 years</w:t>
            </w:r>
          </w:p>
        </w:tc>
        <w:tc>
          <w:tcPr>
            <w:tcW w:w="3518" w:type="dxa"/>
            <w:hideMark/>
          </w:tcPr>
          <w:p w14:paraId="4F0BF872"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Navigant analysis of California IOU financing programs data</w:t>
            </w:r>
            <w:r w:rsidRPr="005037D7">
              <w:rPr>
                <w:rFonts w:ascii="Arial Narrow" w:hAnsi="Arial Narrow" w:cs="Calibri"/>
                <w:color w:val="000000"/>
                <w:szCs w:val="20"/>
                <w:vertAlign w:val="superscript"/>
              </w:rPr>
              <w:t>1</w:t>
            </w:r>
          </w:p>
        </w:tc>
      </w:tr>
      <w:tr w:rsidR="007370A3" w:rsidRPr="005037D7" w14:paraId="188FCB49" w14:textId="77777777" w:rsidTr="001101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98" w:type="dxa"/>
            <w:noWrap/>
            <w:hideMark/>
          </w:tcPr>
          <w:p w14:paraId="5455C123"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Discount Rate</w:t>
            </w:r>
          </w:p>
        </w:tc>
        <w:tc>
          <w:tcPr>
            <w:tcW w:w="2374" w:type="dxa"/>
            <w:noWrap/>
            <w:hideMark/>
          </w:tcPr>
          <w:p w14:paraId="78DF4FB3"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7%</w:t>
            </w:r>
          </w:p>
        </w:tc>
        <w:tc>
          <w:tcPr>
            <w:tcW w:w="3518" w:type="dxa"/>
            <w:hideMark/>
          </w:tcPr>
          <w:p w14:paraId="2A018D20"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OMB Circular No. A-94</w:t>
            </w:r>
          </w:p>
        </w:tc>
      </w:tr>
      <w:tr w:rsidR="007370A3" w:rsidRPr="005037D7" w14:paraId="21D37064" w14:textId="77777777" w:rsidTr="00110120">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198" w:type="dxa"/>
            <w:noWrap/>
            <w:hideMark/>
          </w:tcPr>
          <w:p w14:paraId="5F766E02"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Eligible Population</w:t>
            </w:r>
          </w:p>
        </w:tc>
        <w:tc>
          <w:tcPr>
            <w:tcW w:w="2374" w:type="dxa"/>
            <w:hideMark/>
          </w:tcPr>
          <w:p w14:paraId="5D672F4C"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98% of single family customers</w:t>
            </w:r>
            <w:r w:rsidRPr="005037D7">
              <w:rPr>
                <w:rFonts w:ascii="Arial Narrow" w:hAnsi="Arial Narrow" w:cs="Calibri"/>
                <w:color w:val="000000"/>
                <w:szCs w:val="20"/>
              </w:rPr>
              <w:br/>
              <w:t>5% of multifamily customers</w:t>
            </w:r>
          </w:p>
        </w:tc>
        <w:tc>
          <w:tcPr>
            <w:tcW w:w="3518" w:type="dxa"/>
            <w:hideMark/>
          </w:tcPr>
          <w:p w14:paraId="5A8E5804"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2015 California Potential and Goals Study</w:t>
            </w:r>
          </w:p>
        </w:tc>
      </w:tr>
    </w:tbl>
    <w:p w14:paraId="478B6520" w14:textId="77777777" w:rsidR="007370A3" w:rsidRDefault="007370A3" w:rsidP="005037D7">
      <w:pPr>
        <w:pStyle w:val="Source"/>
        <w:jc w:val="center"/>
      </w:pPr>
      <w:r>
        <w:t xml:space="preserve">Navigant analysis of the </w:t>
      </w:r>
      <w:r w:rsidRPr="004B7BF5">
        <w:t>Regional Finance Program Attribution and Cost-effectiveness Study: Evaluation Plan</w:t>
      </w:r>
    </w:p>
    <w:p w14:paraId="49B34A53" w14:textId="77777777" w:rsidR="007370A3" w:rsidRPr="005037D7" w:rsidRDefault="007370A3" w:rsidP="005037D7">
      <w:pPr>
        <w:pStyle w:val="Heading3"/>
      </w:pPr>
      <w:bookmarkStart w:id="721" w:name="_Toc482357328"/>
      <w:bookmarkStart w:id="722" w:name="_Toc482634303"/>
      <w:bookmarkStart w:id="723" w:name="_Toc482626435"/>
      <w:bookmarkStart w:id="724" w:name="_Toc484092507"/>
      <w:bookmarkStart w:id="725" w:name="_Toc484172713"/>
      <w:bookmarkStart w:id="726" w:name="_Toc484183049"/>
      <w:bookmarkStart w:id="727" w:name="_Toc485126570"/>
      <w:r w:rsidRPr="005037D7">
        <w:t>Commercial Inputs</w:t>
      </w:r>
      <w:bookmarkEnd w:id="721"/>
      <w:bookmarkEnd w:id="722"/>
      <w:bookmarkEnd w:id="723"/>
      <w:bookmarkEnd w:id="724"/>
      <w:bookmarkEnd w:id="725"/>
      <w:bookmarkEnd w:id="726"/>
      <w:bookmarkEnd w:id="727"/>
    </w:p>
    <w:p w14:paraId="7E3739DA" w14:textId="77777777" w:rsidR="007370A3" w:rsidRPr="004B7BF5" w:rsidRDefault="007370A3" w:rsidP="007370A3">
      <w:pPr>
        <w:pStyle w:val="Heading4b"/>
      </w:pPr>
      <w:r w:rsidRPr="004B7BF5">
        <w:t>Interest rate</w:t>
      </w:r>
    </w:p>
    <w:p w14:paraId="27B34906"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rPr>
        <w:t>Non-residential customers can access zero-percent financing through the statewide OBF program</w:t>
      </w:r>
      <w:r>
        <w:rPr>
          <w:rFonts w:cs="Arial"/>
        </w:rPr>
        <w:t>.</w:t>
      </w:r>
      <w:r w:rsidRPr="004B7BF5">
        <w:rPr>
          <w:rFonts w:cs="Arial"/>
        </w:rPr>
        <w:t xml:space="preserve"> The projects are designed to be bill neutral, such that the monthly payment is less than </w:t>
      </w:r>
      <w:r w:rsidRPr="004B7BF5">
        <w:rPr>
          <w:rFonts w:cs="Arial"/>
        </w:rPr>
        <w:lastRenderedPageBreak/>
        <w:t>the projected energy savings.</w:t>
      </w:r>
      <w:r w:rsidRPr="004B7BF5">
        <w:rPr>
          <w:rStyle w:val="FootnoteReference"/>
          <w:rFonts w:cs="Arial"/>
        </w:rPr>
        <w:footnoteReference w:id="91"/>
      </w:r>
      <w:r>
        <w:rPr>
          <w:rFonts w:cs="Arial"/>
        </w:rPr>
        <w:t xml:space="preserve"> Based on these guidelines, Navigant assumed an interest rate of 0% in the cash flow model for OBF loans for the commercial and industrial sector.</w:t>
      </w:r>
    </w:p>
    <w:p w14:paraId="24052327" w14:textId="77777777" w:rsidR="007370A3" w:rsidRDefault="005037D7" w:rsidP="007370A3">
      <w:pPr>
        <w:pStyle w:val="Heading4b"/>
      </w:pPr>
      <w:r>
        <w:t>Loan t</w:t>
      </w:r>
      <w:r w:rsidR="007370A3">
        <w:t>erm</w:t>
      </w:r>
    </w:p>
    <w:p w14:paraId="74225CF1"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rPr>
        <w:t>The OBF program offers zero-percent financing for loans up to five years for the small and large commercial sector, and up to ten years for the government sector.</w:t>
      </w:r>
      <w:r w:rsidR="00D579B9">
        <w:rPr>
          <w:rFonts w:cs="Arial"/>
        </w:rPr>
        <w:t xml:space="preserve"> Given that our model doesn’t distinguish between the commercial and government sector, we apply a single assumption for the commercial sector. </w:t>
      </w:r>
    </w:p>
    <w:p w14:paraId="65547838" w14:textId="77777777" w:rsidR="007370A3" w:rsidRPr="004B7BF5" w:rsidRDefault="007370A3" w:rsidP="007370A3">
      <w:pPr>
        <w:pStyle w:val="Heading4b"/>
      </w:pPr>
      <w:r>
        <w:t xml:space="preserve">Consumer </w:t>
      </w:r>
      <w:r w:rsidR="005037D7">
        <w:t>d</w:t>
      </w:r>
      <w:r w:rsidRPr="004B7BF5">
        <w:t xml:space="preserve">iscount </w:t>
      </w:r>
      <w:r w:rsidR="005037D7">
        <w:t>r</w:t>
      </w:r>
      <w:r w:rsidRPr="004B7BF5">
        <w:t>ate</w:t>
      </w:r>
    </w:p>
    <w:p w14:paraId="7494E11F" w14:textId="77777777" w:rsidR="007370A3" w:rsidRPr="00947B1F" w:rsidRDefault="007370A3" w:rsidP="007370A3">
      <w:pPr>
        <w:pStyle w:val="ListParagraph"/>
        <w:autoSpaceDE w:val="0"/>
        <w:autoSpaceDN w:val="0"/>
        <w:adjustRightInd w:val="0"/>
        <w:spacing w:line="240" w:lineRule="auto"/>
        <w:rPr>
          <w:rFonts w:cs="Arial"/>
        </w:rPr>
      </w:pPr>
      <w:r w:rsidRPr="004B7BF5">
        <w:rPr>
          <w:rFonts w:cs="Arial"/>
          <w:bCs/>
          <w:szCs w:val="20"/>
        </w:rPr>
        <w:t>For non-residential customers, the discount rate is the weighted average cost of capital for companies (WACC) who use both debt and equity to fund their investments.</w:t>
      </w:r>
    </w:p>
    <w:p w14:paraId="0E8D47DE" w14:textId="77777777" w:rsidR="001A44C5" w:rsidRDefault="001A44C5" w:rsidP="001A44C5"/>
    <w:p w14:paraId="5D0ACED0" w14:textId="77777777" w:rsidR="00947B1F" w:rsidRDefault="007370A3" w:rsidP="00947B1F">
      <w:r>
        <w:t>In summary, t</w:t>
      </w:r>
      <w:r w:rsidR="00947B1F">
        <w:t xml:space="preserve">he Navigant team used the following inputs for the commercial and industrial cash flow model: </w:t>
      </w:r>
    </w:p>
    <w:p w14:paraId="02ACE020" w14:textId="77777777" w:rsidR="00947B1F" w:rsidRDefault="00947B1F" w:rsidP="00947B1F">
      <w:pPr>
        <w:rPr>
          <w:highlight w:val="yellow"/>
        </w:rPr>
      </w:pPr>
    </w:p>
    <w:p w14:paraId="3D1EE7F1" w14:textId="77777777" w:rsidR="00947B1F" w:rsidRDefault="00947B1F" w:rsidP="00947B1F">
      <w:pPr>
        <w:pStyle w:val="Caption"/>
      </w:pPr>
      <w:bookmarkStart w:id="728" w:name="_Toc482634236"/>
      <w:bookmarkStart w:id="729" w:name="_Toc484436977"/>
      <w:bookmarkStart w:id="730" w:name="_Toc485125688"/>
      <w:r>
        <w:t xml:space="preserve">Table </w:t>
      </w:r>
      <w:r w:rsidR="00272F76">
        <w:fldChar w:fldCharType="begin"/>
      </w:r>
      <w:r w:rsidR="00272F76">
        <w:instrText xml:space="preserve"> STYLEREF 1 \s </w:instrText>
      </w:r>
      <w:r w:rsidR="00272F76">
        <w:fldChar w:fldCharType="separate"/>
      </w:r>
      <w:r w:rsidR="00C407F4">
        <w:rPr>
          <w:noProof/>
        </w:rPr>
        <w:t>3</w:t>
      </w:r>
      <w:r w:rsidR="00272F76">
        <w:rPr>
          <w:noProof/>
        </w:rPr>
        <w:fldChar w:fldCharType="end"/>
      </w:r>
      <w:r w:rsidR="00C17D59">
        <w:noBreakHyphen/>
      </w:r>
      <w:r w:rsidR="00272F76">
        <w:fldChar w:fldCharType="begin"/>
      </w:r>
      <w:r w:rsidR="00272F76">
        <w:instrText xml:space="preserve"> SEQ Table \* ARABIC \s 1 </w:instrText>
      </w:r>
      <w:r w:rsidR="00272F76">
        <w:fldChar w:fldCharType="separate"/>
      </w:r>
      <w:r w:rsidR="00C407F4">
        <w:rPr>
          <w:noProof/>
        </w:rPr>
        <w:t>30</w:t>
      </w:r>
      <w:r w:rsidR="00272F76">
        <w:rPr>
          <w:noProof/>
        </w:rPr>
        <w:fldChar w:fldCharType="end"/>
      </w:r>
      <w:r>
        <w:t>. Key Inputs to Commercial and Industrial (C&amp;I) Financing Cash Flow Model</w:t>
      </w:r>
      <w:bookmarkEnd w:id="728"/>
      <w:bookmarkEnd w:id="729"/>
      <w:bookmarkEnd w:id="730"/>
    </w:p>
    <w:tbl>
      <w:tblPr>
        <w:tblStyle w:val="EnergyTable1"/>
        <w:tblW w:w="8203" w:type="dxa"/>
        <w:tblLook w:val="04A0" w:firstRow="1" w:lastRow="0" w:firstColumn="1" w:lastColumn="0" w:noHBand="0" w:noVBand="1"/>
      </w:tblPr>
      <w:tblGrid>
        <w:gridCol w:w="2229"/>
        <w:gridCol w:w="2407"/>
        <w:gridCol w:w="3567"/>
      </w:tblGrid>
      <w:tr w:rsidR="00947B1F" w:rsidRPr="005037D7" w14:paraId="1F202AE7" w14:textId="77777777" w:rsidTr="00110120">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229" w:type="dxa"/>
            <w:noWrap/>
            <w:hideMark/>
          </w:tcPr>
          <w:p w14:paraId="65B4EADB" w14:textId="77777777" w:rsidR="00947B1F" w:rsidRPr="005037D7" w:rsidRDefault="00947B1F" w:rsidP="00D22139">
            <w:pPr>
              <w:spacing w:line="240" w:lineRule="auto"/>
              <w:rPr>
                <w:rFonts w:ascii="Arial Narrow" w:hAnsi="Arial Narrow" w:cs="Arial"/>
                <w:bCs/>
                <w:color w:val="FFFFFF" w:themeColor="background1"/>
                <w:szCs w:val="20"/>
              </w:rPr>
            </w:pPr>
            <w:r w:rsidRPr="005037D7">
              <w:rPr>
                <w:rFonts w:ascii="Arial Narrow" w:hAnsi="Arial Narrow" w:cs="Arial"/>
                <w:bCs/>
                <w:color w:val="FFFFFF" w:themeColor="background1"/>
                <w:szCs w:val="20"/>
              </w:rPr>
              <w:t>Model Input</w:t>
            </w:r>
          </w:p>
        </w:tc>
        <w:tc>
          <w:tcPr>
            <w:tcW w:w="2407" w:type="dxa"/>
            <w:noWrap/>
            <w:hideMark/>
          </w:tcPr>
          <w:p w14:paraId="68A2D063" w14:textId="77777777" w:rsidR="00947B1F" w:rsidRPr="005037D7" w:rsidRDefault="00947B1F" w:rsidP="00D22139">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 xml:space="preserve">Assumption </w:t>
            </w:r>
          </w:p>
        </w:tc>
        <w:tc>
          <w:tcPr>
            <w:tcW w:w="3567" w:type="dxa"/>
            <w:noWrap/>
            <w:hideMark/>
          </w:tcPr>
          <w:p w14:paraId="49215755" w14:textId="77777777" w:rsidR="00947B1F" w:rsidRPr="005037D7" w:rsidRDefault="00947B1F" w:rsidP="00D22139">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Source</w:t>
            </w:r>
          </w:p>
        </w:tc>
      </w:tr>
      <w:tr w:rsidR="00947B1F" w:rsidRPr="005037D7" w14:paraId="75715F56" w14:textId="77777777" w:rsidTr="0011012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29" w:type="dxa"/>
            <w:noWrap/>
            <w:hideMark/>
          </w:tcPr>
          <w:p w14:paraId="301A9D49" w14:textId="77777777" w:rsidR="00947B1F" w:rsidRPr="005037D7" w:rsidRDefault="00947B1F" w:rsidP="00D22139">
            <w:pPr>
              <w:spacing w:line="240" w:lineRule="auto"/>
              <w:rPr>
                <w:rFonts w:ascii="Arial Narrow" w:hAnsi="Arial Narrow" w:cs="Calibri"/>
                <w:color w:val="000000"/>
                <w:szCs w:val="20"/>
              </w:rPr>
            </w:pPr>
            <w:r w:rsidRPr="005037D7">
              <w:rPr>
                <w:rFonts w:ascii="Arial Narrow" w:hAnsi="Arial Narrow" w:cs="Calibri"/>
                <w:color w:val="000000"/>
                <w:szCs w:val="20"/>
              </w:rPr>
              <w:t>Interest Rate</w:t>
            </w:r>
          </w:p>
        </w:tc>
        <w:tc>
          <w:tcPr>
            <w:tcW w:w="2407" w:type="dxa"/>
            <w:noWrap/>
            <w:hideMark/>
          </w:tcPr>
          <w:p w14:paraId="0810CA4C"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0%</w:t>
            </w:r>
          </w:p>
        </w:tc>
        <w:tc>
          <w:tcPr>
            <w:tcW w:w="3567" w:type="dxa"/>
            <w:hideMark/>
          </w:tcPr>
          <w:p w14:paraId="072D71BF"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California on-bill financing (OBF) program terms</w:t>
            </w:r>
          </w:p>
        </w:tc>
      </w:tr>
      <w:tr w:rsidR="00947B1F" w:rsidRPr="005037D7" w14:paraId="0176036F" w14:textId="77777777" w:rsidTr="0011012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29" w:type="dxa"/>
            <w:noWrap/>
            <w:hideMark/>
          </w:tcPr>
          <w:p w14:paraId="196353DD" w14:textId="77777777" w:rsidR="00947B1F" w:rsidRPr="005037D7" w:rsidRDefault="00947B1F" w:rsidP="00D22139">
            <w:pPr>
              <w:spacing w:line="240" w:lineRule="auto"/>
              <w:rPr>
                <w:rFonts w:ascii="Arial Narrow" w:hAnsi="Arial Narrow" w:cs="Calibri"/>
                <w:color w:val="000000"/>
                <w:szCs w:val="20"/>
              </w:rPr>
            </w:pPr>
            <w:r w:rsidRPr="005037D7">
              <w:rPr>
                <w:rFonts w:ascii="Arial Narrow" w:hAnsi="Arial Narrow" w:cs="Calibri"/>
                <w:color w:val="000000"/>
                <w:szCs w:val="20"/>
              </w:rPr>
              <w:t>Loan Term</w:t>
            </w:r>
          </w:p>
        </w:tc>
        <w:tc>
          <w:tcPr>
            <w:tcW w:w="2407" w:type="dxa"/>
            <w:noWrap/>
            <w:hideMark/>
          </w:tcPr>
          <w:p w14:paraId="1295153D" w14:textId="77777777" w:rsidR="00947B1F" w:rsidRPr="005037D7" w:rsidRDefault="002F07D3" w:rsidP="00D22139">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Pr>
                <w:rFonts w:ascii="Arial Narrow" w:hAnsi="Arial Narrow" w:cs="Calibri"/>
                <w:color w:val="000000"/>
                <w:szCs w:val="20"/>
              </w:rPr>
              <w:t>5</w:t>
            </w:r>
            <w:r w:rsidRPr="005037D7">
              <w:rPr>
                <w:rFonts w:ascii="Arial Narrow" w:hAnsi="Arial Narrow" w:cs="Calibri"/>
                <w:color w:val="000000"/>
                <w:szCs w:val="20"/>
              </w:rPr>
              <w:t xml:space="preserve"> </w:t>
            </w:r>
            <w:r w:rsidR="00947B1F" w:rsidRPr="005037D7">
              <w:rPr>
                <w:rFonts w:ascii="Arial Narrow" w:hAnsi="Arial Narrow" w:cs="Calibri"/>
                <w:color w:val="000000"/>
                <w:szCs w:val="20"/>
              </w:rPr>
              <w:t>years</w:t>
            </w:r>
          </w:p>
        </w:tc>
        <w:tc>
          <w:tcPr>
            <w:tcW w:w="3567" w:type="dxa"/>
            <w:hideMark/>
          </w:tcPr>
          <w:p w14:paraId="7C5C715D" w14:textId="77777777" w:rsidR="00947B1F" w:rsidRPr="005037D7" w:rsidRDefault="00947B1F" w:rsidP="00D22139">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California on-bill financing (OBF) program terms</w:t>
            </w:r>
          </w:p>
        </w:tc>
      </w:tr>
      <w:tr w:rsidR="00947B1F" w:rsidRPr="005037D7" w14:paraId="5F9F8A5F" w14:textId="77777777" w:rsidTr="0011012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229" w:type="dxa"/>
            <w:noWrap/>
            <w:hideMark/>
          </w:tcPr>
          <w:p w14:paraId="276E7C89" w14:textId="77777777" w:rsidR="00947B1F" w:rsidRPr="005037D7" w:rsidRDefault="00947B1F" w:rsidP="00D22139">
            <w:pPr>
              <w:spacing w:line="240" w:lineRule="auto"/>
              <w:rPr>
                <w:rFonts w:ascii="Arial Narrow" w:hAnsi="Arial Narrow" w:cs="Calibri"/>
                <w:color w:val="000000"/>
                <w:szCs w:val="20"/>
              </w:rPr>
            </w:pPr>
            <w:r w:rsidRPr="005037D7">
              <w:rPr>
                <w:rFonts w:ascii="Arial Narrow" w:hAnsi="Arial Narrow" w:cs="Calibri"/>
                <w:color w:val="000000"/>
                <w:szCs w:val="20"/>
              </w:rPr>
              <w:t>Discount Rate</w:t>
            </w:r>
          </w:p>
        </w:tc>
        <w:tc>
          <w:tcPr>
            <w:tcW w:w="2407" w:type="dxa"/>
            <w:noWrap/>
            <w:hideMark/>
          </w:tcPr>
          <w:p w14:paraId="54AC6AFC"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5.8%</w:t>
            </w:r>
          </w:p>
        </w:tc>
        <w:tc>
          <w:tcPr>
            <w:tcW w:w="3567" w:type="dxa"/>
            <w:hideMark/>
          </w:tcPr>
          <w:p w14:paraId="75913B5E"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 xml:space="preserve">2016 LBNL Commercial Discount Rate Estimation for Efficiency Standards </w:t>
            </w:r>
          </w:p>
        </w:tc>
      </w:tr>
    </w:tbl>
    <w:p w14:paraId="068C36DB" w14:textId="41DFF180" w:rsidR="001A44C5" w:rsidRPr="001A3C04" w:rsidRDefault="007E4D11" w:rsidP="001A44C5">
      <w:pPr>
        <w:pStyle w:val="Heading1"/>
      </w:pPr>
      <w:bookmarkStart w:id="731" w:name="_Toc478990525"/>
      <w:bookmarkStart w:id="732" w:name="_Toc479768603"/>
      <w:bookmarkStart w:id="733" w:name="_Toc482357329"/>
      <w:bookmarkStart w:id="734" w:name="_Toc482634304"/>
      <w:bookmarkStart w:id="735" w:name="_Toc482626436"/>
      <w:bookmarkStart w:id="736" w:name="_Toc484092508"/>
      <w:bookmarkStart w:id="737" w:name="_Toc484172714"/>
      <w:bookmarkStart w:id="738" w:name="_Toc484183050"/>
      <w:bookmarkStart w:id="739" w:name="_Toc485126571"/>
      <w:r>
        <w:lastRenderedPageBreak/>
        <w:t xml:space="preserve">2018 Study </w:t>
      </w:r>
      <w:r w:rsidR="001A44C5">
        <w:t>Results</w:t>
      </w:r>
      <w:bookmarkEnd w:id="731"/>
      <w:bookmarkEnd w:id="732"/>
      <w:bookmarkEnd w:id="733"/>
      <w:bookmarkEnd w:id="734"/>
      <w:bookmarkEnd w:id="735"/>
      <w:bookmarkEnd w:id="736"/>
      <w:bookmarkEnd w:id="737"/>
      <w:bookmarkEnd w:id="738"/>
      <w:bookmarkEnd w:id="739"/>
    </w:p>
    <w:p w14:paraId="4C2128F4" w14:textId="77777777" w:rsidR="008453C4" w:rsidRDefault="008453C4" w:rsidP="008453C4">
      <w:pPr>
        <w:pStyle w:val="Heading2"/>
      </w:pPr>
      <w:bookmarkStart w:id="740" w:name="_Ref484780219"/>
      <w:bookmarkStart w:id="741" w:name="_Toc485126572"/>
      <w:r>
        <w:t>Statewide Potential</w:t>
      </w:r>
      <w:bookmarkEnd w:id="740"/>
      <w:bookmarkEnd w:id="741"/>
    </w:p>
    <w:p w14:paraId="2F2CF7BA" w14:textId="77777777" w:rsidR="00595F4B" w:rsidRDefault="008453C4" w:rsidP="008453C4">
      <w:pPr>
        <w:jc w:val="both"/>
      </w:pPr>
      <w:bookmarkStart w:id="742" w:name="_Toc484092510"/>
      <w:bookmarkStart w:id="743" w:name="_Toc484172716"/>
      <w:r w:rsidRPr="00CD7CD4">
        <w:t>The following subsections summarize</w:t>
      </w:r>
      <w:r>
        <w:t xml:space="preserve"> sta</w:t>
      </w:r>
      <w:r w:rsidR="00595F4B">
        <w:t>tewide market potential results. F</w:t>
      </w:r>
      <w:r>
        <w:t xml:space="preserve">irst </w:t>
      </w:r>
      <w:r w:rsidR="00595F4B">
        <w:t xml:space="preserve">we compare </w:t>
      </w:r>
      <w:r>
        <w:t>scenario</w:t>
      </w:r>
      <w:r w:rsidR="00595F4B">
        <w:t xml:space="preserve"> results at a high level </w:t>
      </w:r>
      <w:r>
        <w:t xml:space="preserve">and then </w:t>
      </w:r>
      <w:r w:rsidR="00595F4B">
        <w:t>focus on the TRC | R</w:t>
      </w:r>
      <w:r>
        <w:t xml:space="preserve">eference </w:t>
      </w:r>
      <w:r w:rsidR="00595F4B">
        <w:t xml:space="preserve">scenario </w:t>
      </w:r>
      <w:r>
        <w:t xml:space="preserve">for </w:t>
      </w:r>
      <w:r w:rsidR="00595F4B">
        <w:t>more detailed discussion</w:t>
      </w:r>
      <w:r>
        <w:t xml:space="preserve">. These results are for all IOUs combined. The IOU breakdown for these savings can be found in the results viewer that accompanies this report (see section </w:t>
      </w:r>
      <w:r w:rsidR="00595F4B">
        <w:fldChar w:fldCharType="begin"/>
      </w:r>
      <w:r w:rsidR="00595F4B">
        <w:instrText xml:space="preserve"> REF _Ref484547410 \n \h </w:instrText>
      </w:r>
      <w:r w:rsidR="00595F4B">
        <w:fldChar w:fldCharType="separate"/>
      </w:r>
      <w:r w:rsidR="00C407F4">
        <w:t>4.2</w:t>
      </w:r>
      <w:r w:rsidR="00595F4B">
        <w:fldChar w:fldCharType="end"/>
      </w:r>
      <w:r w:rsidR="00595F4B">
        <w:t xml:space="preserve"> </w:t>
      </w:r>
      <w:r>
        <w:t xml:space="preserve">for details). </w:t>
      </w:r>
      <w:r w:rsidR="008B6027">
        <w:t xml:space="preserve">All results are presented as net savings. </w:t>
      </w:r>
      <w:r>
        <w:t xml:space="preserve">Note that the purpose of this report is to present the findings of our potential study, and not to establish goals as that is under the purview of the CPUC. As such, the scenario comparisons presented in the following subsection are meant to illustrate a range of potential that can </w:t>
      </w:r>
      <w:r w:rsidR="00595F4B">
        <w:t>be achieved based on our study.</w:t>
      </w:r>
    </w:p>
    <w:p w14:paraId="6B28614D" w14:textId="77777777" w:rsidR="00595F4B" w:rsidRDefault="00595F4B" w:rsidP="008453C4">
      <w:pPr>
        <w:jc w:val="both"/>
      </w:pPr>
    </w:p>
    <w:p w14:paraId="0729B2CC" w14:textId="77777777" w:rsidR="00595F4B" w:rsidRPr="00595F4B" w:rsidRDefault="00595F4B" w:rsidP="008453C4">
      <w:pPr>
        <w:jc w:val="both"/>
        <w:rPr>
          <w:highlight w:val="yellow"/>
        </w:rPr>
      </w:pPr>
      <w:r>
        <w:t xml:space="preserve">Graphs in this section focus on electric and gas savings. Peak demand savings are not illustrated though are quantified by the model. </w:t>
      </w:r>
      <w:r w:rsidR="00701124">
        <w:t>Full r</w:t>
      </w:r>
      <w:r>
        <w:t xml:space="preserve">esults </w:t>
      </w:r>
      <w:r w:rsidR="00701124">
        <w:t xml:space="preserve">for all scenarios and all utilities </w:t>
      </w:r>
      <w:r>
        <w:t xml:space="preserve">are </w:t>
      </w:r>
      <w:r w:rsidR="00701124">
        <w:t xml:space="preserve">available in the results viewer (discussed further in section </w:t>
      </w:r>
      <w:r w:rsidR="00701124">
        <w:fldChar w:fldCharType="begin"/>
      </w:r>
      <w:r w:rsidR="00701124">
        <w:instrText xml:space="preserve"> REF _Ref484764555 \n \h </w:instrText>
      </w:r>
      <w:r w:rsidR="00701124">
        <w:fldChar w:fldCharType="separate"/>
      </w:r>
      <w:r w:rsidR="00C407F4">
        <w:t>4.2</w:t>
      </w:r>
      <w:r w:rsidR="00701124">
        <w:fldChar w:fldCharType="end"/>
      </w:r>
      <w:r w:rsidR="00701124">
        <w:t>).</w:t>
      </w:r>
      <w:r>
        <w:t xml:space="preserve"> </w:t>
      </w:r>
    </w:p>
    <w:p w14:paraId="65BCFE45" w14:textId="77777777" w:rsidR="008453C4" w:rsidRDefault="008453C4" w:rsidP="008453C4">
      <w:pPr>
        <w:pStyle w:val="Heading3"/>
        <w:ind w:left="720" w:hanging="720"/>
      </w:pPr>
      <w:bookmarkStart w:id="744" w:name="_Toc484183052"/>
      <w:bookmarkStart w:id="745" w:name="_Toc485126573"/>
      <w:r>
        <w:t>Scenario Comparisons</w:t>
      </w:r>
      <w:bookmarkEnd w:id="742"/>
      <w:bookmarkEnd w:id="743"/>
      <w:bookmarkEnd w:id="744"/>
      <w:bookmarkEnd w:id="745"/>
    </w:p>
    <w:p w14:paraId="1E7385D2" w14:textId="77777777" w:rsidR="00C25BCB" w:rsidRDefault="00C961E4" w:rsidP="00C961E4">
      <w:pPr>
        <w:pStyle w:val="Heading4"/>
      </w:pPr>
      <w:r>
        <w:t>All Savings Sources</w:t>
      </w:r>
    </w:p>
    <w:p w14:paraId="50E17A37" w14:textId="65D7A923" w:rsidR="00C961E4" w:rsidRDefault="005B2ABA" w:rsidP="00C961E4">
      <w:r w:rsidRPr="005B2ABA">
        <w:fldChar w:fldCharType="begin"/>
      </w:r>
      <w:r w:rsidRPr="005B2ABA">
        <w:instrText xml:space="preserve"> REF _Ref484595708 \h  \* MERGEFORMAT </w:instrText>
      </w:r>
      <w:r w:rsidRPr="005B2ABA">
        <w:fldChar w:fldCharType="separate"/>
      </w:r>
      <w:r w:rsidR="00C407F4">
        <w:t xml:space="preserve">Table </w:t>
      </w:r>
      <w:r w:rsidR="00C407F4">
        <w:rPr>
          <w:noProof/>
        </w:rPr>
        <w:t>4</w:t>
      </w:r>
      <w:r w:rsidR="00C407F4">
        <w:rPr>
          <w:noProof/>
        </w:rPr>
        <w:noBreakHyphen/>
        <w:t>1</w:t>
      </w:r>
      <w:r w:rsidRPr="005B2ABA">
        <w:fldChar w:fldCharType="end"/>
      </w:r>
      <w:r w:rsidRPr="005B2ABA">
        <w:t xml:space="preserve"> </w:t>
      </w:r>
      <w:r w:rsidR="00A25F1A">
        <w:t>through</w:t>
      </w:r>
      <w:r w:rsidRPr="005B2ABA">
        <w:t xml:space="preserve"> </w:t>
      </w:r>
      <w:r w:rsidRPr="005B2ABA">
        <w:fldChar w:fldCharType="begin"/>
      </w:r>
      <w:r w:rsidRPr="005B2ABA">
        <w:instrText xml:space="preserve"> REF _Ref484595709 \h  \* MERGEFORMAT </w:instrText>
      </w:r>
      <w:r w:rsidRPr="005B2ABA">
        <w:fldChar w:fldCharType="separate"/>
      </w:r>
      <w:r w:rsidR="0017633B">
        <w:t xml:space="preserve">Table </w:t>
      </w:r>
      <w:r w:rsidR="0017633B">
        <w:rPr>
          <w:noProof/>
        </w:rPr>
        <w:t>4</w:t>
      </w:r>
      <w:r w:rsidR="0017633B">
        <w:rPr>
          <w:noProof/>
        </w:rPr>
        <w:noBreakHyphen/>
        <w:t>2</w:t>
      </w:r>
      <w:r w:rsidRPr="005B2ABA">
        <w:fldChar w:fldCharType="end"/>
      </w:r>
      <w:r w:rsidRPr="005B2ABA">
        <w:t xml:space="preserve"> </w:t>
      </w:r>
      <w:r>
        <w:t>show</w:t>
      </w:r>
      <w:r w:rsidRPr="005B2ABA">
        <w:t xml:space="preserve"> the total incremental</w:t>
      </w:r>
      <w:r w:rsidR="005C58F8">
        <w:t xml:space="preserve"> market</w:t>
      </w:r>
      <w:r w:rsidRPr="005B2ABA">
        <w:t xml:space="preserve"> potential from all savings sources by scenario. </w:t>
      </w:r>
      <w:r w:rsidR="005C58F8">
        <w:t>A few important notes about these results:</w:t>
      </w:r>
    </w:p>
    <w:p w14:paraId="751A8145" w14:textId="77777777" w:rsidR="005C58F8" w:rsidRDefault="005C58F8" w:rsidP="004E4E36">
      <w:pPr>
        <w:pStyle w:val="ListParagraph"/>
        <w:numPr>
          <w:ilvl w:val="0"/>
          <w:numId w:val="76"/>
        </w:numPr>
      </w:pPr>
      <w:r>
        <w:t xml:space="preserve">Rebate program savings are different for each scenario based on parameter discussed earlier in section </w:t>
      </w:r>
      <w:r>
        <w:fldChar w:fldCharType="begin"/>
      </w:r>
      <w:r>
        <w:instrText xml:space="preserve"> REF _Ref484595847 \n \h </w:instrText>
      </w:r>
      <w:r>
        <w:fldChar w:fldCharType="separate"/>
      </w:r>
      <w:r w:rsidR="00C407F4">
        <w:t>2.3.2</w:t>
      </w:r>
      <w:r>
        <w:fldChar w:fldCharType="end"/>
      </w:r>
      <w:r>
        <w:t xml:space="preserve">. Additional discussion of the variation in rebate program savings by scenario can be found in </w:t>
      </w:r>
      <w:r>
        <w:fldChar w:fldCharType="begin"/>
      </w:r>
      <w:r>
        <w:instrText xml:space="preserve"> REF _Ref484595952 \n \h </w:instrText>
      </w:r>
      <w:r>
        <w:fldChar w:fldCharType="separate"/>
      </w:r>
      <w:r w:rsidR="00C407F4">
        <w:t>4.1.1.2</w:t>
      </w:r>
      <w:r>
        <w:fldChar w:fldCharType="end"/>
      </w:r>
    </w:p>
    <w:p w14:paraId="14DE267C" w14:textId="77777777" w:rsidR="005C58F8" w:rsidRDefault="005C58F8" w:rsidP="004E4E36">
      <w:pPr>
        <w:pStyle w:val="ListParagraph"/>
        <w:numPr>
          <w:ilvl w:val="0"/>
          <w:numId w:val="76"/>
        </w:numPr>
      </w:pPr>
      <w:r>
        <w:t>BROs savings vary only in terms of Reference vs. Aggressive. Thus, four of the five scenarios have the same forecast of BROs savings.</w:t>
      </w:r>
      <w:r w:rsidRPr="005C58F8">
        <w:t xml:space="preserve"> </w:t>
      </w:r>
      <w:r>
        <w:t xml:space="preserve">Additional discussion of the variation in BROs savings by scenario can be found in </w:t>
      </w:r>
      <w:r>
        <w:fldChar w:fldCharType="begin"/>
      </w:r>
      <w:r>
        <w:instrText xml:space="preserve"> REF _Ref484595975 \n \h </w:instrText>
      </w:r>
      <w:r>
        <w:fldChar w:fldCharType="separate"/>
      </w:r>
      <w:r w:rsidR="00C407F4">
        <w:t>4.1.1.3</w:t>
      </w:r>
      <w:r>
        <w:fldChar w:fldCharType="end"/>
      </w:r>
      <w:r>
        <w:t>.</w:t>
      </w:r>
    </w:p>
    <w:p w14:paraId="2977249C" w14:textId="77777777" w:rsidR="005C58F8" w:rsidRDefault="005C58F8" w:rsidP="004E4E36">
      <w:pPr>
        <w:pStyle w:val="ListParagraph"/>
        <w:numPr>
          <w:ilvl w:val="0"/>
          <w:numId w:val="76"/>
        </w:numPr>
      </w:pPr>
      <w:r>
        <w:t xml:space="preserve">Codes and Standards and Low Income Savings do not vary by scenario. </w:t>
      </w:r>
    </w:p>
    <w:p w14:paraId="5AC44C09" w14:textId="77777777" w:rsidR="005C58F8" w:rsidRDefault="005C58F8" w:rsidP="005C58F8"/>
    <w:p w14:paraId="37A5ED88" w14:textId="77777777" w:rsidR="005C58F8" w:rsidRDefault="005C58F8" w:rsidP="005C58F8">
      <w:r>
        <w:t xml:space="preserve">Total savings are dominated by C&amp;S. Because C&amp;S savings do not vary by scenario, the overall variability in total savings may appear minimal. True variability in savings originates from Rebate Programs and BROs. </w:t>
      </w:r>
    </w:p>
    <w:p w14:paraId="73964256" w14:textId="77777777" w:rsidR="00D823AE" w:rsidRDefault="00D823AE" w:rsidP="005C58F8"/>
    <w:p w14:paraId="667BC577" w14:textId="10B45C4D" w:rsidR="00D823AE" w:rsidRPr="005B2ABA" w:rsidRDefault="00D823AE" w:rsidP="005C58F8">
      <w:r>
        <w:t xml:space="preserve">Versions of </w:t>
      </w:r>
      <w:r w:rsidRPr="005B2ABA">
        <w:fldChar w:fldCharType="begin"/>
      </w:r>
      <w:r w:rsidRPr="005B2ABA">
        <w:instrText xml:space="preserve"> REF _Ref484595708 \h  \* MERGEFORMAT </w:instrText>
      </w:r>
      <w:r w:rsidRPr="005B2ABA">
        <w:fldChar w:fldCharType="separate"/>
      </w:r>
      <w:r w:rsidR="00C407F4">
        <w:t xml:space="preserve">Table </w:t>
      </w:r>
      <w:r w:rsidR="00C407F4">
        <w:rPr>
          <w:noProof/>
        </w:rPr>
        <w:t>4</w:t>
      </w:r>
      <w:r w:rsidR="00C407F4">
        <w:rPr>
          <w:noProof/>
        </w:rPr>
        <w:noBreakHyphen/>
        <w:t>1</w:t>
      </w:r>
      <w:r w:rsidRPr="005B2ABA">
        <w:fldChar w:fldCharType="end"/>
      </w:r>
      <w:r w:rsidRPr="005B2ABA">
        <w:t xml:space="preserve"> </w:t>
      </w:r>
      <w:r w:rsidR="00A25F1A">
        <w:t>through</w:t>
      </w:r>
      <w:r w:rsidRPr="005B2ABA">
        <w:t xml:space="preserve"> </w:t>
      </w:r>
      <w:r w:rsidRPr="005B2ABA">
        <w:fldChar w:fldCharType="begin"/>
      </w:r>
      <w:r w:rsidRPr="005B2ABA">
        <w:instrText xml:space="preserve"> REF _Ref484595709 \h  \* MERGEFORMAT </w:instrText>
      </w:r>
      <w:r w:rsidRPr="005B2ABA">
        <w:fldChar w:fldCharType="separate"/>
      </w:r>
      <w:r w:rsidR="0017633B">
        <w:t xml:space="preserve">Table </w:t>
      </w:r>
      <w:r w:rsidR="0017633B">
        <w:rPr>
          <w:noProof/>
        </w:rPr>
        <w:t>4</w:t>
      </w:r>
      <w:r w:rsidR="0017633B">
        <w:rPr>
          <w:noProof/>
        </w:rPr>
        <w:noBreakHyphen/>
        <w:t>2</w:t>
      </w:r>
      <w:r w:rsidRPr="005B2ABA">
        <w:fldChar w:fldCharType="end"/>
      </w:r>
      <w:r>
        <w:t xml:space="preserve"> for each IOU can be found in </w:t>
      </w:r>
      <w:r>
        <w:fldChar w:fldCharType="begin"/>
      </w:r>
      <w:r>
        <w:instrText xml:space="preserve"> REF _Ref484597640 \n \h </w:instrText>
      </w:r>
      <w:r>
        <w:fldChar w:fldCharType="separate"/>
      </w:r>
      <w:r w:rsidR="00C407F4">
        <w:t>Appendix G</w:t>
      </w:r>
      <w:r>
        <w:fldChar w:fldCharType="end"/>
      </w:r>
      <w:r>
        <w:t>.</w:t>
      </w:r>
    </w:p>
    <w:p w14:paraId="3553598C" w14:textId="77777777" w:rsidR="00C25BCB" w:rsidRDefault="00C25BCB" w:rsidP="00C25BCB">
      <w:pPr>
        <w:pStyle w:val="Caption"/>
      </w:pPr>
      <w:bookmarkStart w:id="746" w:name="_Ref484595708"/>
      <w:bookmarkStart w:id="747" w:name="_Toc485125689"/>
      <w:r>
        <w:lastRenderedPageBreak/>
        <w:t xml:space="preserve">Table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C407F4">
        <w:rPr>
          <w:noProof/>
        </w:rPr>
        <w:t>1</w:t>
      </w:r>
      <w:r w:rsidR="00272F76">
        <w:rPr>
          <w:noProof/>
        </w:rPr>
        <w:fldChar w:fldCharType="end"/>
      </w:r>
      <w:bookmarkEnd w:id="746"/>
      <w:r>
        <w:t>. Statewide Incremental Electric Savings by Scenario</w:t>
      </w:r>
      <w:bookmarkEnd w:id="747"/>
    </w:p>
    <w:tbl>
      <w:tblPr>
        <w:tblStyle w:val="EnergyTable1"/>
        <w:tblW w:w="10182" w:type="dxa"/>
        <w:tblLook w:val="04A0" w:firstRow="1" w:lastRow="0" w:firstColumn="1" w:lastColumn="0" w:noHBand="0" w:noVBand="1"/>
      </w:tblPr>
      <w:tblGrid>
        <w:gridCol w:w="910"/>
        <w:gridCol w:w="713"/>
        <w:gridCol w:w="713"/>
        <w:gridCol w:w="713"/>
        <w:gridCol w:w="713"/>
        <w:gridCol w:w="713"/>
        <w:gridCol w:w="713"/>
        <w:gridCol w:w="713"/>
        <w:gridCol w:w="713"/>
        <w:gridCol w:w="713"/>
        <w:gridCol w:w="713"/>
        <w:gridCol w:w="713"/>
        <w:gridCol w:w="713"/>
        <w:gridCol w:w="716"/>
      </w:tblGrid>
      <w:tr w:rsidR="00C25BCB" w:rsidRPr="00C25BCB" w14:paraId="4771C7D5" w14:textId="77777777" w:rsidTr="00C25BCB">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182" w:type="dxa"/>
            <w:gridSpan w:val="14"/>
            <w:noWrap/>
            <w:hideMark/>
          </w:tcPr>
          <w:p w14:paraId="599F183D" w14:textId="77777777" w:rsidR="00C25BCB" w:rsidRPr="00C25BCB" w:rsidRDefault="00C25BCB" w:rsidP="00C25BCB">
            <w:pPr>
              <w:keepNext/>
              <w:spacing w:line="240" w:lineRule="auto"/>
              <w:rPr>
                <w:rFonts w:ascii="Arial Narrow" w:hAnsi="Arial Narrow" w:cs="Calibri"/>
                <w:bCs/>
                <w:sz w:val="18"/>
                <w:szCs w:val="18"/>
              </w:rPr>
            </w:pPr>
            <w:r w:rsidRPr="00C25BCB">
              <w:rPr>
                <w:rFonts w:ascii="Arial Narrow" w:hAnsi="Arial Narrow" w:cs="Calibri"/>
                <w:bCs/>
                <w:sz w:val="18"/>
                <w:szCs w:val="18"/>
              </w:rPr>
              <w:t>Electric Energy (GWh/year)</w:t>
            </w:r>
          </w:p>
        </w:tc>
      </w:tr>
      <w:tr w:rsidR="00C25BCB" w:rsidRPr="00C25BCB" w14:paraId="686464CF"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730C10E4"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Year</w:t>
            </w:r>
          </w:p>
        </w:tc>
        <w:tc>
          <w:tcPr>
            <w:tcW w:w="713" w:type="dxa"/>
            <w:noWrap/>
            <w:hideMark/>
          </w:tcPr>
          <w:p w14:paraId="30F0E4DA"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2018</w:t>
            </w:r>
          </w:p>
        </w:tc>
        <w:tc>
          <w:tcPr>
            <w:tcW w:w="713" w:type="dxa"/>
            <w:noWrap/>
            <w:hideMark/>
          </w:tcPr>
          <w:p w14:paraId="248859EF"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2019</w:t>
            </w:r>
          </w:p>
        </w:tc>
        <w:tc>
          <w:tcPr>
            <w:tcW w:w="713" w:type="dxa"/>
            <w:noWrap/>
            <w:hideMark/>
          </w:tcPr>
          <w:p w14:paraId="1DEEFE64"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2020</w:t>
            </w:r>
          </w:p>
        </w:tc>
        <w:tc>
          <w:tcPr>
            <w:tcW w:w="713" w:type="dxa"/>
            <w:noWrap/>
            <w:hideMark/>
          </w:tcPr>
          <w:p w14:paraId="74A210A0"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2021</w:t>
            </w:r>
          </w:p>
        </w:tc>
        <w:tc>
          <w:tcPr>
            <w:tcW w:w="713" w:type="dxa"/>
            <w:noWrap/>
            <w:hideMark/>
          </w:tcPr>
          <w:p w14:paraId="0864C336"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2022</w:t>
            </w:r>
          </w:p>
        </w:tc>
        <w:tc>
          <w:tcPr>
            <w:tcW w:w="713" w:type="dxa"/>
            <w:noWrap/>
            <w:hideMark/>
          </w:tcPr>
          <w:p w14:paraId="1CA1B67A"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2023</w:t>
            </w:r>
          </w:p>
        </w:tc>
        <w:tc>
          <w:tcPr>
            <w:tcW w:w="713" w:type="dxa"/>
            <w:noWrap/>
            <w:hideMark/>
          </w:tcPr>
          <w:p w14:paraId="02E22138"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2024</w:t>
            </w:r>
          </w:p>
        </w:tc>
        <w:tc>
          <w:tcPr>
            <w:tcW w:w="713" w:type="dxa"/>
            <w:noWrap/>
            <w:hideMark/>
          </w:tcPr>
          <w:p w14:paraId="38210BFB"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2025</w:t>
            </w:r>
          </w:p>
        </w:tc>
        <w:tc>
          <w:tcPr>
            <w:tcW w:w="713" w:type="dxa"/>
            <w:noWrap/>
            <w:hideMark/>
          </w:tcPr>
          <w:p w14:paraId="66D55D39"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2026</w:t>
            </w:r>
          </w:p>
        </w:tc>
        <w:tc>
          <w:tcPr>
            <w:tcW w:w="713" w:type="dxa"/>
            <w:noWrap/>
            <w:hideMark/>
          </w:tcPr>
          <w:p w14:paraId="226637AA"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2027</w:t>
            </w:r>
          </w:p>
        </w:tc>
        <w:tc>
          <w:tcPr>
            <w:tcW w:w="713" w:type="dxa"/>
            <w:noWrap/>
            <w:hideMark/>
          </w:tcPr>
          <w:p w14:paraId="46723412"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2028</w:t>
            </w:r>
          </w:p>
        </w:tc>
        <w:tc>
          <w:tcPr>
            <w:tcW w:w="713" w:type="dxa"/>
            <w:noWrap/>
            <w:hideMark/>
          </w:tcPr>
          <w:p w14:paraId="2644830A"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2029</w:t>
            </w:r>
          </w:p>
        </w:tc>
        <w:tc>
          <w:tcPr>
            <w:tcW w:w="713" w:type="dxa"/>
            <w:noWrap/>
            <w:hideMark/>
          </w:tcPr>
          <w:p w14:paraId="2D63CAB6" w14:textId="77777777" w:rsidR="00C25BCB" w:rsidRPr="00C25BCB" w:rsidRDefault="00C25BCB" w:rsidP="00C25BCB">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2030</w:t>
            </w:r>
          </w:p>
        </w:tc>
      </w:tr>
      <w:tr w:rsidR="00C25BCB" w:rsidRPr="00C25BCB" w14:paraId="2E7C8FC5" w14:textId="77777777" w:rsidTr="00C961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182" w:type="dxa"/>
            <w:gridSpan w:val="14"/>
            <w:shd w:val="clear" w:color="auto" w:fill="DADADA" w:themeFill="background2" w:themeFillShade="E6"/>
            <w:noWrap/>
            <w:hideMark/>
          </w:tcPr>
          <w:p w14:paraId="6E7C37FB"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TRC | Reference</w:t>
            </w:r>
          </w:p>
        </w:tc>
      </w:tr>
      <w:tr w:rsidR="00C25BCB" w:rsidRPr="00C25BCB" w14:paraId="78BD72D9" w14:textId="77777777" w:rsidTr="00C25BC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7BA44E81"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Rebate Programs</w:t>
            </w:r>
          </w:p>
        </w:tc>
        <w:tc>
          <w:tcPr>
            <w:tcW w:w="713" w:type="dxa"/>
            <w:noWrap/>
            <w:hideMark/>
          </w:tcPr>
          <w:p w14:paraId="6964B82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652.7</w:t>
            </w:r>
          </w:p>
        </w:tc>
        <w:tc>
          <w:tcPr>
            <w:tcW w:w="713" w:type="dxa"/>
            <w:noWrap/>
            <w:hideMark/>
          </w:tcPr>
          <w:p w14:paraId="57FA865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705.3</w:t>
            </w:r>
          </w:p>
        </w:tc>
        <w:tc>
          <w:tcPr>
            <w:tcW w:w="713" w:type="dxa"/>
            <w:noWrap/>
            <w:hideMark/>
          </w:tcPr>
          <w:p w14:paraId="41018CD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680.1</w:t>
            </w:r>
          </w:p>
        </w:tc>
        <w:tc>
          <w:tcPr>
            <w:tcW w:w="713" w:type="dxa"/>
            <w:noWrap/>
            <w:hideMark/>
          </w:tcPr>
          <w:p w14:paraId="7384823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755.6</w:t>
            </w:r>
          </w:p>
        </w:tc>
        <w:tc>
          <w:tcPr>
            <w:tcW w:w="713" w:type="dxa"/>
            <w:noWrap/>
            <w:hideMark/>
          </w:tcPr>
          <w:p w14:paraId="3D83A88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775.9</w:t>
            </w:r>
          </w:p>
        </w:tc>
        <w:tc>
          <w:tcPr>
            <w:tcW w:w="713" w:type="dxa"/>
            <w:noWrap/>
            <w:hideMark/>
          </w:tcPr>
          <w:p w14:paraId="7EE63B1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799.8</w:t>
            </w:r>
          </w:p>
        </w:tc>
        <w:tc>
          <w:tcPr>
            <w:tcW w:w="713" w:type="dxa"/>
            <w:noWrap/>
            <w:hideMark/>
          </w:tcPr>
          <w:p w14:paraId="61766DB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849.2</w:t>
            </w:r>
          </w:p>
        </w:tc>
        <w:tc>
          <w:tcPr>
            <w:tcW w:w="713" w:type="dxa"/>
            <w:noWrap/>
            <w:hideMark/>
          </w:tcPr>
          <w:p w14:paraId="175D2AC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876.0</w:t>
            </w:r>
          </w:p>
        </w:tc>
        <w:tc>
          <w:tcPr>
            <w:tcW w:w="713" w:type="dxa"/>
            <w:noWrap/>
            <w:hideMark/>
          </w:tcPr>
          <w:p w14:paraId="6C3FE25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893.3</w:t>
            </w:r>
          </w:p>
        </w:tc>
        <w:tc>
          <w:tcPr>
            <w:tcW w:w="713" w:type="dxa"/>
            <w:noWrap/>
            <w:hideMark/>
          </w:tcPr>
          <w:p w14:paraId="69DA5A8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900.4</w:t>
            </w:r>
          </w:p>
        </w:tc>
        <w:tc>
          <w:tcPr>
            <w:tcW w:w="713" w:type="dxa"/>
            <w:noWrap/>
            <w:hideMark/>
          </w:tcPr>
          <w:p w14:paraId="78D0A95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906.9</w:t>
            </w:r>
          </w:p>
        </w:tc>
        <w:tc>
          <w:tcPr>
            <w:tcW w:w="713" w:type="dxa"/>
            <w:noWrap/>
            <w:hideMark/>
          </w:tcPr>
          <w:p w14:paraId="77FC56F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905.2</w:t>
            </w:r>
          </w:p>
        </w:tc>
        <w:tc>
          <w:tcPr>
            <w:tcW w:w="713" w:type="dxa"/>
            <w:noWrap/>
            <w:hideMark/>
          </w:tcPr>
          <w:p w14:paraId="26A08FE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901.2</w:t>
            </w:r>
          </w:p>
        </w:tc>
      </w:tr>
      <w:tr w:rsidR="00C25BCB" w:rsidRPr="00C25BCB" w14:paraId="54C39C5C" w14:textId="77777777" w:rsidTr="00C25BC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16EBD82F" w14:textId="77777777" w:rsidR="00C25BCB" w:rsidRPr="00C25BCB" w:rsidRDefault="00C961E4" w:rsidP="00C25BCB">
            <w:pPr>
              <w:keepNext/>
              <w:spacing w:line="240" w:lineRule="auto"/>
              <w:rPr>
                <w:rFonts w:ascii="Arial Narrow" w:hAnsi="Arial Narrow" w:cs="Calibri"/>
                <w:b/>
                <w:bCs/>
                <w:sz w:val="18"/>
                <w:szCs w:val="18"/>
              </w:rPr>
            </w:pPr>
            <w:r>
              <w:rPr>
                <w:rFonts w:ascii="Arial Narrow" w:hAnsi="Arial Narrow" w:cs="Calibri"/>
                <w:b/>
                <w:bCs/>
                <w:sz w:val="18"/>
                <w:szCs w:val="18"/>
              </w:rPr>
              <w:t>C&amp;S</w:t>
            </w:r>
          </w:p>
        </w:tc>
        <w:tc>
          <w:tcPr>
            <w:tcW w:w="713" w:type="dxa"/>
            <w:noWrap/>
            <w:hideMark/>
          </w:tcPr>
          <w:p w14:paraId="70D14588"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1,507.9</w:t>
            </w:r>
          </w:p>
        </w:tc>
        <w:tc>
          <w:tcPr>
            <w:tcW w:w="713" w:type="dxa"/>
            <w:noWrap/>
            <w:hideMark/>
          </w:tcPr>
          <w:p w14:paraId="27657708"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1,544.8</w:t>
            </w:r>
          </w:p>
        </w:tc>
        <w:tc>
          <w:tcPr>
            <w:tcW w:w="713" w:type="dxa"/>
            <w:noWrap/>
            <w:hideMark/>
          </w:tcPr>
          <w:p w14:paraId="7A9434DC"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1,527.3</w:t>
            </w:r>
          </w:p>
        </w:tc>
        <w:tc>
          <w:tcPr>
            <w:tcW w:w="713" w:type="dxa"/>
            <w:noWrap/>
            <w:hideMark/>
          </w:tcPr>
          <w:p w14:paraId="22BCDCA7"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1,580.1</w:t>
            </w:r>
          </w:p>
        </w:tc>
        <w:tc>
          <w:tcPr>
            <w:tcW w:w="713" w:type="dxa"/>
            <w:noWrap/>
            <w:hideMark/>
          </w:tcPr>
          <w:p w14:paraId="4269A88B"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1,546.4</w:t>
            </w:r>
          </w:p>
        </w:tc>
        <w:tc>
          <w:tcPr>
            <w:tcW w:w="713" w:type="dxa"/>
            <w:noWrap/>
            <w:hideMark/>
          </w:tcPr>
          <w:p w14:paraId="6A73A6F9"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1,686.3</w:t>
            </w:r>
          </w:p>
        </w:tc>
        <w:tc>
          <w:tcPr>
            <w:tcW w:w="713" w:type="dxa"/>
            <w:noWrap/>
            <w:hideMark/>
          </w:tcPr>
          <w:p w14:paraId="71D98D6C"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1,622.6</w:t>
            </w:r>
          </w:p>
        </w:tc>
        <w:tc>
          <w:tcPr>
            <w:tcW w:w="713" w:type="dxa"/>
            <w:noWrap/>
            <w:hideMark/>
          </w:tcPr>
          <w:p w14:paraId="421368D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1,578.2</w:t>
            </w:r>
          </w:p>
        </w:tc>
        <w:tc>
          <w:tcPr>
            <w:tcW w:w="713" w:type="dxa"/>
            <w:noWrap/>
            <w:hideMark/>
          </w:tcPr>
          <w:p w14:paraId="7DA8C1B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1,501.6</w:t>
            </w:r>
          </w:p>
        </w:tc>
        <w:tc>
          <w:tcPr>
            <w:tcW w:w="713" w:type="dxa"/>
            <w:noWrap/>
            <w:hideMark/>
          </w:tcPr>
          <w:p w14:paraId="4E1C4E4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1,461.7</w:t>
            </w:r>
          </w:p>
        </w:tc>
        <w:tc>
          <w:tcPr>
            <w:tcW w:w="713" w:type="dxa"/>
            <w:noWrap/>
            <w:hideMark/>
          </w:tcPr>
          <w:p w14:paraId="2EF356F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1,360.6</w:t>
            </w:r>
          </w:p>
        </w:tc>
        <w:tc>
          <w:tcPr>
            <w:tcW w:w="713" w:type="dxa"/>
            <w:noWrap/>
            <w:hideMark/>
          </w:tcPr>
          <w:p w14:paraId="485B96B9"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1,239.9</w:t>
            </w:r>
          </w:p>
        </w:tc>
        <w:tc>
          <w:tcPr>
            <w:tcW w:w="713" w:type="dxa"/>
            <w:noWrap/>
            <w:hideMark/>
          </w:tcPr>
          <w:p w14:paraId="7CB2070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1,118.1</w:t>
            </w:r>
          </w:p>
        </w:tc>
      </w:tr>
      <w:tr w:rsidR="00C25BCB" w:rsidRPr="00C25BCB" w14:paraId="2A7F01D0"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6F525DF2"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BROs</w:t>
            </w:r>
          </w:p>
        </w:tc>
        <w:tc>
          <w:tcPr>
            <w:tcW w:w="713" w:type="dxa"/>
            <w:noWrap/>
            <w:hideMark/>
          </w:tcPr>
          <w:p w14:paraId="45EAF5A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213.3</w:t>
            </w:r>
          </w:p>
        </w:tc>
        <w:tc>
          <w:tcPr>
            <w:tcW w:w="713" w:type="dxa"/>
            <w:noWrap/>
            <w:hideMark/>
          </w:tcPr>
          <w:p w14:paraId="61DF523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270.2</w:t>
            </w:r>
          </w:p>
        </w:tc>
        <w:tc>
          <w:tcPr>
            <w:tcW w:w="713" w:type="dxa"/>
            <w:noWrap/>
            <w:hideMark/>
          </w:tcPr>
          <w:p w14:paraId="4F61476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302.7</w:t>
            </w:r>
          </w:p>
        </w:tc>
        <w:tc>
          <w:tcPr>
            <w:tcW w:w="713" w:type="dxa"/>
            <w:noWrap/>
            <w:hideMark/>
          </w:tcPr>
          <w:p w14:paraId="61FCB18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338.9</w:t>
            </w:r>
          </w:p>
        </w:tc>
        <w:tc>
          <w:tcPr>
            <w:tcW w:w="713" w:type="dxa"/>
            <w:noWrap/>
            <w:hideMark/>
          </w:tcPr>
          <w:p w14:paraId="3632641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365.1</w:t>
            </w:r>
          </w:p>
        </w:tc>
        <w:tc>
          <w:tcPr>
            <w:tcW w:w="713" w:type="dxa"/>
            <w:noWrap/>
            <w:hideMark/>
          </w:tcPr>
          <w:p w14:paraId="463702C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390.3</w:t>
            </w:r>
          </w:p>
        </w:tc>
        <w:tc>
          <w:tcPr>
            <w:tcW w:w="713" w:type="dxa"/>
            <w:noWrap/>
            <w:hideMark/>
          </w:tcPr>
          <w:p w14:paraId="477345A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416.6</w:t>
            </w:r>
          </w:p>
        </w:tc>
        <w:tc>
          <w:tcPr>
            <w:tcW w:w="713" w:type="dxa"/>
            <w:noWrap/>
            <w:hideMark/>
          </w:tcPr>
          <w:p w14:paraId="2C43963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454.1</w:t>
            </w:r>
          </w:p>
        </w:tc>
        <w:tc>
          <w:tcPr>
            <w:tcW w:w="713" w:type="dxa"/>
            <w:noWrap/>
            <w:hideMark/>
          </w:tcPr>
          <w:p w14:paraId="37E7B76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485.6</w:t>
            </w:r>
          </w:p>
        </w:tc>
        <w:tc>
          <w:tcPr>
            <w:tcW w:w="713" w:type="dxa"/>
            <w:noWrap/>
            <w:hideMark/>
          </w:tcPr>
          <w:p w14:paraId="4F74571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518.3</w:t>
            </w:r>
          </w:p>
        </w:tc>
        <w:tc>
          <w:tcPr>
            <w:tcW w:w="713" w:type="dxa"/>
            <w:noWrap/>
            <w:hideMark/>
          </w:tcPr>
          <w:p w14:paraId="3D3EEC2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551.8</w:t>
            </w:r>
          </w:p>
        </w:tc>
        <w:tc>
          <w:tcPr>
            <w:tcW w:w="713" w:type="dxa"/>
            <w:noWrap/>
            <w:hideMark/>
          </w:tcPr>
          <w:p w14:paraId="31F7186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586.7</w:t>
            </w:r>
          </w:p>
        </w:tc>
        <w:tc>
          <w:tcPr>
            <w:tcW w:w="713" w:type="dxa"/>
            <w:noWrap/>
            <w:hideMark/>
          </w:tcPr>
          <w:p w14:paraId="6F6FAE4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618.3</w:t>
            </w:r>
          </w:p>
        </w:tc>
      </w:tr>
      <w:tr w:rsidR="00C25BCB" w:rsidRPr="00C25BCB" w14:paraId="4419A696" w14:textId="77777777" w:rsidTr="00C25BC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65755ECE"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Low Income</w:t>
            </w:r>
          </w:p>
        </w:tc>
        <w:tc>
          <w:tcPr>
            <w:tcW w:w="713" w:type="dxa"/>
            <w:noWrap/>
            <w:hideMark/>
          </w:tcPr>
          <w:p w14:paraId="62C2E14C"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56.8</w:t>
            </w:r>
          </w:p>
        </w:tc>
        <w:tc>
          <w:tcPr>
            <w:tcW w:w="713" w:type="dxa"/>
            <w:noWrap/>
            <w:hideMark/>
          </w:tcPr>
          <w:p w14:paraId="6949FFF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57.3</w:t>
            </w:r>
          </w:p>
        </w:tc>
        <w:tc>
          <w:tcPr>
            <w:tcW w:w="713" w:type="dxa"/>
            <w:noWrap/>
            <w:hideMark/>
          </w:tcPr>
          <w:p w14:paraId="56EE95E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57.0</w:t>
            </w:r>
          </w:p>
        </w:tc>
        <w:tc>
          <w:tcPr>
            <w:tcW w:w="713" w:type="dxa"/>
            <w:noWrap/>
            <w:hideMark/>
          </w:tcPr>
          <w:p w14:paraId="19F8B41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752126D9"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3DC4CE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057E9CA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654B58C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6999C0B"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E040BF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C4CD96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4B3C2A5D"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E32209A"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r>
      <w:tr w:rsidR="00C25BCB" w:rsidRPr="00C25BCB" w14:paraId="5D66F2DB"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27189EE3"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Total</w:t>
            </w:r>
          </w:p>
        </w:tc>
        <w:tc>
          <w:tcPr>
            <w:tcW w:w="713" w:type="dxa"/>
            <w:noWrap/>
            <w:hideMark/>
          </w:tcPr>
          <w:p w14:paraId="76942E7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2,430.7</w:t>
            </w:r>
          </w:p>
        </w:tc>
        <w:tc>
          <w:tcPr>
            <w:tcW w:w="713" w:type="dxa"/>
            <w:noWrap/>
            <w:hideMark/>
          </w:tcPr>
          <w:p w14:paraId="2DC8BBA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2,577.5</w:t>
            </w:r>
          </w:p>
        </w:tc>
        <w:tc>
          <w:tcPr>
            <w:tcW w:w="713" w:type="dxa"/>
            <w:noWrap/>
            <w:hideMark/>
          </w:tcPr>
          <w:p w14:paraId="08D3660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2,567.2</w:t>
            </w:r>
          </w:p>
        </w:tc>
        <w:tc>
          <w:tcPr>
            <w:tcW w:w="713" w:type="dxa"/>
            <w:noWrap/>
            <w:hideMark/>
          </w:tcPr>
          <w:p w14:paraId="30FD35F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2,707.3</w:t>
            </w:r>
          </w:p>
        </w:tc>
        <w:tc>
          <w:tcPr>
            <w:tcW w:w="713" w:type="dxa"/>
            <w:noWrap/>
            <w:hideMark/>
          </w:tcPr>
          <w:p w14:paraId="7D0D0DE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2,720.1</w:t>
            </w:r>
          </w:p>
        </w:tc>
        <w:tc>
          <w:tcPr>
            <w:tcW w:w="713" w:type="dxa"/>
            <w:noWrap/>
            <w:hideMark/>
          </w:tcPr>
          <w:p w14:paraId="78DABBA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2,909.1</w:t>
            </w:r>
          </w:p>
        </w:tc>
        <w:tc>
          <w:tcPr>
            <w:tcW w:w="713" w:type="dxa"/>
            <w:noWrap/>
            <w:hideMark/>
          </w:tcPr>
          <w:p w14:paraId="7A5D7E4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2,921.1</w:t>
            </w:r>
          </w:p>
        </w:tc>
        <w:tc>
          <w:tcPr>
            <w:tcW w:w="713" w:type="dxa"/>
            <w:noWrap/>
            <w:hideMark/>
          </w:tcPr>
          <w:p w14:paraId="6FC28C2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2,941.0</w:t>
            </w:r>
          </w:p>
        </w:tc>
        <w:tc>
          <w:tcPr>
            <w:tcW w:w="713" w:type="dxa"/>
            <w:noWrap/>
            <w:hideMark/>
          </w:tcPr>
          <w:p w14:paraId="1587F26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2,913.3</w:t>
            </w:r>
          </w:p>
        </w:tc>
        <w:tc>
          <w:tcPr>
            <w:tcW w:w="713" w:type="dxa"/>
            <w:noWrap/>
            <w:hideMark/>
          </w:tcPr>
          <w:p w14:paraId="1B6B872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2,913.1</w:t>
            </w:r>
          </w:p>
        </w:tc>
        <w:tc>
          <w:tcPr>
            <w:tcW w:w="713" w:type="dxa"/>
            <w:noWrap/>
            <w:hideMark/>
          </w:tcPr>
          <w:p w14:paraId="072DABC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2,852.0</w:t>
            </w:r>
          </w:p>
        </w:tc>
        <w:tc>
          <w:tcPr>
            <w:tcW w:w="713" w:type="dxa"/>
            <w:noWrap/>
            <w:hideMark/>
          </w:tcPr>
          <w:p w14:paraId="7E24CB3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2,764.5</w:t>
            </w:r>
          </w:p>
        </w:tc>
        <w:tc>
          <w:tcPr>
            <w:tcW w:w="713" w:type="dxa"/>
            <w:noWrap/>
            <w:hideMark/>
          </w:tcPr>
          <w:p w14:paraId="6495AEF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2,670.4</w:t>
            </w:r>
          </w:p>
        </w:tc>
      </w:tr>
      <w:tr w:rsidR="00C25BCB" w:rsidRPr="00C25BCB" w14:paraId="270356AF" w14:textId="77777777" w:rsidTr="00C961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182" w:type="dxa"/>
            <w:gridSpan w:val="14"/>
            <w:shd w:val="clear" w:color="auto" w:fill="DADADA" w:themeFill="background2" w:themeFillShade="E6"/>
            <w:noWrap/>
            <w:hideMark/>
          </w:tcPr>
          <w:p w14:paraId="517F9852"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mTRC (GHG adder 1) | Reference</w:t>
            </w:r>
          </w:p>
        </w:tc>
      </w:tr>
      <w:tr w:rsidR="00C25BCB" w:rsidRPr="00C25BCB" w14:paraId="646D015D" w14:textId="77777777" w:rsidTr="00C25BC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462149B2"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Rebate Programs</w:t>
            </w:r>
          </w:p>
        </w:tc>
        <w:tc>
          <w:tcPr>
            <w:tcW w:w="713" w:type="dxa"/>
            <w:noWrap/>
            <w:hideMark/>
          </w:tcPr>
          <w:p w14:paraId="06150E8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698.8</w:t>
            </w:r>
          </w:p>
        </w:tc>
        <w:tc>
          <w:tcPr>
            <w:tcW w:w="713" w:type="dxa"/>
            <w:noWrap/>
            <w:hideMark/>
          </w:tcPr>
          <w:p w14:paraId="70DA205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777.7</w:t>
            </w:r>
          </w:p>
        </w:tc>
        <w:tc>
          <w:tcPr>
            <w:tcW w:w="713" w:type="dxa"/>
            <w:noWrap/>
            <w:hideMark/>
          </w:tcPr>
          <w:p w14:paraId="7B185DC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755.1</w:t>
            </w:r>
          </w:p>
        </w:tc>
        <w:tc>
          <w:tcPr>
            <w:tcW w:w="713" w:type="dxa"/>
            <w:noWrap/>
            <w:hideMark/>
          </w:tcPr>
          <w:p w14:paraId="70D2C54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832.3</w:t>
            </w:r>
          </w:p>
        </w:tc>
        <w:tc>
          <w:tcPr>
            <w:tcW w:w="713" w:type="dxa"/>
            <w:noWrap/>
            <w:hideMark/>
          </w:tcPr>
          <w:p w14:paraId="60E820B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844.6</w:t>
            </w:r>
          </w:p>
        </w:tc>
        <w:tc>
          <w:tcPr>
            <w:tcW w:w="713" w:type="dxa"/>
            <w:noWrap/>
            <w:hideMark/>
          </w:tcPr>
          <w:p w14:paraId="443C1586"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865.1</w:t>
            </w:r>
          </w:p>
        </w:tc>
        <w:tc>
          <w:tcPr>
            <w:tcW w:w="713" w:type="dxa"/>
            <w:noWrap/>
            <w:hideMark/>
          </w:tcPr>
          <w:p w14:paraId="501297F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911.0</w:t>
            </w:r>
          </w:p>
        </w:tc>
        <w:tc>
          <w:tcPr>
            <w:tcW w:w="713" w:type="dxa"/>
            <w:noWrap/>
            <w:hideMark/>
          </w:tcPr>
          <w:p w14:paraId="745D845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928.4</w:t>
            </w:r>
          </w:p>
        </w:tc>
        <w:tc>
          <w:tcPr>
            <w:tcW w:w="713" w:type="dxa"/>
            <w:noWrap/>
            <w:hideMark/>
          </w:tcPr>
          <w:p w14:paraId="42AC2AF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929.0</w:t>
            </w:r>
          </w:p>
        </w:tc>
        <w:tc>
          <w:tcPr>
            <w:tcW w:w="713" w:type="dxa"/>
            <w:noWrap/>
            <w:hideMark/>
          </w:tcPr>
          <w:p w14:paraId="61F8584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932.4</w:t>
            </w:r>
          </w:p>
        </w:tc>
        <w:tc>
          <w:tcPr>
            <w:tcW w:w="713" w:type="dxa"/>
            <w:noWrap/>
            <w:hideMark/>
          </w:tcPr>
          <w:p w14:paraId="0F5ECDB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935.9</w:t>
            </w:r>
          </w:p>
        </w:tc>
        <w:tc>
          <w:tcPr>
            <w:tcW w:w="713" w:type="dxa"/>
            <w:noWrap/>
            <w:hideMark/>
          </w:tcPr>
          <w:p w14:paraId="4306DB5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931.6</w:t>
            </w:r>
          </w:p>
        </w:tc>
        <w:tc>
          <w:tcPr>
            <w:tcW w:w="713" w:type="dxa"/>
            <w:noWrap/>
            <w:hideMark/>
          </w:tcPr>
          <w:p w14:paraId="79198E17"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925.1</w:t>
            </w:r>
          </w:p>
        </w:tc>
      </w:tr>
      <w:tr w:rsidR="00C25BCB" w:rsidRPr="00C25BCB" w14:paraId="419E4ABD" w14:textId="77777777" w:rsidTr="00C25BC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44DA341C" w14:textId="77777777" w:rsidR="00C25BCB" w:rsidRPr="00C25BCB" w:rsidRDefault="00C961E4" w:rsidP="00C25BCB">
            <w:pPr>
              <w:keepNext/>
              <w:spacing w:line="240" w:lineRule="auto"/>
              <w:rPr>
                <w:rFonts w:ascii="Arial Narrow" w:hAnsi="Arial Narrow" w:cs="Calibri"/>
                <w:b/>
                <w:bCs/>
                <w:sz w:val="18"/>
                <w:szCs w:val="18"/>
              </w:rPr>
            </w:pPr>
            <w:r>
              <w:rPr>
                <w:rFonts w:ascii="Arial Narrow" w:hAnsi="Arial Narrow" w:cs="Calibri"/>
                <w:b/>
                <w:bCs/>
                <w:sz w:val="18"/>
                <w:szCs w:val="18"/>
              </w:rPr>
              <w:t>C&amp;S</w:t>
            </w:r>
          </w:p>
        </w:tc>
        <w:tc>
          <w:tcPr>
            <w:tcW w:w="713" w:type="dxa"/>
            <w:noWrap/>
            <w:hideMark/>
          </w:tcPr>
          <w:p w14:paraId="020E028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1,507.9</w:t>
            </w:r>
          </w:p>
        </w:tc>
        <w:tc>
          <w:tcPr>
            <w:tcW w:w="713" w:type="dxa"/>
            <w:noWrap/>
            <w:hideMark/>
          </w:tcPr>
          <w:p w14:paraId="6E8374D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1,544.8</w:t>
            </w:r>
          </w:p>
        </w:tc>
        <w:tc>
          <w:tcPr>
            <w:tcW w:w="713" w:type="dxa"/>
            <w:noWrap/>
            <w:hideMark/>
          </w:tcPr>
          <w:p w14:paraId="4425613A"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1,527.3</w:t>
            </w:r>
          </w:p>
        </w:tc>
        <w:tc>
          <w:tcPr>
            <w:tcW w:w="713" w:type="dxa"/>
            <w:noWrap/>
            <w:hideMark/>
          </w:tcPr>
          <w:p w14:paraId="690FBCD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1,580.1</w:t>
            </w:r>
          </w:p>
        </w:tc>
        <w:tc>
          <w:tcPr>
            <w:tcW w:w="713" w:type="dxa"/>
            <w:noWrap/>
            <w:hideMark/>
          </w:tcPr>
          <w:p w14:paraId="1BCB9A7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1,546.4</w:t>
            </w:r>
          </w:p>
        </w:tc>
        <w:tc>
          <w:tcPr>
            <w:tcW w:w="713" w:type="dxa"/>
            <w:noWrap/>
            <w:hideMark/>
          </w:tcPr>
          <w:p w14:paraId="6CF14FFF"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1,686.3</w:t>
            </w:r>
          </w:p>
        </w:tc>
        <w:tc>
          <w:tcPr>
            <w:tcW w:w="713" w:type="dxa"/>
            <w:noWrap/>
            <w:hideMark/>
          </w:tcPr>
          <w:p w14:paraId="0096CD2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1,622.6</w:t>
            </w:r>
          </w:p>
        </w:tc>
        <w:tc>
          <w:tcPr>
            <w:tcW w:w="713" w:type="dxa"/>
            <w:noWrap/>
            <w:hideMark/>
          </w:tcPr>
          <w:p w14:paraId="3448C04F"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1,578.2</w:t>
            </w:r>
          </w:p>
        </w:tc>
        <w:tc>
          <w:tcPr>
            <w:tcW w:w="713" w:type="dxa"/>
            <w:noWrap/>
            <w:hideMark/>
          </w:tcPr>
          <w:p w14:paraId="6606758F"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1,501.6</w:t>
            </w:r>
          </w:p>
        </w:tc>
        <w:tc>
          <w:tcPr>
            <w:tcW w:w="713" w:type="dxa"/>
            <w:noWrap/>
            <w:hideMark/>
          </w:tcPr>
          <w:p w14:paraId="20D8D2A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1,461.7</w:t>
            </w:r>
          </w:p>
        </w:tc>
        <w:tc>
          <w:tcPr>
            <w:tcW w:w="713" w:type="dxa"/>
            <w:noWrap/>
            <w:hideMark/>
          </w:tcPr>
          <w:p w14:paraId="3915BE1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1,360.6</w:t>
            </w:r>
          </w:p>
        </w:tc>
        <w:tc>
          <w:tcPr>
            <w:tcW w:w="713" w:type="dxa"/>
            <w:noWrap/>
            <w:hideMark/>
          </w:tcPr>
          <w:p w14:paraId="122A2A09"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1,239.9</w:t>
            </w:r>
          </w:p>
        </w:tc>
        <w:tc>
          <w:tcPr>
            <w:tcW w:w="713" w:type="dxa"/>
            <w:noWrap/>
            <w:hideMark/>
          </w:tcPr>
          <w:p w14:paraId="769B5F27"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1,118.1</w:t>
            </w:r>
          </w:p>
        </w:tc>
      </w:tr>
      <w:tr w:rsidR="00C25BCB" w:rsidRPr="00C25BCB" w14:paraId="3816781A"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70A5F9F7"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BROs</w:t>
            </w:r>
          </w:p>
        </w:tc>
        <w:tc>
          <w:tcPr>
            <w:tcW w:w="713" w:type="dxa"/>
            <w:noWrap/>
            <w:hideMark/>
          </w:tcPr>
          <w:p w14:paraId="2A73799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213.3</w:t>
            </w:r>
          </w:p>
        </w:tc>
        <w:tc>
          <w:tcPr>
            <w:tcW w:w="713" w:type="dxa"/>
            <w:noWrap/>
            <w:hideMark/>
          </w:tcPr>
          <w:p w14:paraId="2B0D195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270.2</w:t>
            </w:r>
          </w:p>
        </w:tc>
        <w:tc>
          <w:tcPr>
            <w:tcW w:w="713" w:type="dxa"/>
            <w:noWrap/>
            <w:hideMark/>
          </w:tcPr>
          <w:p w14:paraId="3091AC8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302.7</w:t>
            </w:r>
          </w:p>
        </w:tc>
        <w:tc>
          <w:tcPr>
            <w:tcW w:w="713" w:type="dxa"/>
            <w:noWrap/>
            <w:hideMark/>
          </w:tcPr>
          <w:p w14:paraId="5F952217"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338.9</w:t>
            </w:r>
          </w:p>
        </w:tc>
        <w:tc>
          <w:tcPr>
            <w:tcW w:w="713" w:type="dxa"/>
            <w:noWrap/>
            <w:hideMark/>
          </w:tcPr>
          <w:p w14:paraId="7749C52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365.1</w:t>
            </w:r>
          </w:p>
        </w:tc>
        <w:tc>
          <w:tcPr>
            <w:tcW w:w="713" w:type="dxa"/>
            <w:noWrap/>
            <w:hideMark/>
          </w:tcPr>
          <w:p w14:paraId="641CC86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390.3</w:t>
            </w:r>
          </w:p>
        </w:tc>
        <w:tc>
          <w:tcPr>
            <w:tcW w:w="713" w:type="dxa"/>
            <w:noWrap/>
            <w:hideMark/>
          </w:tcPr>
          <w:p w14:paraId="3F41C90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416.6</w:t>
            </w:r>
          </w:p>
        </w:tc>
        <w:tc>
          <w:tcPr>
            <w:tcW w:w="713" w:type="dxa"/>
            <w:noWrap/>
            <w:hideMark/>
          </w:tcPr>
          <w:p w14:paraId="59CACE3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454.1</w:t>
            </w:r>
          </w:p>
        </w:tc>
        <w:tc>
          <w:tcPr>
            <w:tcW w:w="713" w:type="dxa"/>
            <w:noWrap/>
            <w:hideMark/>
          </w:tcPr>
          <w:p w14:paraId="5454F8C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485.6</w:t>
            </w:r>
          </w:p>
        </w:tc>
        <w:tc>
          <w:tcPr>
            <w:tcW w:w="713" w:type="dxa"/>
            <w:noWrap/>
            <w:hideMark/>
          </w:tcPr>
          <w:p w14:paraId="5AD9C9D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518.3</w:t>
            </w:r>
          </w:p>
        </w:tc>
        <w:tc>
          <w:tcPr>
            <w:tcW w:w="713" w:type="dxa"/>
            <w:noWrap/>
            <w:hideMark/>
          </w:tcPr>
          <w:p w14:paraId="7021BA4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551.8</w:t>
            </w:r>
          </w:p>
        </w:tc>
        <w:tc>
          <w:tcPr>
            <w:tcW w:w="713" w:type="dxa"/>
            <w:noWrap/>
            <w:hideMark/>
          </w:tcPr>
          <w:p w14:paraId="58F479A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586.7</w:t>
            </w:r>
          </w:p>
        </w:tc>
        <w:tc>
          <w:tcPr>
            <w:tcW w:w="713" w:type="dxa"/>
            <w:noWrap/>
            <w:hideMark/>
          </w:tcPr>
          <w:p w14:paraId="35EBF4A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618.3</w:t>
            </w:r>
          </w:p>
        </w:tc>
      </w:tr>
      <w:tr w:rsidR="00C25BCB" w:rsidRPr="00C25BCB" w14:paraId="27FF02A3" w14:textId="77777777" w:rsidTr="00C25BC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510A3C76"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Low Income</w:t>
            </w:r>
          </w:p>
        </w:tc>
        <w:tc>
          <w:tcPr>
            <w:tcW w:w="713" w:type="dxa"/>
            <w:noWrap/>
            <w:hideMark/>
          </w:tcPr>
          <w:p w14:paraId="10BE4B7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56.8</w:t>
            </w:r>
          </w:p>
        </w:tc>
        <w:tc>
          <w:tcPr>
            <w:tcW w:w="713" w:type="dxa"/>
            <w:noWrap/>
            <w:hideMark/>
          </w:tcPr>
          <w:p w14:paraId="6F62E55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57.3</w:t>
            </w:r>
          </w:p>
        </w:tc>
        <w:tc>
          <w:tcPr>
            <w:tcW w:w="713" w:type="dxa"/>
            <w:noWrap/>
            <w:hideMark/>
          </w:tcPr>
          <w:p w14:paraId="4004CF7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57.0</w:t>
            </w:r>
          </w:p>
        </w:tc>
        <w:tc>
          <w:tcPr>
            <w:tcW w:w="713" w:type="dxa"/>
            <w:noWrap/>
            <w:hideMark/>
          </w:tcPr>
          <w:p w14:paraId="1396C259"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9AA8ED3"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3F35FADC"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4E5AB5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49EA9473"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474DDEF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16E6AE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4076E2A"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3C1A2A1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2CD45E3"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r>
      <w:tr w:rsidR="00C25BCB" w:rsidRPr="00C25BCB" w14:paraId="1ED5030B"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7D14F3A3"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Total</w:t>
            </w:r>
          </w:p>
        </w:tc>
        <w:tc>
          <w:tcPr>
            <w:tcW w:w="713" w:type="dxa"/>
            <w:noWrap/>
            <w:hideMark/>
          </w:tcPr>
          <w:p w14:paraId="27D3BEE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2,476.9</w:t>
            </w:r>
          </w:p>
        </w:tc>
        <w:tc>
          <w:tcPr>
            <w:tcW w:w="713" w:type="dxa"/>
            <w:noWrap/>
            <w:hideMark/>
          </w:tcPr>
          <w:p w14:paraId="014FAC8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2,650.0</w:t>
            </w:r>
          </w:p>
        </w:tc>
        <w:tc>
          <w:tcPr>
            <w:tcW w:w="713" w:type="dxa"/>
            <w:noWrap/>
            <w:hideMark/>
          </w:tcPr>
          <w:p w14:paraId="6899FC7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2,642.2</w:t>
            </w:r>
          </w:p>
        </w:tc>
        <w:tc>
          <w:tcPr>
            <w:tcW w:w="713" w:type="dxa"/>
            <w:noWrap/>
            <w:hideMark/>
          </w:tcPr>
          <w:p w14:paraId="76769FF7"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2,784.0</w:t>
            </w:r>
          </w:p>
        </w:tc>
        <w:tc>
          <w:tcPr>
            <w:tcW w:w="713" w:type="dxa"/>
            <w:noWrap/>
            <w:hideMark/>
          </w:tcPr>
          <w:p w14:paraId="3FE3CA6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2,788.7</w:t>
            </w:r>
          </w:p>
        </w:tc>
        <w:tc>
          <w:tcPr>
            <w:tcW w:w="713" w:type="dxa"/>
            <w:noWrap/>
            <w:hideMark/>
          </w:tcPr>
          <w:p w14:paraId="20D7CAA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2,974.5</w:t>
            </w:r>
          </w:p>
        </w:tc>
        <w:tc>
          <w:tcPr>
            <w:tcW w:w="713" w:type="dxa"/>
            <w:noWrap/>
            <w:hideMark/>
          </w:tcPr>
          <w:p w14:paraId="1185185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2,982.9</w:t>
            </w:r>
          </w:p>
        </w:tc>
        <w:tc>
          <w:tcPr>
            <w:tcW w:w="713" w:type="dxa"/>
            <w:noWrap/>
            <w:hideMark/>
          </w:tcPr>
          <w:p w14:paraId="3A04A97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2,993.4</w:t>
            </w:r>
          </w:p>
        </w:tc>
        <w:tc>
          <w:tcPr>
            <w:tcW w:w="713" w:type="dxa"/>
            <w:noWrap/>
            <w:hideMark/>
          </w:tcPr>
          <w:p w14:paraId="5FE6E3F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2,949.0</w:t>
            </w:r>
          </w:p>
        </w:tc>
        <w:tc>
          <w:tcPr>
            <w:tcW w:w="713" w:type="dxa"/>
            <w:noWrap/>
            <w:hideMark/>
          </w:tcPr>
          <w:p w14:paraId="37C5815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2,945.1</w:t>
            </w:r>
          </w:p>
        </w:tc>
        <w:tc>
          <w:tcPr>
            <w:tcW w:w="713" w:type="dxa"/>
            <w:noWrap/>
            <w:hideMark/>
          </w:tcPr>
          <w:p w14:paraId="2EFF6F9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2,881.0</w:t>
            </w:r>
          </w:p>
        </w:tc>
        <w:tc>
          <w:tcPr>
            <w:tcW w:w="713" w:type="dxa"/>
            <w:noWrap/>
            <w:hideMark/>
          </w:tcPr>
          <w:p w14:paraId="186912A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2,790.9</w:t>
            </w:r>
          </w:p>
        </w:tc>
        <w:tc>
          <w:tcPr>
            <w:tcW w:w="713" w:type="dxa"/>
            <w:noWrap/>
            <w:hideMark/>
          </w:tcPr>
          <w:p w14:paraId="11FC805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2,694.2</w:t>
            </w:r>
          </w:p>
        </w:tc>
      </w:tr>
      <w:tr w:rsidR="00C25BCB" w:rsidRPr="00C25BCB" w14:paraId="49ECD67E" w14:textId="77777777" w:rsidTr="00C961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182" w:type="dxa"/>
            <w:gridSpan w:val="14"/>
            <w:shd w:val="clear" w:color="auto" w:fill="DADADA" w:themeFill="background2" w:themeFillShade="E6"/>
            <w:noWrap/>
            <w:hideMark/>
          </w:tcPr>
          <w:p w14:paraId="6CE28A9F"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mTRC (GHG adder 2) | Reference</w:t>
            </w:r>
          </w:p>
        </w:tc>
      </w:tr>
      <w:tr w:rsidR="00C25BCB" w:rsidRPr="00C25BCB" w14:paraId="47552A48" w14:textId="77777777" w:rsidTr="00C25BC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1DED8CCC"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Rebate Programs</w:t>
            </w:r>
          </w:p>
        </w:tc>
        <w:tc>
          <w:tcPr>
            <w:tcW w:w="713" w:type="dxa"/>
            <w:noWrap/>
            <w:hideMark/>
          </w:tcPr>
          <w:p w14:paraId="3D3F2C9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711.3</w:t>
            </w:r>
          </w:p>
        </w:tc>
        <w:tc>
          <w:tcPr>
            <w:tcW w:w="713" w:type="dxa"/>
            <w:noWrap/>
            <w:hideMark/>
          </w:tcPr>
          <w:p w14:paraId="3B9ED627"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776.0</w:t>
            </w:r>
          </w:p>
        </w:tc>
        <w:tc>
          <w:tcPr>
            <w:tcW w:w="713" w:type="dxa"/>
            <w:noWrap/>
            <w:hideMark/>
          </w:tcPr>
          <w:p w14:paraId="578A779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787.5</w:t>
            </w:r>
          </w:p>
        </w:tc>
        <w:tc>
          <w:tcPr>
            <w:tcW w:w="713" w:type="dxa"/>
            <w:noWrap/>
            <w:hideMark/>
          </w:tcPr>
          <w:p w14:paraId="761A215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893.5</w:t>
            </w:r>
          </w:p>
        </w:tc>
        <w:tc>
          <w:tcPr>
            <w:tcW w:w="713" w:type="dxa"/>
            <w:noWrap/>
            <w:hideMark/>
          </w:tcPr>
          <w:p w14:paraId="637DBF66"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918.1</w:t>
            </w:r>
          </w:p>
        </w:tc>
        <w:tc>
          <w:tcPr>
            <w:tcW w:w="713" w:type="dxa"/>
            <w:noWrap/>
            <w:hideMark/>
          </w:tcPr>
          <w:p w14:paraId="6A24A04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956.2</w:t>
            </w:r>
          </w:p>
        </w:tc>
        <w:tc>
          <w:tcPr>
            <w:tcW w:w="713" w:type="dxa"/>
            <w:noWrap/>
            <w:hideMark/>
          </w:tcPr>
          <w:p w14:paraId="1A25465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977.5</w:t>
            </w:r>
          </w:p>
        </w:tc>
        <w:tc>
          <w:tcPr>
            <w:tcW w:w="713" w:type="dxa"/>
            <w:noWrap/>
            <w:hideMark/>
          </w:tcPr>
          <w:p w14:paraId="2308583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1,004.9</w:t>
            </w:r>
          </w:p>
        </w:tc>
        <w:tc>
          <w:tcPr>
            <w:tcW w:w="713" w:type="dxa"/>
            <w:noWrap/>
            <w:hideMark/>
          </w:tcPr>
          <w:p w14:paraId="122C087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1,018.1</w:t>
            </w:r>
          </w:p>
        </w:tc>
        <w:tc>
          <w:tcPr>
            <w:tcW w:w="713" w:type="dxa"/>
            <w:noWrap/>
            <w:hideMark/>
          </w:tcPr>
          <w:p w14:paraId="3E4CE38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1,019.9</w:t>
            </w:r>
          </w:p>
        </w:tc>
        <w:tc>
          <w:tcPr>
            <w:tcW w:w="713" w:type="dxa"/>
            <w:noWrap/>
            <w:hideMark/>
          </w:tcPr>
          <w:p w14:paraId="26C2151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1,021.7</w:t>
            </w:r>
          </w:p>
        </w:tc>
        <w:tc>
          <w:tcPr>
            <w:tcW w:w="713" w:type="dxa"/>
            <w:noWrap/>
            <w:hideMark/>
          </w:tcPr>
          <w:p w14:paraId="7EAF61F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1,020.2</w:t>
            </w:r>
          </w:p>
        </w:tc>
        <w:tc>
          <w:tcPr>
            <w:tcW w:w="713" w:type="dxa"/>
            <w:noWrap/>
            <w:hideMark/>
          </w:tcPr>
          <w:p w14:paraId="294E992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1,010.0</w:t>
            </w:r>
          </w:p>
        </w:tc>
      </w:tr>
      <w:tr w:rsidR="00C25BCB" w:rsidRPr="00C25BCB" w14:paraId="1E95C5BB" w14:textId="77777777" w:rsidTr="00C25BC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2943D4D7" w14:textId="77777777" w:rsidR="00C25BCB" w:rsidRPr="00C25BCB" w:rsidRDefault="00C961E4" w:rsidP="00C25BCB">
            <w:pPr>
              <w:keepNext/>
              <w:spacing w:line="240" w:lineRule="auto"/>
              <w:rPr>
                <w:rFonts w:ascii="Arial Narrow" w:hAnsi="Arial Narrow" w:cs="Calibri"/>
                <w:b/>
                <w:bCs/>
                <w:sz w:val="18"/>
                <w:szCs w:val="18"/>
              </w:rPr>
            </w:pPr>
            <w:r>
              <w:rPr>
                <w:rFonts w:ascii="Arial Narrow" w:hAnsi="Arial Narrow" w:cs="Calibri"/>
                <w:b/>
                <w:bCs/>
                <w:sz w:val="18"/>
                <w:szCs w:val="18"/>
              </w:rPr>
              <w:t>C&amp;S</w:t>
            </w:r>
          </w:p>
        </w:tc>
        <w:tc>
          <w:tcPr>
            <w:tcW w:w="713" w:type="dxa"/>
            <w:noWrap/>
            <w:hideMark/>
          </w:tcPr>
          <w:p w14:paraId="2A48F6ED"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1,507.9</w:t>
            </w:r>
          </w:p>
        </w:tc>
        <w:tc>
          <w:tcPr>
            <w:tcW w:w="713" w:type="dxa"/>
            <w:noWrap/>
            <w:hideMark/>
          </w:tcPr>
          <w:p w14:paraId="4C35AC2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1,544.8</w:t>
            </w:r>
          </w:p>
        </w:tc>
        <w:tc>
          <w:tcPr>
            <w:tcW w:w="713" w:type="dxa"/>
            <w:noWrap/>
            <w:hideMark/>
          </w:tcPr>
          <w:p w14:paraId="4219332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1,527.3</w:t>
            </w:r>
          </w:p>
        </w:tc>
        <w:tc>
          <w:tcPr>
            <w:tcW w:w="713" w:type="dxa"/>
            <w:noWrap/>
            <w:hideMark/>
          </w:tcPr>
          <w:p w14:paraId="5BCC056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1,580.1</w:t>
            </w:r>
          </w:p>
        </w:tc>
        <w:tc>
          <w:tcPr>
            <w:tcW w:w="713" w:type="dxa"/>
            <w:noWrap/>
            <w:hideMark/>
          </w:tcPr>
          <w:p w14:paraId="3CF74C8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1,546.4</w:t>
            </w:r>
          </w:p>
        </w:tc>
        <w:tc>
          <w:tcPr>
            <w:tcW w:w="713" w:type="dxa"/>
            <w:noWrap/>
            <w:hideMark/>
          </w:tcPr>
          <w:p w14:paraId="763ECAC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1,686.3</w:t>
            </w:r>
          </w:p>
        </w:tc>
        <w:tc>
          <w:tcPr>
            <w:tcW w:w="713" w:type="dxa"/>
            <w:noWrap/>
            <w:hideMark/>
          </w:tcPr>
          <w:p w14:paraId="61F60CE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1,622.6</w:t>
            </w:r>
          </w:p>
        </w:tc>
        <w:tc>
          <w:tcPr>
            <w:tcW w:w="713" w:type="dxa"/>
            <w:noWrap/>
            <w:hideMark/>
          </w:tcPr>
          <w:p w14:paraId="375B022B"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1,578.2</w:t>
            </w:r>
          </w:p>
        </w:tc>
        <w:tc>
          <w:tcPr>
            <w:tcW w:w="713" w:type="dxa"/>
            <w:noWrap/>
            <w:hideMark/>
          </w:tcPr>
          <w:p w14:paraId="396F013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1,501.6</w:t>
            </w:r>
          </w:p>
        </w:tc>
        <w:tc>
          <w:tcPr>
            <w:tcW w:w="713" w:type="dxa"/>
            <w:noWrap/>
            <w:hideMark/>
          </w:tcPr>
          <w:p w14:paraId="728D78E8"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1,461.7</w:t>
            </w:r>
          </w:p>
        </w:tc>
        <w:tc>
          <w:tcPr>
            <w:tcW w:w="713" w:type="dxa"/>
            <w:noWrap/>
            <w:hideMark/>
          </w:tcPr>
          <w:p w14:paraId="386460C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1,360.6</w:t>
            </w:r>
          </w:p>
        </w:tc>
        <w:tc>
          <w:tcPr>
            <w:tcW w:w="713" w:type="dxa"/>
            <w:noWrap/>
            <w:hideMark/>
          </w:tcPr>
          <w:p w14:paraId="7DE0AB58"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1,239.9</w:t>
            </w:r>
          </w:p>
        </w:tc>
        <w:tc>
          <w:tcPr>
            <w:tcW w:w="713" w:type="dxa"/>
            <w:noWrap/>
            <w:hideMark/>
          </w:tcPr>
          <w:p w14:paraId="2F1A4A0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1,118.1</w:t>
            </w:r>
          </w:p>
        </w:tc>
      </w:tr>
      <w:tr w:rsidR="00C25BCB" w:rsidRPr="00C25BCB" w14:paraId="5F7E11A3"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72CF67B4"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BROs</w:t>
            </w:r>
          </w:p>
        </w:tc>
        <w:tc>
          <w:tcPr>
            <w:tcW w:w="713" w:type="dxa"/>
            <w:noWrap/>
            <w:hideMark/>
          </w:tcPr>
          <w:p w14:paraId="19CA5D4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213.3</w:t>
            </w:r>
          </w:p>
        </w:tc>
        <w:tc>
          <w:tcPr>
            <w:tcW w:w="713" w:type="dxa"/>
            <w:noWrap/>
            <w:hideMark/>
          </w:tcPr>
          <w:p w14:paraId="036839A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270.2</w:t>
            </w:r>
          </w:p>
        </w:tc>
        <w:tc>
          <w:tcPr>
            <w:tcW w:w="713" w:type="dxa"/>
            <w:noWrap/>
            <w:hideMark/>
          </w:tcPr>
          <w:p w14:paraId="507816C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302.7</w:t>
            </w:r>
          </w:p>
        </w:tc>
        <w:tc>
          <w:tcPr>
            <w:tcW w:w="713" w:type="dxa"/>
            <w:noWrap/>
            <w:hideMark/>
          </w:tcPr>
          <w:p w14:paraId="2A0FA897"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338.9</w:t>
            </w:r>
          </w:p>
        </w:tc>
        <w:tc>
          <w:tcPr>
            <w:tcW w:w="713" w:type="dxa"/>
            <w:noWrap/>
            <w:hideMark/>
          </w:tcPr>
          <w:p w14:paraId="35C374D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365.1</w:t>
            </w:r>
          </w:p>
        </w:tc>
        <w:tc>
          <w:tcPr>
            <w:tcW w:w="713" w:type="dxa"/>
            <w:noWrap/>
            <w:hideMark/>
          </w:tcPr>
          <w:p w14:paraId="2665F04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390.3</w:t>
            </w:r>
          </w:p>
        </w:tc>
        <w:tc>
          <w:tcPr>
            <w:tcW w:w="713" w:type="dxa"/>
            <w:noWrap/>
            <w:hideMark/>
          </w:tcPr>
          <w:p w14:paraId="2FBF0ED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416.6</w:t>
            </w:r>
          </w:p>
        </w:tc>
        <w:tc>
          <w:tcPr>
            <w:tcW w:w="713" w:type="dxa"/>
            <w:noWrap/>
            <w:hideMark/>
          </w:tcPr>
          <w:p w14:paraId="4FA9E39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454.1</w:t>
            </w:r>
          </w:p>
        </w:tc>
        <w:tc>
          <w:tcPr>
            <w:tcW w:w="713" w:type="dxa"/>
            <w:noWrap/>
            <w:hideMark/>
          </w:tcPr>
          <w:p w14:paraId="438BFCC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485.6</w:t>
            </w:r>
          </w:p>
        </w:tc>
        <w:tc>
          <w:tcPr>
            <w:tcW w:w="713" w:type="dxa"/>
            <w:noWrap/>
            <w:hideMark/>
          </w:tcPr>
          <w:p w14:paraId="6C6C521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518.3</w:t>
            </w:r>
          </w:p>
        </w:tc>
        <w:tc>
          <w:tcPr>
            <w:tcW w:w="713" w:type="dxa"/>
            <w:noWrap/>
            <w:hideMark/>
          </w:tcPr>
          <w:p w14:paraId="12968F0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551.8</w:t>
            </w:r>
          </w:p>
        </w:tc>
        <w:tc>
          <w:tcPr>
            <w:tcW w:w="713" w:type="dxa"/>
            <w:noWrap/>
            <w:hideMark/>
          </w:tcPr>
          <w:p w14:paraId="34FADD3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586.7</w:t>
            </w:r>
          </w:p>
        </w:tc>
        <w:tc>
          <w:tcPr>
            <w:tcW w:w="713" w:type="dxa"/>
            <w:noWrap/>
            <w:hideMark/>
          </w:tcPr>
          <w:p w14:paraId="170615C6"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618.3</w:t>
            </w:r>
          </w:p>
        </w:tc>
      </w:tr>
      <w:tr w:rsidR="00C25BCB" w:rsidRPr="00C25BCB" w14:paraId="14D5093D" w14:textId="77777777" w:rsidTr="00C25BC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027789B6"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Low Income</w:t>
            </w:r>
          </w:p>
        </w:tc>
        <w:tc>
          <w:tcPr>
            <w:tcW w:w="713" w:type="dxa"/>
            <w:noWrap/>
            <w:hideMark/>
          </w:tcPr>
          <w:p w14:paraId="3EEAC962"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56.8</w:t>
            </w:r>
          </w:p>
        </w:tc>
        <w:tc>
          <w:tcPr>
            <w:tcW w:w="713" w:type="dxa"/>
            <w:noWrap/>
            <w:hideMark/>
          </w:tcPr>
          <w:p w14:paraId="503C8C4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57.3</w:t>
            </w:r>
          </w:p>
        </w:tc>
        <w:tc>
          <w:tcPr>
            <w:tcW w:w="713" w:type="dxa"/>
            <w:noWrap/>
            <w:hideMark/>
          </w:tcPr>
          <w:p w14:paraId="3DDE117A"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57.0</w:t>
            </w:r>
          </w:p>
        </w:tc>
        <w:tc>
          <w:tcPr>
            <w:tcW w:w="713" w:type="dxa"/>
            <w:noWrap/>
            <w:hideMark/>
          </w:tcPr>
          <w:p w14:paraId="0B514A1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4893325C"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1FFD88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F21819C"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2376391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0978945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71DF08B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45F640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2A8C1AF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BF3035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r>
      <w:tr w:rsidR="00C25BCB" w:rsidRPr="00C25BCB" w14:paraId="5E092F39"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4BD025B4"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Total</w:t>
            </w:r>
          </w:p>
        </w:tc>
        <w:tc>
          <w:tcPr>
            <w:tcW w:w="713" w:type="dxa"/>
            <w:noWrap/>
            <w:hideMark/>
          </w:tcPr>
          <w:p w14:paraId="0B433B3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2,489.3</w:t>
            </w:r>
          </w:p>
        </w:tc>
        <w:tc>
          <w:tcPr>
            <w:tcW w:w="713" w:type="dxa"/>
            <w:noWrap/>
            <w:hideMark/>
          </w:tcPr>
          <w:p w14:paraId="2D446CA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2,648.2</w:t>
            </w:r>
          </w:p>
        </w:tc>
        <w:tc>
          <w:tcPr>
            <w:tcW w:w="713" w:type="dxa"/>
            <w:noWrap/>
            <w:hideMark/>
          </w:tcPr>
          <w:p w14:paraId="35080B5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2,674.6</w:t>
            </w:r>
          </w:p>
        </w:tc>
        <w:tc>
          <w:tcPr>
            <w:tcW w:w="713" w:type="dxa"/>
            <w:noWrap/>
            <w:hideMark/>
          </w:tcPr>
          <w:p w14:paraId="10A7106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2,845.2</w:t>
            </w:r>
          </w:p>
        </w:tc>
        <w:tc>
          <w:tcPr>
            <w:tcW w:w="713" w:type="dxa"/>
            <w:noWrap/>
            <w:hideMark/>
          </w:tcPr>
          <w:p w14:paraId="742DCB9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2,862.3</w:t>
            </w:r>
          </w:p>
        </w:tc>
        <w:tc>
          <w:tcPr>
            <w:tcW w:w="713" w:type="dxa"/>
            <w:noWrap/>
            <w:hideMark/>
          </w:tcPr>
          <w:p w14:paraId="1BE816D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3,065.5</w:t>
            </w:r>
          </w:p>
        </w:tc>
        <w:tc>
          <w:tcPr>
            <w:tcW w:w="713" w:type="dxa"/>
            <w:noWrap/>
            <w:hideMark/>
          </w:tcPr>
          <w:p w14:paraId="31C18FA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3,049.4</w:t>
            </w:r>
          </w:p>
        </w:tc>
        <w:tc>
          <w:tcPr>
            <w:tcW w:w="713" w:type="dxa"/>
            <w:noWrap/>
            <w:hideMark/>
          </w:tcPr>
          <w:p w14:paraId="69AFAC36"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3,069.8</w:t>
            </w:r>
          </w:p>
        </w:tc>
        <w:tc>
          <w:tcPr>
            <w:tcW w:w="713" w:type="dxa"/>
            <w:noWrap/>
            <w:hideMark/>
          </w:tcPr>
          <w:p w14:paraId="136E919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3,038.0</w:t>
            </w:r>
          </w:p>
        </w:tc>
        <w:tc>
          <w:tcPr>
            <w:tcW w:w="713" w:type="dxa"/>
            <w:noWrap/>
            <w:hideMark/>
          </w:tcPr>
          <w:p w14:paraId="13D374D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3,032.6</w:t>
            </w:r>
          </w:p>
        </w:tc>
        <w:tc>
          <w:tcPr>
            <w:tcW w:w="713" w:type="dxa"/>
            <w:noWrap/>
            <w:hideMark/>
          </w:tcPr>
          <w:p w14:paraId="32363E0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2,966.9</w:t>
            </w:r>
          </w:p>
        </w:tc>
        <w:tc>
          <w:tcPr>
            <w:tcW w:w="713" w:type="dxa"/>
            <w:noWrap/>
            <w:hideMark/>
          </w:tcPr>
          <w:p w14:paraId="65F6C89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2,879.5</w:t>
            </w:r>
          </w:p>
        </w:tc>
        <w:tc>
          <w:tcPr>
            <w:tcW w:w="713" w:type="dxa"/>
            <w:noWrap/>
            <w:hideMark/>
          </w:tcPr>
          <w:p w14:paraId="477B3E1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2,779.2</w:t>
            </w:r>
          </w:p>
        </w:tc>
      </w:tr>
      <w:tr w:rsidR="00C25BCB" w:rsidRPr="00C25BCB" w14:paraId="50C9D7F0" w14:textId="77777777" w:rsidTr="00C961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182" w:type="dxa"/>
            <w:gridSpan w:val="14"/>
            <w:shd w:val="clear" w:color="auto" w:fill="DADADA" w:themeFill="background2" w:themeFillShade="E6"/>
            <w:noWrap/>
            <w:hideMark/>
          </w:tcPr>
          <w:p w14:paraId="2165931F"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PAC | Reference</w:t>
            </w:r>
          </w:p>
        </w:tc>
      </w:tr>
      <w:tr w:rsidR="00C25BCB" w:rsidRPr="00C25BCB" w14:paraId="76AAD2F4" w14:textId="77777777" w:rsidTr="00C25BC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6A6DFD8F"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Rebate Programs</w:t>
            </w:r>
          </w:p>
        </w:tc>
        <w:tc>
          <w:tcPr>
            <w:tcW w:w="713" w:type="dxa"/>
            <w:noWrap/>
            <w:hideMark/>
          </w:tcPr>
          <w:p w14:paraId="18A53BF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892.5</w:t>
            </w:r>
          </w:p>
        </w:tc>
        <w:tc>
          <w:tcPr>
            <w:tcW w:w="713" w:type="dxa"/>
            <w:noWrap/>
            <w:hideMark/>
          </w:tcPr>
          <w:p w14:paraId="15F9D3C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939.7</w:t>
            </w:r>
          </w:p>
        </w:tc>
        <w:tc>
          <w:tcPr>
            <w:tcW w:w="713" w:type="dxa"/>
            <w:noWrap/>
            <w:hideMark/>
          </w:tcPr>
          <w:p w14:paraId="2C3E9F3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908.8</w:t>
            </w:r>
          </w:p>
        </w:tc>
        <w:tc>
          <w:tcPr>
            <w:tcW w:w="713" w:type="dxa"/>
            <w:noWrap/>
            <w:hideMark/>
          </w:tcPr>
          <w:p w14:paraId="796DADC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1,014.0</w:t>
            </w:r>
          </w:p>
        </w:tc>
        <w:tc>
          <w:tcPr>
            <w:tcW w:w="713" w:type="dxa"/>
            <w:noWrap/>
            <w:hideMark/>
          </w:tcPr>
          <w:p w14:paraId="7FAFC397"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1,030.7</w:t>
            </w:r>
          </w:p>
        </w:tc>
        <w:tc>
          <w:tcPr>
            <w:tcW w:w="713" w:type="dxa"/>
            <w:noWrap/>
            <w:hideMark/>
          </w:tcPr>
          <w:p w14:paraId="14EF691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1,046.9</w:t>
            </w:r>
          </w:p>
        </w:tc>
        <w:tc>
          <w:tcPr>
            <w:tcW w:w="713" w:type="dxa"/>
            <w:noWrap/>
            <w:hideMark/>
          </w:tcPr>
          <w:p w14:paraId="3F9EC31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1,054.3</w:t>
            </w:r>
          </w:p>
        </w:tc>
        <w:tc>
          <w:tcPr>
            <w:tcW w:w="713" w:type="dxa"/>
            <w:noWrap/>
            <w:hideMark/>
          </w:tcPr>
          <w:p w14:paraId="48AE096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1,065.2</w:t>
            </w:r>
          </w:p>
        </w:tc>
        <w:tc>
          <w:tcPr>
            <w:tcW w:w="713" w:type="dxa"/>
            <w:noWrap/>
            <w:hideMark/>
          </w:tcPr>
          <w:p w14:paraId="57AB0D3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1,065.0</w:t>
            </w:r>
          </w:p>
        </w:tc>
        <w:tc>
          <w:tcPr>
            <w:tcW w:w="713" w:type="dxa"/>
            <w:noWrap/>
            <w:hideMark/>
          </w:tcPr>
          <w:p w14:paraId="58276A5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1,068.3</w:t>
            </w:r>
          </w:p>
        </w:tc>
        <w:tc>
          <w:tcPr>
            <w:tcW w:w="713" w:type="dxa"/>
            <w:noWrap/>
            <w:hideMark/>
          </w:tcPr>
          <w:p w14:paraId="7B27B0F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1,066.5</w:t>
            </w:r>
          </w:p>
        </w:tc>
        <w:tc>
          <w:tcPr>
            <w:tcW w:w="713" w:type="dxa"/>
            <w:noWrap/>
            <w:hideMark/>
          </w:tcPr>
          <w:p w14:paraId="3CBD15B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1,058.6</w:t>
            </w:r>
          </w:p>
        </w:tc>
        <w:tc>
          <w:tcPr>
            <w:tcW w:w="713" w:type="dxa"/>
            <w:noWrap/>
            <w:hideMark/>
          </w:tcPr>
          <w:p w14:paraId="3CF74F5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1,047.2</w:t>
            </w:r>
          </w:p>
        </w:tc>
      </w:tr>
      <w:tr w:rsidR="00C25BCB" w:rsidRPr="00C25BCB" w14:paraId="14A3800C" w14:textId="77777777" w:rsidTr="00C25BC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126BD680" w14:textId="77777777" w:rsidR="00C25BCB" w:rsidRPr="00C25BCB" w:rsidRDefault="00C961E4" w:rsidP="00C25BCB">
            <w:pPr>
              <w:keepNext/>
              <w:spacing w:line="240" w:lineRule="auto"/>
              <w:rPr>
                <w:rFonts w:ascii="Arial Narrow" w:hAnsi="Arial Narrow" w:cs="Calibri"/>
                <w:b/>
                <w:bCs/>
                <w:sz w:val="18"/>
                <w:szCs w:val="18"/>
              </w:rPr>
            </w:pPr>
            <w:r>
              <w:rPr>
                <w:rFonts w:ascii="Arial Narrow" w:hAnsi="Arial Narrow" w:cs="Calibri"/>
                <w:b/>
                <w:bCs/>
                <w:sz w:val="18"/>
                <w:szCs w:val="18"/>
              </w:rPr>
              <w:t>C&amp;S</w:t>
            </w:r>
          </w:p>
        </w:tc>
        <w:tc>
          <w:tcPr>
            <w:tcW w:w="713" w:type="dxa"/>
            <w:noWrap/>
            <w:hideMark/>
          </w:tcPr>
          <w:p w14:paraId="4E10A9B7"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1,507.9</w:t>
            </w:r>
          </w:p>
        </w:tc>
        <w:tc>
          <w:tcPr>
            <w:tcW w:w="713" w:type="dxa"/>
            <w:noWrap/>
            <w:hideMark/>
          </w:tcPr>
          <w:p w14:paraId="704BBAAD"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1,544.8</w:t>
            </w:r>
          </w:p>
        </w:tc>
        <w:tc>
          <w:tcPr>
            <w:tcW w:w="713" w:type="dxa"/>
            <w:noWrap/>
            <w:hideMark/>
          </w:tcPr>
          <w:p w14:paraId="24457FF3"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1,527.3</w:t>
            </w:r>
          </w:p>
        </w:tc>
        <w:tc>
          <w:tcPr>
            <w:tcW w:w="713" w:type="dxa"/>
            <w:noWrap/>
            <w:hideMark/>
          </w:tcPr>
          <w:p w14:paraId="194A65EC"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1,580.1</w:t>
            </w:r>
          </w:p>
        </w:tc>
        <w:tc>
          <w:tcPr>
            <w:tcW w:w="713" w:type="dxa"/>
            <w:noWrap/>
            <w:hideMark/>
          </w:tcPr>
          <w:p w14:paraId="5634BDA3"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1,546.4</w:t>
            </w:r>
          </w:p>
        </w:tc>
        <w:tc>
          <w:tcPr>
            <w:tcW w:w="713" w:type="dxa"/>
            <w:noWrap/>
            <w:hideMark/>
          </w:tcPr>
          <w:p w14:paraId="405C0B2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1,686.3</w:t>
            </w:r>
          </w:p>
        </w:tc>
        <w:tc>
          <w:tcPr>
            <w:tcW w:w="713" w:type="dxa"/>
            <w:noWrap/>
            <w:hideMark/>
          </w:tcPr>
          <w:p w14:paraId="2625ABF2"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1,622.6</w:t>
            </w:r>
          </w:p>
        </w:tc>
        <w:tc>
          <w:tcPr>
            <w:tcW w:w="713" w:type="dxa"/>
            <w:noWrap/>
            <w:hideMark/>
          </w:tcPr>
          <w:p w14:paraId="0E421A4A"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1,578.2</w:t>
            </w:r>
          </w:p>
        </w:tc>
        <w:tc>
          <w:tcPr>
            <w:tcW w:w="713" w:type="dxa"/>
            <w:noWrap/>
            <w:hideMark/>
          </w:tcPr>
          <w:p w14:paraId="18F74547"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1,501.6</w:t>
            </w:r>
          </w:p>
        </w:tc>
        <w:tc>
          <w:tcPr>
            <w:tcW w:w="713" w:type="dxa"/>
            <w:noWrap/>
            <w:hideMark/>
          </w:tcPr>
          <w:p w14:paraId="612977B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1,461.7</w:t>
            </w:r>
          </w:p>
        </w:tc>
        <w:tc>
          <w:tcPr>
            <w:tcW w:w="713" w:type="dxa"/>
            <w:noWrap/>
            <w:hideMark/>
          </w:tcPr>
          <w:p w14:paraId="0EE2161A"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1,360.6</w:t>
            </w:r>
          </w:p>
        </w:tc>
        <w:tc>
          <w:tcPr>
            <w:tcW w:w="713" w:type="dxa"/>
            <w:noWrap/>
            <w:hideMark/>
          </w:tcPr>
          <w:p w14:paraId="12769188"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1,239.9</w:t>
            </w:r>
          </w:p>
        </w:tc>
        <w:tc>
          <w:tcPr>
            <w:tcW w:w="713" w:type="dxa"/>
            <w:noWrap/>
            <w:hideMark/>
          </w:tcPr>
          <w:p w14:paraId="69B9B6B7"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1,118.1</w:t>
            </w:r>
          </w:p>
        </w:tc>
      </w:tr>
      <w:tr w:rsidR="00C25BCB" w:rsidRPr="00C25BCB" w14:paraId="063B0F6E"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5F73FF9C"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BROs</w:t>
            </w:r>
          </w:p>
        </w:tc>
        <w:tc>
          <w:tcPr>
            <w:tcW w:w="713" w:type="dxa"/>
            <w:noWrap/>
            <w:hideMark/>
          </w:tcPr>
          <w:p w14:paraId="0021E6C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213.3</w:t>
            </w:r>
          </w:p>
        </w:tc>
        <w:tc>
          <w:tcPr>
            <w:tcW w:w="713" w:type="dxa"/>
            <w:noWrap/>
            <w:hideMark/>
          </w:tcPr>
          <w:p w14:paraId="2FA02C3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270.2</w:t>
            </w:r>
          </w:p>
        </w:tc>
        <w:tc>
          <w:tcPr>
            <w:tcW w:w="713" w:type="dxa"/>
            <w:noWrap/>
            <w:hideMark/>
          </w:tcPr>
          <w:p w14:paraId="2ECD7A2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302.7</w:t>
            </w:r>
          </w:p>
        </w:tc>
        <w:tc>
          <w:tcPr>
            <w:tcW w:w="713" w:type="dxa"/>
            <w:noWrap/>
            <w:hideMark/>
          </w:tcPr>
          <w:p w14:paraId="1BD4CEB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338.9</w:t>
            </w:r>
          </w:p>
        </w:tc>
        <w:tc>
          <w:tcPr>
            <w:tcW w:w="713" w:type="dxa"/>
            <w:noWrap/>
            <w:hideMark/>
          </w:tcPr>
          <w:p w14:paraId="4E0A149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365.1</w:t>
            </w:r>
          </w:p>
        </w:tc>
        <w:tc>
          <w:tcPr>
            <w:tcW w:w="713" w:type="dxa"/>
            <w:noWrap/>
            <w:hideMark/>
          </w:tcPr>
          <w:p w14:paraId="73C40EA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390.3</w:t>
            </w:r>
          </w:p>
        </w:tc>
        <w:tc>
          <w:tcPr>
            <w:tcW w:w="713" w:type="dxa"/>
            <w:noWrap/>
            <w:hideMark/>
          </w:tcPr>
          <w:p w14:paraId="4374541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416.6</w:t>
            </w:r>
          </w:p>
        </w:tc>
        <w:tc>
          <w:tcPr>
            <w:tcW w:w="713" w:type="dxa"/>
            <w:noWrap/>
            <w:hideMark/>
          </w:tcPr>
          <w:p w14:paraId="60CC0F8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454.1</w:t>
            </w:r>
          </w:p>
        </w:tc>
        <w:tc>
          <w:tcPr>
            <w:tcW w:w="713" w:type="dxa"/>
            <w:noWrap/>
            <w:hideMark/>
          </w:tcPr>
          <w:p w14:paraId="0F7CF8A7"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485.6</w:t>
            </w:r>
          </w:p>
        </w:tc>
        <w:tc>
          <w:tcPr>
            <w:tcW w:w="713" w:type="dxa"/>
            <w:noWrap/>
            <w:hideMark/>
          </w:tcPr>
          <w:p w14:paraId="485BD82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518.3</w:t>
            </w:r>
          </w:p>
        </w:tc>
        <w:tc>
          <w:tcPr>
            <w:tcW w:w="713" w:type="dxa"/>
            <w:noWrap/>
            <w:hideMark/>
          </w:tcPr>
          <w:p w14:paraId="067F9CC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551.8</w:t>
            </w:r>
          </w:p>
        </w:tc>
        <w:tc>
          <w:tcPr>
            <w:tcW w:w="713" w:type="dxa"/>
            <w:noWrap/>
            <w:hideMark/>
          </w:tcPr>
          <w:p w14:paraId="68ADF42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586.7</w:t>
            </w:r>
          </w:p>
        </w:tc>
        <w:tc>
          <w:tcPr>
            <w:tcW w:w="713" w:type="dxa"/>
            <w:noWrap/>
            <w:hideMark/>
          </w:tcPr>
          <w:p w14:paraId="747D4E8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618.3</w:t>
            </w:r>
          </w:p>
        </w:tc>
      </w:tr>
      <w:tr w:rsidR="00C25BCB" w:rsidRPr="00C25BCB" w14:paraId="30987B33" w14:textId="77777777" w:rsidTr="00C25BC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22CB95DA"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Low Income</w:t>
            </w:r>
          </w:p>
        </w:tc>
        <w:tc>
          <w:tcPr>
            <w:tcW w:w="713" w:type="dxa"/>
            <w:noWrap/>
            <w:hideMark/>
          </w:tcPr>
          <w:p w14:paraId="77408A1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56.8</w:t>
            </w:r>
          </w:p>
        </w:tc>
        <w:tc>
          <w:tcPr>
            <w:tcW w:w="713" w:type="dxa"/>
            <w:noWrap/>
            <w:hideMark/>
          </w:tcPr>
          <w:p w14:paraId="01FE492F"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57.3</w:t>
            </w:r>
          </w:p>
        </w:tc>
        <w:tc>
          <w:tcPr>
            <w:tcW w:w="713" w:type="dxa"/>
            <w:noWrap/>
            <w:hideMark/>
          </w:tcPr>
          <w:p w14:paraId="134A45CD"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57.0</w:t>
            </w:r>
          </w:p>
        </w:tc>
        <w:tc>
          <w:tcPr>
            <w:tcW w:w="713" w:type="dxa"/>
            <w:noWrap/>
            <w:hideMark/>
          </w:tcPr>
          <w:p w14:paraId="2364860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62762F4D"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6B0193BB"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368D695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6A0E0FFB"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3887FBE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3D8BAF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3C88957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EDA5E2D"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7A5BD8C8"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r>
      <w:tr w:rsidR="00C25BCB" w:rsidRPr="00C25BCB" w14:paraId="6D49E9C2"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64BB27D2"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Total</w:t>
            </w:r>
          </w:p>
        </w:tc>
        <w:tc>
          <w:tcPr>
            <w:tcW w:w="713" w:type="dxa"/>
            <w:noWrap/>
            <w:hideMark/>
          </w:tcPr>
          <w:p w14:paraId="7AF38A63"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2,670.5</w:t>
            </w:r>
          </w:p>
        </w:tc>
        <w:tc>
          <w:tcPr>
            <w:tcW w:w="713" w:type="dxa"/>
            <w:noWrap/>
            <w:hideMark/>
          </w:tcPr>
          <w:p w14:paraId="6C10F5C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2,811.9</w:t>
            </w:r>
          </w:p>
        </w:tc>
        <w:tc>
          <w:tcPr>
            <w:tcW w:w="713" w:type="dxa"/>
            <w:noWrap/>
            <w:hideMark/>
          </w:tcPr>
          <w:p w14:paraId="61B15F8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2,795.9</w:t>
            </w:r>
          </w:p>
        </w:tc>
        <w:tc>
          <w:tcPr>
            <w:tcW w:w="713" w:type="dxa"/>
            <w:noWrap/>
            <w:hideMark/>
          </w:tcPr>
          <w:p w14:paraId="6CA9C91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2,965.6</w:t>
            </w:r>
          </w:p>
        </w:tc>
        <w:tc>
          <w:tcPr>
            <w:tcW w:w="713" w:type="dxa"/>
            <w:noWrap/>
            <w:hideMark/>
          </w:tcPr>
          <w:p w14:paraId="4893EFB6"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2,974.9</w:t>
            </w:r>
          </w:p>
        </w:tc>
        <w:tc>
          <w:tcPr>
            <w:tcW w:w="713" w:type="dxa"/>
            <w:noWrap/>
            <w:hideMark/>
          </w:tcPr>
          <w:p w14:paraId="6E60053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3,156.3</w:t>
            </w:r>
          </w:p>
        </w:tc>
        <w:tc>
          <w:tcPr>
            <w:tcW w:w="713" w:type="dxa"/>
            <w:noWrap/>
            <w:hideMark/>
          </w:tcPr>
          <w:p w14:paraId="74B5D31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3,126.2</w:t>
            </w:r>
          </w:p>
        </w:tc>
        <w:tc>
          <w:tcPr>
            <w:tcW w:w="713" w:type="dxa"/>
            <w:noWrap/>
            <w:hideMark/>
          </w:tcPr>
          <w:p w14:paraId="7E711DB5"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3,130.2</w:t>
            </w:r>
          </w:p>
        </w:tc>
        <w:tc>
          <w:tcPr>
            <w:tcW w:w="713" w:type="dxa"/>
            <w:noWrap/>
            <w:hideMark/>
          </w:tcPr>
          <w:p w14:paraId="548D93A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3,084.9</w:t>
            </w:r>
          </w:p>
        </w:tc>
        <w:tc>
          <w:tcPr>
            <w:tcW w:w="713" w:type="dxa"/>
            <w:noWrap/>
            <w:hideMark/>
          </w:tcPr>
          <w:p w14:paraId="5667357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3,081.0</w:t>
            </w:r>
          </w:p>
        </w:tc>
        <w:tc>
          <w:tcPr>
            <w:tcW w:w="713" w:type="dxa"/>
            <w:noWrap/>
            <w:hideMark/>
          </w:tcPr>
          <w:p w14:paraId="507B7D29"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3,011.6</w:t>
            </w:r>
          </w:p>
        </w:tc>
        <w:tc>
          <w:tcPr>
            <w:tcW w:w="713" w:type="dxa"/>
            <w:noWrap/>
            <w:hideMark/>
          </w:tcPr>
          <w:p w14:paraId="2C7D60B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2,917.9</w:t>
            </w:r>
          </w:p>
        </w:tc>
        <w:tc>
          <w:tcPr>
            <w:tcW w:w="713" w:type="dxa"/>
            <w:noWrap/>
            <w:hideMark/>
          </w:tcPr>
          <w:p w14:paraId="60F3352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2,816.4</w:t>
            </w:r>
          </w:p>
        </w:tc>
      </w:tr>
      <w:tr w:rsidR="00C25BCB" w:rsidRPr="00C25BCB" w14:paraId="6DE38EA5" w14:textId="77777777" w:rsidTr="00C961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182" w:type="dxa"/>
            <w:gridSpan w:val="14"/>
            <w:shd w:val="clear" w:color="auto" w:fill="DADADA" w:themeFill="background2" w:themeFillShade="E6"/>
            <w:noWrap/>
            <w:hideMark/>
          </w:tcPr>
          <w:p w14:paraId="4799AF36"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PAC | Aggressive</w:t>
            </w:r>
          </w:p>
        </w:tc>
      </w:tr>
      <w:tr w:rsidR="00C25BCB" w:rsidRPr="00C25BCB" w14:paraId="42A70BBF" w14:textId="77777777" w:rsidTr="00C25BC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4DE43C96"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Rebate Programs</w:t>
            </w:r>
          </w:p>
        </w:tc>
        <w:tc>
          <w:tcPr>
            <w:tcW w:w="713" w:type="dxa"/>
            <w:noWrap/>
            <w:hideMark/>
          </w:tcPr>
          <w:p w14:paraId="47F52F0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940.2</w:t>
            </w:r>
          </w:p>
        </w:tc>
        <w:tc>
          <w:tcPr>
            <w:tcW w:w="713" w:type="dxa"/>
            <w:noWrap/>
            <w:hideMark/>
          </w:tcPr>
          <w:p w14:paraId="2419953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993.6</w:t>
            </w:r>
          </w:p>
        </w:tc>
        <w:tc>
          <w:tcPr>
            <w:tcW w:w="713" w:type="dxa"/>
            <w:noWrap/>
            <w:hideMark/>
          </w:tcPr>
          <w:p w14:paraId="047DC33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967.2</w:t>
            </w:r>
          </w:p>
        </w:tc>
        <w:tc>
          <w:tcPr>
            <w:tcW w:w="713" w:type="dxa"/>
            <w:noWrap/>
            <w:hideMark/>
          </w:tcPr>
          <w:p w14:paraId="67B5AD0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1,083.4</w:t>
            </w:r>
          </w:p>
        </w:tc>
        <w:tc>
          <w:tcPr>
            <w:tcW w:w="713" w:type="dxa"/>
            <w:noWrap/>
            <w:hideMark/>
          </w:tcPr>
          <w:p w14:paraId="3FBACB6A"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1,099.2</w:t>
            </w:r>
          </w:p>
        </w:tc>
        <w:tc>
          <w:tcPr>
            <w:tcW w:w="713" w:type="dxa"/>
            <w:noWrap/>
            <w:hideMark/>
          </w:tcPr>
          <w:p w14:paraId="7C1A895B"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1,114.8</w:t>
            </w:r>
          </w:p>
        </w:tc>
        <w:tc>
          <w:tcPr>
            <w:tcW w:w="713" w:type="dxa"/>
            <w:noWrap/>
            <w:hideMark/>
          </w:tcPr>
          <w:p w14:paraId="21145ED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1,119.9</w:t>
            </w:r>
          </w:p>
        </w:tc>
        <w:tc>
          <w:tcPr>
            <w:tcW w:w="713" w:type="dxa"/>
            <w:noWrap/>
            <w:hideMark/>
          </w:tcPr>
          <w:p w14:paraId="2586746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1,124.0</w:t>
            </w:r>
          </w:p>
        </w:tc>
        <w:tc>
          <w:tcPr>
            <w:tcW w:w="713" w:type="dxa"/>
            <w:noWrap/>
            <w:hideMark/>
          </w:tcPr>
          <w:p w14:paraId="322BA22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1,126.8</w:t>
            </w:r>
          </w:p>
        </w:tc>
        <w:tc>
          <w:tcPr>
            <w:tcW w:w="713" w:type="dxa"/>
            <w:noWrap/>
            <w:hideMark/>
          </w:tcPr>
          <w:p w14:paraId="4EF78D40"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1,126.3</w:t>
            </w:r>
          </w:p>
        </w:tc>
        <w:tc>
          <w:tcPr>
            <w:tcW w:w="713" w:type="dxa"/>
            <w:noWrap/>
            <w:hideMark/>
          </w:tcPr>
          <w:p w14:paraId="09F2B21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1,122.2</w:t>
            </w:r>
          </w:p>
        </w:tc>
        <w:tc>
          <w:tcPr>
            <w:tcW w:w="713" w:type="dxa"/>
            <w:noWrap/>
            <w:hideMark/>
          </w:tcPr>
          <w:p w14:paraId="3EA7983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1,114.1</w:t>
            </w:r>
          </w:p>
        </w:tc>
        <w:tc>
          <w:tcPr>
            <w:tcW w:w="713" w:type="dxa"/>
            <w:noWrap/>
            <w:hideMark/>
          </w:tcPr>
          <w:p w14:paraId="3E86563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1,107.5</w:t>
            </w:r>
          </w:p>
        </w:tc>
      </w:tr>
      <w:tr w:rsidR="00C25BCB" w:rsidRPr="00C25BCB" w14:paraId="76D5403A" w14:textId="77777777" w:rsidTr="00C25BC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1D7A70F6" w14:textId="77777777" w:rsidR="00C25BCB" w:rsidRPr="00C25BCB" w:rsidRDefault="00C961E4" w:rsidP="00C25BCB">
            <w:pPr>
              <w:keepNext/>
              <w:spacing w:line="240" w:lineRule="auto"/>
              <w:rPr>
                <w:rFonts w:ascii="Arial Narrow" w:hAnsi="Arial Narrow" w:cs="Calibri"/>
                <w:b/>
                <w:bCs/>
                <w:sz w:val="18"/>
                <w:szCs w:val="18"/>
              </w:rPr>
            </w:pPr>
            <w:r>
              <w:rPr>
                <w:rFonts w:ascii="Arial Narrow" w:hAnsi="Arial Narrow" w:cs="Calibri"/>
                <w:b/>
                <w:bCs/>
                <w:sz w:val="18"/>
                <w:szCs w:val="18"/>
              </w:rPr>
              <w:t>C&amp;S</w:t>
            </w:r>
          </w:p>
        </w:tc>
        <w:tc>
          <w:tcPr>
            <w:tcW w:w="713" w:type="dxa"/>
            <w:noWrap/>
            <w:hideMark/>
          </w:tcPr>
          <w:p w14:paraId="7D4C4749"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1,507.9</w:t>
            </w:r>
          </w:p>
        </w:tc>
        <w:tc>
          <w:tcPr>
            <w:tcW w:w="713" w:type="dxa"/>
            <w:noWrap/>
            <w:hideMark/>
          </w:tcPr>
          <w:p w14:paraId="7257A50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1,544.8</w:t>
            </w:r>
          </w:p>
        </w:tc>
        <w:tc>
          <w:tcPr>
            <w:tcW w:w="713" w:type="dxa"/>
            <w:noWrap/>
            <w:hideMark/>
          </w:tcPr>
          <w:p w14:paraId="2762811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1,527.3</w:t>
            </w:r>
          </w:p>
        </w:tc>
        <w:tc>
          <w:tcPr>
            <w:tcW w:w="713" w:type="dxa"/>
            <w:noWrap/>
            <w:hideMark/>
          </w:tcPr>
          <w:p w14:paraId="08FE315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1,580.1</w:t>
            </w:r>
          </w:p>
        </w:tc>
        <w:tc>
          <w:tcPr>
            <w:tcW w:w="713" w:type="dxa"/>
            <w:noWrap/>
            <w:hideMark/>
          </w:tcPr>
          <w:p w14:paraId="1AB760A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1,546.4</w:t>
            </w:r>
          </w:p>
        </w:tc>
        <w:tc>
          <w:tcPr>
            <w:tcW w:w="713" w:type="dxa"/>
            <w:noWrap/>
            <w:hideMark/>
          </w:tcPr>
          <w:p w14:paraId="080380D2"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1,686.3</w:t>
            </w:r>
          </w:p>
        </w:tc>
        <w:tc>
          <w:tcPr>
            <w:tcW w:w="713" w:type="dxa"/>
            <w:noWrap/>
            <w:hideMark/>
          </w:tcPr>
          <w:p w14:paraId="0971BAD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1,622.6</w:t>
            </w:r>
          </w:p>
        </w:tc>
        <w:tc>
          <w:tcPr>
            <w:tcW w:w="713" w:type="dxa"/>
            <w:noWrap/>
            <w:hideMark/>
          </w:tcPr>
          <w:p w14:paraId="6B1915E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1,578.2</w:t>
            </w:r>
          </w:p>
        </w:tc>
        <w:tc>
          <w:tcPr>
            <w:tcW w:w="713" w:type="dxa"/>
            <w:noWrap/>
            <w:hideMark/>
          </w:tcPr>
          <w:p w14:paraId="3C6941CA"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1,501.6</w:t>
            </w:r>
          </w:p>
        </w:tc>
        <w:tc>
          <w:tcPr>
            <w:tcW w:w="713" w:type="dxa"/>
            <w:noWrap/>
            <w:hideMark/>
          </w:tcPr>
          <w:p w14:paraId="2D0DAF5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1,461.7</w:t>
            </w:r>
          </w:p>
        </w:tc>
        <w:tc>
          <w:tcPr>
            <w:tcW w:w="713" w:type="dxa"/>
            <w:noWrap/>
            <w:hideMark/>
          </w:tcPr>
          <w:p w14:paraId="010C3EA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1,360.6</w:t>
            </w:r>
          </w:p>
        </w:tc>
        <w:tc>
          <w:tcPr>
            <w:tcW w:w="713" w:type="dxa"/>
            <w:noWrap/>
            <w:hideMark/>
          </w:tcPr>
          <w:p w14:paraId="4DCB456F"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1,239.9</w:t>
            </w:r>
          </w:p>
        </w:tc>
        <w:tc>
          <w:tcPr>
            <w:tcW w:w="713" w:type="dxa"/>
            <w:noWrap/>
            <w:hideMark/>
          </w:tcPr>
          <w:p w14:paraId="0A338DD8"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1,118.1</w:t>
            </w:r>
          </w:p>
        </w:tc>
      </w:tr>
      <w:tr w:rsidR="00C25BCB" w:rsidRPr="00C25BCB" w14:paraId="6D8FA6CB"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6E0DEA14"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BROs</w:t>
            </w:r>
          </w:p>
        </w:tc>
        <w:tc>
          <w:tcPr>
            <w:tcW w:w="713" w:type="dxa"/>
            <w:noWrap/>
            <w:hideMark/>
          </w:tcPr>
          <w:p w14:paraId="26D9E89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264.2</w:t>
            </w:r>
          </w:p>
        </w:tc>
        <w:tc>
          <w:tcPr>
            <w:tcW w:w="713" w:type="dxa"/>
            <w:noWrap/>
            <w:hideMark/>
          </w:tcPr>
          <w:p w14:paraId="10BCD54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369.1</w:t>
            </w:r>
          </w:p>
        </w:tc>
        <w:tc>
          <w:tcPr>
            <w:tcW w:w="713" w:type="dxa"/>
            <w:noWrap/>
            <w:hideMark/>
          </w:tcPr>
          <w:p w14:paraId="374ED84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433.1</w:t>
            </w:r>
          </w:p>
        </w:tc>
        <w:tc>
          <w:tcPr>
            <w:tcW w:w="713" w:type="dxa"/>
            <w:noWrap/>
            <w:hideMark/>
          </w:tcPr>
          <w:p w14:paraId="66CB6984"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478.8</w:t>
            </w:r>
          </w:p>
        </w:tc>
        <w:tc>
          <w:tcPr>
            <w:tcW w:w="713" w:type="dxa"/>
            <w:noWrap/>
            <w:hideMark/>
          </w:tcPr>
          <w:p w14:paraId="249BCB5D"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529.2</w:t>
            </w:r>
          </w:p>
        </w:tc>
        <w:tc>
          <w:tcPr>
            <w:tcW w:w="713" w:type="dxa"/>
            <w:noWrap/>
            <w:hideMark/>
          </w:tcPr>
          <w:p w14:paraId="07D5838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575.6</w:t>
            </w:r>
          </w:p>
        </w:tc>
        <w:tc>
          <w:tcPr>
            <w:tcW w:w="713" w:type="dxa"/>
            <w:noWrap/>
            <w:hideMark/>
          </w:tcPr>
          <w:p w14:paraId="2523BC98"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653.6</w:t>
            </w:r>
          </w:p>
        </w:tc>
        <w:tc>
          <w:tcPr>
            <w:tcW w:w="713" w:type="dxa"/>
            <w:noWrap/>
            <w:hideMark/>
          </w:tcPr>
          <w:p w14:paraId="6706D1EF"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748.1</w:t>
            </w:r>
          </w:p>
        </w:tc>
        <w:tc>
          <w:tcPr>
            <w:tcW w:w="713" w:type="dxa"/>
            <w:noWrap/>
            <w:hideMark/>
          </w:tcPr>
          <w:p w14:paraId="0BB098F1"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811.8</w:t>
            </w:r>
          </w:p>
        </w:tc>
        <w:tc>
          <w:tcPr>
            <w:tcW w:w="713" w:type="dxa"/>
            <w:noWrap/>
            <w:hideMark/>
          </w:tcPr>
          <w:p w14:paraId="10E8043C"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883.9</w:t>
            </w:r>
          </w:p>
        </w:tc>
        <w:tc>
          <w:tcPr>
            <w:tcW w:w="713" w:type="dxa"/>
            <w:noWrap/>
            <w:hideMark/>
          </w:tcPr>
          <w:p w14:paraId="2FF72B7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966.6</w:t>
            </w:r>
          </w:p>
        </w:tc>
        <w:tc>
          <w:tcPr>
            <w:tcW w:w="713" w:type="dxa"/>
            <w:noWrap/>
            <w:hideMark/>
          </w:tcPr>
          <w:p w14:paraId="384C555E"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1,059.1</w:t>
            </w:r>
          </w:p>
        </w:tc>
        <w:tc>
          <w:tcPr>
            <w:tcW w:w="713" w:type="dxa"/>
            <w:noWrap/>
            <w:hideMark/>
          </w:tcPr>
          <w:p w14:paraId="6373D3C2" w14:textId="77777777" w:rsidR="00C25BCB" w:rsidRPr="00C25BCB" w:rsidRDefault="00C25BCB" w:rsidP="00C25BCB">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1,163.9</w:t>
            </w:r>
          </w:p>
        </w:tc>
      </w:tr>
      <w:tr w:rsidR="00C25BCB" w:rsidRPr="00C25BCB" w14:paraId="415C4649" w14:textId="77777777" w:rsidTr="00C25BC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10" w:type="dxa"/>
            <w:hideMark/>
          </w:tcPr>
          <w:p w14:paraId="3AFEBA79" w14:textId="77777777" w:rsidR="00C25BCB" w:rsidRPr="00C25BCB" w:rsidRDefault="00C25BCB" w:rsidP="00C25BCB">
            <w:pPr>
              <w:keepNext/>
              <w:spacing w:line="240" w:lineRule="auto"/>
              <w:rPr>
                <w:rFonts w:ascii="Arial Narrow" w:hAnsi="Arial Narrow" w:cs="Calibri"/>
                <w:b/>
                <w:bCs/>
                <w:sz w:val="18"/>
                <w:szCs w:val="18"/>
              </w:rPr>
            </w:pPr>
            <w:r w:rsidRPr="00C25BCB">
              <w:rPr>
                <w:rFonts w:ascii="Arial Narrow" w:hAnsi="Arial Narrow" w:cs="Calibri"/>
                <w:b/>
                <w:bCs/>
                <w:sz w:val="18"/>
                <w:szCs w:val="18"/>
              </w:rPr>
              <w:t>Low Income</w:t>
            </w:r>
          </w:p>
        </w:tc>
        <w:tc>
          <w:tcPr>
            <w:tcW w:w="713" w:type="dxa"/>
            <w:noWrap/>
            <w:hideMark/>
          </w:tcPr>
          <w:p w14:paraId="59449031"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56.8</w:t>
            </w:r>
          </w:p>
        </w:tc>
        <w:tc>
          <w:tcPr>
            <w:tcW w:w="713" w:type="dxa"/>
            <w:noWrap/>
            <w:hideMark/>
          </w:tcPr>
          <w:p w14:paraId="365C98A5"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57.3</w:t>
            </w:r>
          </w:p>
        </w:tc>
        <w:tc>
          <w:tcPr>
            <w:tcW w:w="713" w:type="dxa"/>
            <w:noWrap/>
            <w:hideMark/>
          </w:tcPr>
          <w:p w14:paraId="1958BA8D"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57.0</w:t>
            </w:r>
          </w:p>
        </w:tc>
        <w:tc>
          <w:tcPr>
            <w:tcW w:w="713" w:type="dxa"/>
            <w:noWrap/>
            <w:hideMark/>
          </w:tcPr>
          <w:p w14:paraId="7BF96712"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29F4120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136567F3"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345185FB"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368DCA92"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78A11B7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57A717DE"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404B7AB0"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2AAE8004"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c>
          <w:tcPr>
            <w:tcW w:w="713" w:type="dxa"/>
            <w:noWrap/>
            <w:hideMark/>
          </w:tcPr>
          <w:p w14:paraId="0371D746" w14:textId="77777777" w:rsidR="00C25BCB" w:rsidRPr="00C25BCB" w:rsidRDefault="00C25BCB" w:rsidP="00C25BCB">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25BCB">
              <w:rPr>
                <w:rFonts w:ascii="Arial Narrow" w:hAnsi="Arial Narrow" w:cs="Calibri"/>
                <w:sz w:val="18"/>
                <w:szCs w:val="18"/>
              </w:rPr>
              <w:t>32.7</w:t>
            </w:r>
          </w:p>
        </w:tc>
      </w:tr>
      <w:tr w:rsidR="00C25BCB" w:rsidRPr="00C25BCB" w14:paraId="18CB5445" w14:textId="77777777" w:rsidTr="00C25B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0" w:type="dxa"/>
            <w:hideMark/>
          </w:tcPr>
          <w:p w14:paraId="0C013EA8" w14:textId="77777777" w:rsidR="00C25BCB" w:rsidRPr="00C25BCB" w:rsidRDefault="00C25BCB" w:rsidP="00C25BCB">
            <w:pPr>
              <w:spacing w:line="240" w:lineRule="auto"/>
              <w:rPr>
                <w:rFonts w:ascii="Arial Narrow" w:hAnsi="Arial Narrow" w:cs="Calibri"/>
                <w:b/>
                <w:bCs/>
                <w:sz w:val="18"/>
                <w:szCs w:val="18"/>
              </w:rPr>
            </w:pPr>
            <w:r w:rsidRPr="00C25BCB">
              <w:rPr>
                <w:rFonts w:ascii="Arial Narrow" w:hAnsi="Arial Narrow" w:cs="Calibri"/>
                <w:b/>
                <w:bCs/>
                <w:sz w:val="18"/>
                <w:szCs w:val="18"/>
              </w:rPr>
              <w:t>Total</w:t>
            </w:r>
          </w:p>
        </w:tc>
        <w:tc>
          <w:tcPr>
            <w:tcW w:w="713" w:type="dxa"/>
            <w:noWrap/>
            <w:hideMark/>
          </w:tcPr>
          <w:p w14:paraId="26CD683B"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2,769.1</w:t>
            </w:r>
          </w:p>
        </w:tc>
        <w:tc>
          <w:tcPr>
            <w:tcW w:w="713" w:type="dxa"/>
            <w:noWrap/>
            <w:hideMark/>
          </w:tcPr>
          <w:p w14:paraId="312477ED"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2,964.8</w:t>
            </w:r>
          </w:p>
        </w:tc>
        <w:tc>
          <w:tcPr>
            <w:tcW w:w="713" w:type="dxa"/>
            <w:noWrap/>
            <w:hideMark/>
          </w:tcPr>
          <w:p w14:paraId="5F19866E"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2,984.6</w:t>
            </w:r>
          </w:p>
        </w:tc>
        <w:tc>
          <w:tcPr>
            <w:tcW w:w="713" w:type="dxa"/>
            <w:noWrap/>
            <w:hideMark/>
          </w:tcPr>
          <w:p w14:paraId="714700CD"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3,175.0</w:t>
            </w:r>
          </w:p>
        </w:tc>
        <w:tc>
          <w:tcPr>
            <w:tcW w:w="713" w:type="dxa"/>
            <w:noWrap/>
            <w:hideMark/>
          </w:tcPr>
          <w:p w14:paraId="4BF6A651"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3,207.5</w:t>
            </w:r>
          </w:p>
        </w:tc>
        <w:tc>
          <w:tcPr>
            <w:tcW w:w="713" w:type="dxa"/>
            <w:noWrap/>
            <w:hideMark/>
          </w:tcPr>
          <w:p w14:paraId="5057565B"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3,409.4</w:t>
            </w:r>
          </w:p>
        </w:tc>
        <w:tc>
          <w:tcPr>
            <w:tcW w:w="713" w:type="dxa"/>
            <w:noWrap/>
            <w:hideMark/>
          </w:tcPr>
          <w:p w14:paraId="4198AE3C"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3,428.8</w:t>
            </w:r>
          </w:p>
        </w:tc>
        <w:tc>
          <w:tcPr>
            <w:tcW w:w="713" w:type="dxa"/>
            <w:noWrap/>
            <w:hideMark/>
          </w:tcPr>
          <w:p w14:paraId="19611116"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3,483.0</w:t>
            </w:r>
          </w:p>
        </w:tc>
        <w:tc>
          <w:tcPr>
            <w:tcW w:w="713" w:type="dxa"/>
            <w:noWrap/>
            <w:hideMark/>
          </w:tcPr>
          <w:p w14:paraId="3BD931F0"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3,472.9</w:t>
            </w:r>
          </w:p>
        </w:tc>
        <w:tc>
          <w:tcPr>
            <w:tcW w:w="713" w:type="dxa"/>
            <w:noWrap/>
            <w:hideMark/>
          </w:tcPr>
          <w:p w14:paraId="165D9FD4"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3,504.6</w:t>
            </w:r>
          </w:p>
        </w:tc>
        <w:tc>
          <w:tcPr>
            <w:tcW w:w="713" w:type="dxa"/>
            <w:noWrap/>
            <w:hideMark/>
          </w:tcPr>
          <w:p w14:paraId="20C9411D"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3,482.1</w:t>
            </w:r>
          </w:p>
        </w:tc>
        <w:tc>
          <w:tcPr>
            <w:tcW w:w="713" w:type="dxa"/>
            <w:noWrap/>
            <w:hideMark/>
          </w:tcPr>
          <w:p w14:paraId="63D3B8BE"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3,445.8</w:t>
            </w:r>
          </w:p>
        </w:tc>
        <w:tc>
          <w:tcPr>
            <w:tcW w:w="713" w:type="dxa"/>
            <w:noWrap/>
            <w:hideMark/>
          </w:tcPr>
          <w:p w14:paraId="4C634E9A" w14:textId="77777777" w:rsidR="00C25BCB" w:rsidRPr="00C25BCB" w:rsidRDefault="00C25BCB" w:rsidP="00C25B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25BCB">
              <w:rPr>
                <w:rFonts w:ascii="Arial Narrow" w:hAnsi="Arial Narrow" w:cs="Calibri"/>
                <w:b/>
                <w:bCs/>
                <w:sz w:val="18"/>
                <w:szCs w:val="18"/>
              </w:rPr>
              <w:t>3,422.1</w:t>
            </w:r>
          </w:p>
        </w:tc>
      </w:tr>
    </w:tbl>
    <w:p w14:paraId="4B6CAB3D" w14:textId="77777777" w:rsidR="00C25BCB" w:rsidRPr="00C25BCB" w:rsidRDefault="00C25BCB" w:rsidP="00C25BCB"/>
    <w:p w14:paraId="16B6AB4B" w14:textId="20BD9BC1" w:rsidR="00A25F1A" w:rsidRDefault="00C25BCB" w:rsidP="00A25F1A">
      <w:pPr>
        <w:pStyle w:val="Caption"/>
      </w:pPr>
      <w:bookmarkStart w:id="748" w:name="_Ref484595709"/>
      <w:bookmarkStart w:id="749" w:name="_Toc485125690"/>
      <w:r>
        <w:lastRenderedPageBreak/>
        <w:t xml:space="preserve">Table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C407F4">
        <w:rPr>
          <w:noProof/>
        </w:rPr>
        <w:t>2</w:t>
      </w:r>
      <w:r w:rsidR="00272F76">
        <w:rPr>
          <w:noProof/>
        </w:rPr>
        <w:fldChar w:fldCharType="end"/>
      </w:r>
      <w:bookmarkEnd w:id="748"/>
      <w:r>
        <w:t xml:space="preserve">. </w:t>
      </w:r>
      <w:r w:rsidR="00A25F1A">
        <w:t>Statewide Incremental Demand Savings by Scenario</w:t>
      </w:r>
      <w:bookmarkEnd w:id="749"/>
    </w:p>
    <w:tbl>
      <w:tblPr>
        <w:tblW w:w="9386" w:type="dxa"/>
        <w:tblInd w:w="108" w:type="dxa"/>
        <w:tblLook w:val="04A0" w:firstRow="1" w:lastRow="0" w:firstColumn="1" w:lastColumn="0" w:noHBand="0" w:noVBand="1"/>
      </w:tblPr>
      <w:tblGrid>
        <w:gridCol w:w="1259"/>
        <w:gridCol w:w="626"/>
        <w:gridCol w:w="626"/>
        <w:gridCol w:w="624"/>
        <w:gridCol w:w="624"/>
        <w:gridCol w:w="624"/>
        <w:gridCol w:w="624"/>
        <w:gridCol w:w="624"/>
        <w:gridCol w:w="624"/>
        <w:gridCol w:w="624"/>
        <w:gridCol w:w="624"/>
        <w:gridCol w:w="624"/>
        <w:gridCol w:w="624"/>
        <w:gridCol w:w="624"/>
        <w:gridCol w:w="11"/>
      </w:tblGrid>
      <w:tr w:rsidR="00A25F1A" w:rsidRPr="00A25F1A" w14:paraId="4EF79B3D" w14:textId="77777777" w:rsidTr="00A25F1A">
        <w:trPr>
          <w:trHeight w:val="277"/>
        </w:trPr>
        <w:tc>
          <w:tcPr>
            <w:tcW w:w="9386" w:type="dxa"/>
            <w:gridSpan w:val="15"/>
            <w:tcBorders>
              <w:top w:val="nil"/>
              <w:left w:val="nil"/>
              <w:bottom w:val="single" w:sz="12" w:space="0" w:color="95D600"/>
              <w:right w:val="nil"/>
            </w:tcBorders>
            <w:shd w:val="clear" w:color="000000" w:fill="555759"/>
            <w:noWrap/>
            <w:vAlign w:val="center"/>
            <w:hideMark/>
          </w:tcPr>
          <w:p w14:paraId="2F7C4F36" w14:textId="77777777" w:rsidR="00A25F1A" w:rsidRPr="00A25F1A" w:rsidRDefault="00A25F1A" w:rsidP="00A25F1A">
            <w:pPr>
              <w:spacing w:line="240" w:lineRule="auto"/>
              <w:jc w:val="center"/>
              <w:rPr>
                <w:rFonts w:ascii="Arial Narrow" w:hAnsi="Arial Narrow" w:cs="Calibri"/>
                <w:b/>
                <w:bCs/>
                <w:color w:val="FFFFFF"/>
                <w:sz w:val="18"/>
                <w:szCs w:val="18"/>
              </w:rPr>
            </w:pPr>
            <w:r w:rsidRPr="00A25F1A">
              <w:rPr>
                <w:rFonts w:ascii="Arial Narrow" w:hAnsi="Arial Narrow" w:cs="Calibri"/>
                <w:b/>
                <w:bCs/>
                <w:color w:val="FFFFFF"/>
                <w:sz w:val="18"/>
                <w:szCs w:val="18"/>
              </w:rPr>
              <w:t>Electric Demand (MW)</w:t>
            </w:r>
          </w:p>
        </w:tc>
      </w:tr>
      <w:tr w:rsidR="00A25F1A" w:rsidRPr="00A25F1A" w14:paraId="4838BE1F" w14:textId="77777777" w:rsidTr="00A25F1A">
        <w:trPr>
          <w:gridAfter w:val="1"/>
          <w:wAfter w:w="11" w:type="dxa"/>
          <w:trHeight w:val="285"/>
        </w:trPr>
        <w:tc>
          <w:tcPr>
            <w:tcW w:w="1259" w:type="dxa"/>
            <w:tcBorders>
              <w:top w:val="nil"/>
              <w:left w:val="nil"/>
              <w:bottom w:val="single" w:sz="8" w:space="0" w:color="DCDDDE"/>
              <w:right w:val="nil"/>
            </w:tcBorders>
            <w:shd w:val="clear" w:color="auto" w:fill="auto"/>
            <w:vAlign w:val="center"/>
            <w:hideMark/>
          </w:tcPr>
          <w:p w14:paraId="0C0B5E16"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Year</w:t>
            </w:r>
          </w:p>
        </w:tc>
        <w:tc>
          <w:tcPr>
            <w:tcW w:w="626" w:type="dxa"/>
            <w:tcBorders>
              <w:top w:val="nil"/>
              <w:left w:val="nil"/>
              <w:bottom w:val="single" w:sz="8" w:space="0" w:color="DCDDDE"/>
              <w:right w:val="nil"/>
            </w:tcBorders>
            <w:shd w:val="clear" w:color="auto" w:fill="auto"/>
            <w:noWrap/>
            <w:vAlign w:val="center"/>
            <w:hideMark/>
          </w:tcPr>
          <w:p w14:paraId="2B252D30"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2018</w:t>
            </w:r>
          </w:p>
        </w:tc>
        <w:tc>
          <w:tcPr>
            <w:tcW w:w="626" w:type="dxa"/>
            <w:tcBorders>
              <w:top w:val="nil"/>
              <w:left w:val="nil"/>
              <w:bottom w:val="single" w:sz="8" w:space="0" w:color="DCDDDE"/>
              <w:right w:val="nil"/>
            </w:tcBorders>
            <w:shd w:val="clear" w:color="auto" w:fill="auto"/>
            <w:noWrap/>
            <w:vAlign w:val="center"/>
            <w:hideMark/>
          </w:tcPr>
          <w:p w14:paraId="4C4350F2"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2019</w:t>
            </w:r>
          </w:p>
        </w:tc>
        <w:tc>
          <w:tcPr>
            <w:tcW w:w="624" w:type="dxa"/>
            <w:tcBorders>
              <w:top w:val="nil"/>
              <w:left w:val="nil"/>
              <w:bottom w:val="single" w:sz="8" w:space="0" w:color="DCDDDE"/>
              <w:right w:val="nil"/>
            </w:tcBorders>
            <w:shd w:val="clear" w:color="auto" w:fill="auto"/>
            <w:noWrap/>
            <w:vAlign w:val="center"/>
            <w:hideMark/>
          </w:tcPr>
          <w:p w14:paraId="4D852AD5"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2020</w:t>
            </w:r>
          </w:p>
        </w:tc>
        <w:tc>
          <w:tcPr>
            <w:tcW w:w="624" w:type="dxa"/>
            <w:tcBorders>
              <w:top w:val="nil"/>
              <w:left w:val="nil"/>
              <w:bottom w:val="single" w:sz="8" w:space="0" w:color="DCDDDE"/>
              <w:right w:val="nil"/>
            </w:tcBorders>
            <w:shd w:val="clear" w:color="auto" w:fill="auto"/>
            <w:noWrap/>
            <w:vAlign w:val="center"/>
            <w:hideMark/>
          </w:tcPr>
          <w:p w14:paraId="08C8FBD5"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2021</w:t>
            </w:r>
          </w:p>
        </w:tc>
        <w:tc>
          <w:tcPr>
            <w:tcW w:w="624" w:type="dxa"/>
            <w:tcBorders>
              <w:top w:val="nil"/>
              <w:left w:val="nil"/>
              <w:bottom w:val="single" w:sz="8" w:space="0" w:color="DCDDDE"/>
              <w:right w:val="nil"/>
            </w:tcBorders>
            <w:shd w:val="clear" w:color="auto" w:fill="auto"/>
            <w:noWrap/>
            <w:vAlign w:val="center"/>
            <w:hideMark/>
          </w:tcPr>
          <w:p w14:paraId="2171D4AD"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2022</w:t>
            </w:r>
          </w:p>
        </w:tc>
        <w:tc>
          <w:tcPr>
            <w:tcW w:w="624" w:type="dxa"/>
            <w:tcBorders>
              <w:top w:val="nil"/>
              <w:left w:val="nil"/>
              <w:bottom w:val="single" w:sz="8" w:space="0" w:color="DCDDDE"/>
              <w:right w:val="nil"/>
            </w:tcBorders>
            <w:shd w:val="clear" w:color="auto" w:fill="auto"/>
            <w:noWrap/>
            <w:vAlign w:val="center"/>
            <w:hideMark/>
          </w:tcPr>
          <w:p w14:paraId="26F8B077"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2023</w:t>
            </w:r>
          </w:p>
        </w:tc>
        <w:tc>
          <w:tcPr>
            <w:tcW w:w="624" w:type="dxa"/>
            <w:tcBorders>
              <w:top w:val="nil"/>
              <w:left w:val="nil"/>
              <w:bottom w:val="single" w:sz="8" w:space="0" w:color="DCDDDE"/>
              <w:right w:val="nil"/>
            </w:tcBorders>
            <w:shd w:val="clear" w:color="auto" w:fill="auto"/>
            <w:noWrap/>
            <w:vAlign w:val="center"/>
            <w:hideMark/>
          </w:tcPr>
          <w:p w14:paraId="2D9680E0"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2024</w:t>
            </w:r>
          </w:p>
        </w:tc>
        <w:tc>
          <w:tcPr>
            <w:tcW w:w="624" w:type="dxa"/>
            <w:tcBorders>
              <w:top w:val="nil"/>
              <w:left w:val="nil"/>
              <w:bottom w:val="single" w:sz="8" w:space="0" w:color="DCDDDE"/>
              <w:right w:val="nil"/>
            </w:tcBorders>
            <w:shd w:val="clear" w:color="auto" w:fill="auto"/>
            <w:noWrap/>
            <w:vAlign w:val="center"/>
            <w:hideMark/>
          </w:tcPr>
          <w:p w14:paraId="01DADB55"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2025</w:t>
            </w:r>
          </w:p>
        </w:tc>
        <w:tc>
          <w:tcPr>
            <w:tcW w:w="624" w:type="dxa"/>
            <w:tcBorders>
              <w:top w:val="nil"/>
              <w:left w:val="nil"/>
              <w:bottom w:val="single" w:sz="8" w:space="0" w:color="DCDDDE"/>
              <w:right w:val="nil"/>
            </w:tcBorders>
            <w:shd w:val="clear" w:color="auto" w:fill="auto"/>
            <w:noWrap/>
            <w:vAlign w:val="center"/>
            <w:hideMark/>
          </w:tcPr>
          <w:p w14:paraId="441D0A12"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2026</w:t>
            </w:r>
          </w:p>
        </w:tc>
        <w:tc>
          <w:tcPr>
            <w:tcW w:w="624" w:type="dxa"/>
            <w:tcBorders>
              <w:top w:val="nil"/>
              <w:left w:val="nil"/>
              <w:bottom w:val="single" w:sz="8" w:space="0" w:color="DCDDDE"/>
              <w:right w:val="nil"/>
            </w:tcBorders>
            <w:shd w:val="clear" w:color="auto" w:fill="auto"/>
            <w:noWrap/>
            <w:vAlign w:val="center"/>
            <w:hideMark/>
          </w:tcPr>
          <w:p w14:paraId="2918253E"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2027</w:t>
            </w:r>
          </w:p>
        </w:tc>
        <w:tc>
          <w:tcPr>
            <w:tcW w:w="624" w:type="dxa"/>
            <w:tcBorders>
              <w:top w:val="nil"/>
              <w:left w:val="nil"/>
              <w:bottom w:val="single" w:sz="8" w:space="0" w:color="DCDDDE"/>
              <w:right w:val="nil"/>
            </w:tcBorders>
            <w:shd w:val="clear" w:color="auto" w:fill="auto"/>
            <w:noWrap/>
            <w:vAlign w:val="center"/>
            <w:hideMark/>
          </w:tcPr>
          <w:p w14:paraId="1E5977B1"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2028</w:t>
            </w:r>
          </w:p>
        </w:tc>
        <w:tc>
          <w:tcPr>
            <w:tcW w:w="624" w:type="dxa"/>
            <w:tcBorders>
              <w:top w:val="nil"/>
              <w:left w:val="nil"/>
              <w:bottom w:val="single" w:sz="8" w:space="0" w:color="DCDDDE"/>
              <w:right w:val="nil"/>
            </w:tcBorders>
            <w:shd w:val="clear" w:color="auto" w:fill="auto"/>
            <w:noWrap/>
            <w:vAlign w:val="center"/>
            <w:hideMark/>
          </w:tcPr>
          <w:p w14:paraId="695195AB"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2029</w:t>
            </w:r>
          </w:p>
        </w:tc>
        <w:tc>
          <w:tcPr>
            <w:tcW w:w="624" w:type="dxa"/>
            <w:tcBorders>
              <w:top w:val="nil"/>
              <w:left w:val="nil"/>
              <w:bottom w:val="single" w:sz="8" w:space="0" w:color="DCDDDE"/>
              <w:right w:val="nil"/>
            </w:tcBorders>
            <w:shd w:val="clear" w:color="auto" w:fill="auto"/>
            <w:noWrap/>
            <w:vAlign w:val="center"/>
            <w:hideMark/>
          </w:tcPr>
          <w:p w14:paraId="79E7AF30"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2030</w:t>
            </w:r>
          </w:p>
        </w:tc>
      </w:tr>
      <w:tr w:rsidR="00A25F1A" w:rsidRPr="00A25F1A" w14:paraId="64020926" w14:textId="77777777" w:rsidTr="00A25F1A">
        <w:trPr>
          <w:trHeight w:val="250"/>
        </w:trPr>
        <w:tc>
          <w:tcPr>
            <w:tcW w:w="9386" w:type="dxa"/>
            <w:gridSpan w:val="15"/>
            <w:tcBorders>
              <w:top w:val="single" w:sz="8" w:space="0" w:color="DCDDDE"/>
              <w:left w:val="nil"/>
              <w:bottom w:val="single" w:sz="8" w:space="0" w:color="DCDDDE"/>
              <w:right w:val="nil"/>
            </w:tcBorders>
            <w:shd w:val="clear" w:color="000000" w:fill="DADADA"/>
            <w:noWrap/>
            <w:vAlign w:val="center"/>
            <w:hideMark/>
          </w:tcPr>
          <w:p w14:paraId="43E28480"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TRC | Reference</w:t>
            </w:r>
          </w:p>
        </w:tc>
      </w:tr>
      <w:tr w:rsidR="00A25F1A" w:rsidRPr="00A25F1A" w14:paraId="704EBD89"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3D25F12A"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Rebate Programs</w:t>
            </w:r>
          </w:p>
        </w:tc>
        <w:tc>
          <w:tcPr>
            <w:tcW w:w="626" w:type="dxa"/>
            <w:tcBorders>
              <w:top w:val="nil"/>
              <w:left w:val="nil"/>
              <w:bottom w:val="single" w:sz="8" w:space="0" w:color="DCDDDE"/>
              <w:right w:val="nil"/>
            </w:tcBorders>
            <w:shd w:val="clear" w:color="000000" w:fill="FFFFFF"/>
            <w:noWrap/>
            <w:vAlign w:val="center"/>
            <w:hideMark/>
          </w:tcPr>
          <w:p w14:paraId="73A1A37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120.0</w:t>
            </w:r>
          </w:p>
        </w:tc>
        <w:tc>
          <w:tcPr>
            <w:tcW w:w="626" w:type="dxa"/>
            <w:tcBorders>
              <w:top w:val="nil"/>
              <w:left w:val="nil"/>
              <w:bottom w:val="single" w:sz="8" w:space="0" w:color="DCDDDE"/>
              <w:right w:val="nil"/>
            </w:tcBorders>
            <w:shd w:val="clear" w:color="000000" w:fill="FFFFFF"/>
            <w:noWrap/>
            <w:vAlign w:val="center"/>
            <w:hideMark/>
          </w:tcPr>
          <w:p w14:paraId="1B09B3F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133.9</w:t>
            </w:r>
          </w:p>
        </w:tc>
        <w:tc>
          <w:tcPr>
            <w:tcW w:w="624" w:type="dxa"/>
            <w:tcBorders>
              <w:top w:val="nil"/>
              <w:left w:val="nil"/>
              <w:bottom w:val="single" w:sz="8" w:space="0" w:color="DCDDDE"/>
              <w:right w:val="nil"/>
            </w:tcBorders>
            <w:shd w:val="clear" w:color="000000" w:fill="FFFFFF"/>
            <w:noWrap/>
            <w:vAlign w:val="center"/>
            <w:hideMark/>
          </w:tcPr>
          <w:p w14:paraId="5E4A2EE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126.3</w:t>
            </w:r>
          </w:p>
        </w:tc>
        <w:tc>
          <w:tcPr>
            <w:tcW w:w="624" w:type="dxa"/>
            <w:tcBorders>
              <w:top w:val="nil"/>
              <w:left w:val="nil"/>
              <w:bottom w:val="single" w:sz="8" w:space="0" w:color="DCDDDE"/>
              <w:right w:val="nil"/>
            </w:tcBorders>
            <w:shd w:val="clear" w:color="000000" w:fill="FFFFFF"/>
            <w:noWrap/>
            <w:vAlign w:val="center"/>
            <w:hideMark/>
          </w:tcPr>
          <w:p w14:paraId="5EF6066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142.9</w:t>
            </w:r>
          </w:p>
        </w:tc>
        <w:tc>
          <w:tcPr>
            <w:tcW w:w="624" w:type="dxa"/>
            <w:tcBorders>
              <w:top w:val="nil"/>
              <w:left w:val="nil"/>
              <w:bottom w:val="single" w:sz="8" w:space="0" w:color="DCDDDE"/>
              <w:right w:val="nil"/>
            </w:tcBorders>
            <w:shd w:val="clear" w:color="000000" w:fill="FFFFFF"/>
            <w:noWrap/>
            <w:vAlign w:val="center"/>
            <w:hideMark/>
          </w:tcPr>
          <w:p w14:paraId="1F61210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149.2</w:t>
            </w:r>
          </w:p>
        </w:tc>
        <w:tc>
          <w:tcPr>
            <w:tcW w:w="624" w:type="dxa"/>
            <w:tcBorders>
              <w:top w:val="nil"/>
              <w:left w:val="nil"/>
              <w:bottom w:val="single" w:sz="8" w:space="0" w:color="DCDDDE"/>
              <w:right w:val="nil"/>
            </w:tcBorders>
            <w:shd w:val="clear" w:color="000000" w:fill="FFFFFF"/>
            <w:noWrap/>
            <w:vAlign w:val="center"/>
            <w:hideMark/>
          </w:tcPr>
          <w:p w14:paraId="6C3D8B9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155.8</w:t>
            </w:r>
          </w:p>
        </w:tc>
        <w:tc>
          <w:tcPr>
            <w:tcW w:w="624" w:type="dxa"/>
            <w:tcBorders>
              <w:top w:val="nil"/>
              <w:left w:val="nil"/>
              <w:bottom w:val="single" w:sz="8" w:space="0" w:color="DCDDDE"/>
              <w:right w:val="nil"/>
            </w:tcBorders>
            <w:shd w:val="clear" w:color="000000" w:fill="FFFFFF"/>
            <w:noWrap/>
            <w:vAlign w:val="center"/>
            <w:hideMark/>
          </w:tcPr>
          <w:p w14:paraId="102135F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167.4</w:t>
            </w:r>
          </w:p>
        </w:tc>
        <w:tc>
          <w:tcPr>
            <w:tcW w:w="624" w:type="dxa"/>
            <w:tcBorders>
              <w:top w:val="nil"/>
              <w:left w:val="nil"/>
              <w:bottom w:val="single" w:sz="8" w:space="0" w:color="DCDDDE"/>
              <w:right w:val="nil"/>
            </w:tcBorders>
            <w:shd w:val="clear" w:color="000000" w:fill="FFFFFF"/>
            <w:noWrap/>
            <w:vAlign w:val="center"/>
            <w:hideMark/>
          </w:tcPr>
          <w:p w14:paraId="651F0B6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175.2</w:t>
            </w:r>
          </w:p>
        </w:tc>
        <w:tc>
          <w:tcPr>
            <w:tcW w:w="624" w:type="dxa"/>
            <w:tcBorders>
              <w:top w:val="nil"/>
              <w:left w:val="nil"/>
              <w:bottom w:val="single" w:sz="8" w:space="0" w:color="DCDDDE"/>
              <w:right w:val="nil"/>
            </w:tcBorders>
            <w:shd w:val="clear" w:color="000000" w:fill="FFFFFF"/>
            <w:noWrap/>
            <w:vAlign w:val="center"/>
            <w:hideMark/>
          </w:tcPr>
          <w:p w14:paraId="7306739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180.7</w:t>
            </w:r>
          </w:p>
        </w:tc>
        <w:tc>
          <w:tcPr>
            <w:tcW w:w="624" w:type="dxa"/>
            <w:tcBorders>
              <w:top w:val="nil"/>
              <w:left w:val="nil"/>
              <w:bottom w:val="single" w:sz="8" w:space="0" w:color="DCDDDE"/>
              <w:right w:val="nil"/>
            </w:tcBorders>
            <w:shd w:val="clear" w:color="000000" w:fill="FFFFFF"/>
            <w:noWrap/>
            <w:vAlign w:val="center"/>
            <w:hideMark/>
          </w:tcPr>
          <w:p w14:paraId="598D78F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184.1</w:t>
            </w:r>
          </w:p>
        </w:tc>
        <w:tc>
          <w:tcPr>
            <w:tcW w:w="624" w:type="dxa"/>
            <w:tcBorders>
              <w:top w:val="nil"/>
              <w:left w:val="nil"/>
              <w:bottom w:val="single" w:sz="8" w:space="0" w:color="DCDDDE"/>
              <w:right w:val="nil"/>
            </w:tcBorders>
            <w:shd w:val="clear" w:color="000000" w:fill="FFFFFF"/>
            <w:noWrap/>
            <w:vAlign w:val="center"/>
            <w:hideMark/>
          </w:tcPr>
          <w:p w14:paraId="23677BF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187.4</w:t>
            </w:r>
          </w:p>
        </w:tc>
        <w:tc>
          <w:tcPr>
            <w:tcW w:w="624" w:type="dxa"/>
            <w:tcBorders>
              <w:top w:val="nil"/>
              <w:left w:val="nil"/>
              <w:bottom w:val="single" w:sz="8" w:space="0" w:color="DCDDDE"/>
              <w:right w:val="nil"/>
            </w:tcBorders>
            <w:shd w:val="clear" w:color="000000" w:fill="FFFFFF"/>
            <w:noWrap/>
            <w:vAlign w:val="center"/>
            <w:hideMark/>
          </w:tcPr>
          <w:p w14:paraId="540BAED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188.6</w:t>
            </w:r>
          </w:p>
        </w:tc>
        <w:tc>
          <w:tcPr>
            <w:tcW w:w="624" w:type="dxa"/>
            <w:tcBorders>
              <w:top w:val="nil"/>
              <w:left w:val="nil"/>
              <w:bottom w:val="single" w:sz="8" w:space="0" w:color="DCDDDE"/>
              <w:right w:val="nil"/>
            </w:tcBorders>
            <w:shd w:val="clear" w:color="000000" w:fill="FFFFFF"/>
            <w:noWrap/>
            <w:vAlign w:val="center"/>
            <w:hideMark/>
          </w:tcPr>
          <w:p w14:paraId="5F3E339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189.0</w:t>
            </w:r>
          </w:p>
        </w:tc>
      </w:tr>
      <w:tr w:rsidR="00A25F1A" w:rsidRPr="00A25F1A" w14:paraId="0929E19D"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17CA371E" w14:textId="57663EF0" w:rsidR="00A25F1A" w:rsidRPr="00A25F1A" w:rsidRDefault="00A25F1A" w:rsidP="00A25F1A">
            <w:pPr>
              <w:spacing w:line="240" w:lineRule="auto"/>
              <w:jc w:val="center"/>
              <w:rPr>
                <w:rFonts w:ascii="Arial Narrow" w:hAnsi="Arial Narrow" w:cs="Calibri"/>
                <w:b/>
                <w:bCs/>
                <w:sz w:val="18"/>
                <w:szCs w:val="18"/>
              </w:rPr>
            </w:pPr>
            <w:r>
              <w:rPr>
                <w:rFonts w:ascii="Arial Narrow" w:hAnsi="Arial Narrow" w:cs="Calibri"/>
                <w:b/>
                <w:bCs/>
                <w:sz w:val="18"/>
                <w:szCs w:val="18"/>
              </w:rPr>
              <w:t>C&amp;S</w:t>
            </w:r>
          </w:p>
        </w:tc>
        <w:tc>
          <w:tcPr>
            <w:tcW w:w="626" w:type="dxa"/>
            <w:tcBorders>
              <w:top w:val="nil"/>
              <w:left w:val="nil"/>
              <w:bottom w:val="single" w:sz="8" w:space="0" w:color="DCDDDE"/>
              <w:right w:val="nil"/>
            </w:tcBorders>
            <w:shd w:val="clear" w:color="000000" w:fill="FFFFFF"/>
            <w:noWrap/>
            <w:vAlign w:val="center"/>
            <w:hideMark/>
          </w:tcPr>
          <w:p w14:paraId="43B1479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373.1</w:t>
            </w:r>
          </w:p>
        </w:tc>
        <w:tc>
          <w:tcPr>
            <w:tcW w:w="626" w:type="dxa"/>
            <w:tcBorders>
              <w:top w:val="nil"/>
              <w:left w:val="nil"/>
              <w:bottom w:val="single" w:sz="8" w:space="0" w:color="DCDDDE"/>
              <w:right w:val="nil"/>
            </w:tcBorders>
            <w:shd w:val="clear" w:color="000000" w:fill="FFFFFF"/>
            <w:noWrap/>
            <w:vAlign w:val="center"/>
            <w:hideMark/>
          </w:tcPr>
          <w:p w14:paraId="0314A04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374.6</w:t>
            </w:r>
          </w:p>
        </w:tc>
        <w:tc>
          <w:tcPr>
            <w:tcW w:w="624" w:type="dxa"/>
            <w:tcBorders>
              <w:top w:val="nil"/>
              <w:left w:val="nil"/>
              <w:bottom w:val="single" w:sz="8" w:space="0" w:color="DCDDDE"/>
              <w:right w:val="nil"/>
            </w:tcBorders>
            <w:shd w:val="clear" w:color="000000" w:fill="FFFFFF"/>
            <w:noWrap/>
            <w:vAlign w:val="center"/>
            <w:hideMark/>
          </w:tcPr>
          <w:p w14:paraId="4955D2F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414.0</w:t>
            </w:r>
          </w:p>
        </w:tc>
        <w:tc>
          <w:tcPr>
            <w:tcW w:w="624" w:type="dxa"/>
            <w:tcBorders>
              <w:top w:val="nil"/>
              <w:left w:val="nil"/>
              <w:bottom w:val="single" w:sz="8" w:space="0" w:color="DCDDDE"/>
              <w:right w:val="nil"/>
            </w:tcBorders>
            <w:shd w:val="clear" w:color="000000" w:fill="FFFFFF"/>
            <w:noWrap/>
            <w:vAlign w:val="center"/>
            <w:hideMark/>
          </w:tcPr>
          <w:p w14:paraId="7C8BC57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485.0</w:t>
            </w:r>
          </w:p>
        </w:tc>
        <w:tc>
          <w:tcPr>
            <w:tcW w:w="624" w:type="dxa"/>
            <w:tcBorders>
              <w:top w:val="nil"/>
              <w:left w:val="nil"/>
              <w:bottom w:val="single" w:sz="8" w:space="0" w:color="DCDDDE"/>
              <w:right w:val="nil"/>
            </w:tcBorders>
            <w:shd w:val="clear" w:color="000000" w:fill="FFFFFF"/>
            <w:noWrap/>
            <w:vAlign w:val="center"/>
            <w:hideMark/>
          </w:tcPr>
          <w:p w14:paraId="1922843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477.2</w:t>
            </w:r>
          </w:p>
        </w:tc>
        <w:tc>
          <w:tcPr>
            <w:tcW w:w="624" w:type="dxa"/>
            <w:tcBorders>
              <w:top w:val="nil"/>
              <w:left w:val="nil"/>
              <w:bottom w:val="single" w:sz="8" w:space="0" w:color="DCDDDE"/>
              <w:right w:val="nil"/>
            </w:tcBorders>
            <w:shd w:val="clear" w:color="000000" w:fill="FFFFFF"/>
            <w:noWrap/>
            <w:vAlign w:val="center"/>
            <w:hideMark/>
          </w:tcPr>
          <w:p w14:paraId="5C37686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560.0</w:t>
            </w:r>
          </w:p>
        </w:tc>
        <w:tc>
          <w:tcPr>
            <w:tcW w:w="624" w:type="dxa"/>
            <w:tcBorders>
              <w:top w:val="nil"/>
              <w:left w:val="nil"/>
              <w:bottom w:val="single" w:sz="8" w:space="0" w:color="DCDDDE"/>
              <w:right w:val="nil"/>
            </w:tcBorders>
            <w:shd w:val="clear" w:color="000000" w:fill="FFFFFF"/>
            <w:noWrap/>
            <w:vAlign w:val="center"/>
            <w:hideMark/>
          </w:tcPr>
          <w:p w14:paraId="54AE291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542.5</w:t>
            </w:r>
          </w:p>
        </w:tc>
        <w:tc>
          <w:tcPr>
            <w:tcW w:w="624" w:type="dxa"/>
            <w:tcBorders>
              <w:top w:val="nil"/>
              <w:left w:val="nil"/>
              <w:bottom w:val="single" w:sz="8" w:space="0" w:color="DCDDDE"/>
              <w:right w:val="nil"/>
            </w:tcBorders>
            <w:shd w:val="clear" w:color="000000" w:fill="FFFFFF"/>
            <w:noWrap/>
            <w:vAlign w:val="center"/>
            <w:hideMark/>
          </w:tcPr>
          <w:p w14:paraId="386C1F9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531.1</w:t>
            </w:r>
          </w:p>
        </w:tc>
        <w:tc>
          <w:tcPr>
            <w:tcW w:w="624" w:type="dxa"/>
            <w:tcBorders>
              <w:top w:val="nil"/>
              <w:left w:val="nil"/>
              <w:bottom w:val="single" w:sz="8" w:space="0" w:color="DCDDDE"/>
              <w:right w:val="nil"/>
            </w:tcBorders>
            <w:shd w:val="clear" w:color="000000" w:fill="FFFFFF"/>
            <w:noWrap/>
            <w:vAlign w:val="center"/>
            <w:hideMark/>
          </w:tcPr>
          <w:p w14:paraId="2705C15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517.0</w:t>
            </w:r>
          </w:p>
        </w:tc>
        <w:tc>
          <w:tcPr>
            <w:tcW w:w="624" w:type="dxa"/>
            <w:tcBorders>
              <w:top w:val="nil"/>
              <w:left w:val="nil"/>
              <w:bottom w:val="single" w:sz="8" w:space="0" w:color="DCDDDE"/>
              <w:right w:val="nil"/>
            </w:tcBorders>
            <w:shd w:val="clear" w:color="000000" w:fill="FFFFFF"/>
            <w:noWrap/>
            <w:vAlign w:val="center"/>
            <w:hideMark/>
          </w:tcPr>
          <w:p w14:paraId="22D6473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509.6</w:t>
            </w:r>
          </w:p>
        </w:tc>
        <w:tc>
          <w:tcPr>
            <w:tcW w:w="624" w:type="dxa"/>
            <w:tcBorders>
              <w:top w:val="nil"/>
              <w:left w:val="nil"/>
              <w:bottom w:val="single" w:sz="8" w:space="0" w:color="DCDDDE"/>
              <w:right w:val="nil"/>
            </w:tcBorders>
            <w:shd w:val="clear" w:color="000000" w:fill="FFFFFF"/>
            <w:noWrap/>
            <w:vAlign w:val="center"/>
            <w:hideMark/>
          </w:tcPr>
          <w:p w14:paraId="117726C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490.6</w:t>
            </w:r>
          </w:p>
        </w:tc>
        <w:tc>
          <w:tcPr>
            <w:tcW w:w="624" w:type="dxa"/>
            <w:tcBorders>
              <w:top w:val="nil"/>
              <w:left w:val="nil"/>
              <w:bottom w:val="single" w:sz="8" w:space="0" w:color="DCDDDE"/>
              <w:right w:val="nil"/>
            </w:tcBorders>
            <w:shd w:val="clear" w:color="000000" w:fill="FFFFFF"/>
            <w:noWrap/>
            <w:vAlign w:val="center"/>
            <w:hideMark/>
          </w:tcPr>
          <w:p w14:paraId="23178EA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460.8</w:t>
            </w:r>
          </w:p>
        </w:tc>
        <w:tc>
          <w:tcPr>
            <w:tcW w:w="624" w:type="dxa"/>
            <w:tcBorders>
              <w:top w:val="nil"/>
              <w:left w:val="nil"/>
              <w:bottom w:val="single" w:sz="8" w:space="0" w:color="DCDDDE"/>
              <w:right w:val="nil"/>
            </w:tcBorders>
            <w:shd w:val="clear" w:color="000000" w:fill="FFFFFF"/>
            <w:noWrap/>
            <w:vAlign w:val="center"/>
            <w:hideMark/>
          </w:tcPr>
          <w:p w14:paraId="59C8D89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432.0</w:t>
            </w:r>
          </w:p>
        </w:tc>
      </w:tr>
      <w:tr w:rsidR="00A25F1A" w:rsidRPr="00A25F1A" w14:paraId="334B0BAF"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26C105D3"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BROs</w:t>
            </w:r>
          </w:p>
        </w:tc>
        <w:tc>
          <w:tcPr>
            <w:tcW w:w="626" w:type="dxa"/>
            <w:tcBorders>
              <w:top w:val="nil"/>
              <w:left w:val="nil"/>
              <w:bottom w:val="single" w:sz="8" w:space="0" w:color="DCDDDE"/>
              <w:right w:val="nil"/>
            </w:tcBorders>
            <w:shd w:val="clear" w:color="000000" w:fill="FFFFFF"/>
            <w:noWrap/>
            <w:vAlign w:val="center"/>
            <w:hideMark/>
          </w:tcPr>
          <w:p w14:paraId="5609358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38.7</w:t>
            </w:r>
          </w:p>
        </w:tc>
        <w:tc>
          <w:tcPr>
            <w:tcW w:w="626" w:type="dxa"/>
            <w:tcBorders>
              <w:top w:val="nil"/>
              <w:left w:val="nil"/>
              <w:bottom w:val="single" w:sz="8" w:space="0" w:color="DCDDDE"/>
              <w:right w:val="nil"/>
            </w:tcBorders>
            <w:shd w:val="clear" w:color="000000" w:fill="FFFFFF"/>
            <w:noWrap/>
            <w:vAlign w:val="center"/>
            <w:hideMark/>
          </w:tcPr>
          <w:p w14:paraId="3A589AD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49.2</w:t>
            </w:r>
          </w:p>
        </w:tc>
        <w:tc>
          <w:tcPr>
            <w:tcW w:w="624" w:type="dxa"/>
            <w:tcBorders>
              <w:top w:val="nil"/>
              <w:left w:val="nil"/>
              <w:bottom w:val="single" w:sz="8" w:space="0" w:color="DCDDDE"/>
              <w:right w:val="nil"/>
            </w:tcBorders>
            <w:shd w:val="clear" w:color="000000" w:fill="FFFFFF"/>
            <w:noWrap/>
            <w:vAlign w:val="center"/>
            <w:hideMark/>
          </w:tcPr>
          <w:p w14:paraId="74393FE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54.7</w:t>
            </w:r>
          </w:p>
        </w:tc>
        <w:tc>
          <w:tcPr>
            <w:tcW w:w="624" w:type="dxa"/>
            <w:tcBorders>
              <w:top w:val="nil"/>
              <w:left w:val="nil"/>
              <w:bottom w:val="single" w:sz="8" w:space="0" w:color="DCDDDE"/>
              <w:right w:val="nil"/>
            </w:tcBorders>
            <w:shd w:val="clear" w:color="000000" w:fill="FFFFFF"/>
            <w:noWrap/>
            <w:vAlign w:val="center"/>
            <w:hideMark/>
          </w:tcPr>
          <w:p w14:paraId="5354C52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60.9</w:t>
            </w:r>
          </w:p>
        </w:tc>
        <w:tc>
          <w:tcPr>
            <w:tcW w:w="624" w:type="dxa"/>
            <w:tcBorders>
              <w:top w:val="nil"/>
              <w:left w:val="nil"/>
              <w:bottom w:val="single" w:sz="8" w:space="0" w:color="DCDDDE"/>
              <w:right w:val="nil"/>
            </w:tcBorders>
            <w:shd w:val="clear" w:color="000000" w:fill="FFFFFF"/>
            <w:noWrap/>
            <w:vAlign w:val="center"/>
            <w:hideMark/>
          </w:tcPr>
          <w:p w14:paraId="761B388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65.5</w:t>
            </w:r>
          </w:p>
        </w:tc>
        <w:tc>
          <w:tcPr>
            <w:tcW w:w="624" w:type="dxa"/>
            <w:tcBorders>
              <w:top w:val="nil"/>
              <w:left w:val="nil"/>
              <w:bottom w:val="single" w:sz="8" w:space="0" w:color="DCDDDE"/>
              <w:right w:val="nil"/>
            </w:tcBorders>
            <w:shd w:val="clear" w:color="000000" w:fill="FFFFFF"/>
            <w:noWrap/>
            <w:vAlign w:val="center"/>
            <w:hideMark/>
          </w:tcPr>
          <w:p w14:paraId="0D55C14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70.0</w:t>
            </w:r>
          </w:p>
        </w:tc>
        <w:tc>
          <w:tcPr>
            <w:tcW w:w="624" w:type="dxa"/>
            <w:tcBorders>
              <w:top w:val="nil"/>
              <w:left w:val="nil"/>
              <w:bottom w:val="single" w:sz="8" w:space="0" w:color="DCDDDE"/>
              <w:right w:val="nil"/>
            </w:tcBorders>
            <w:shd w:val="clear" w:color="000000" w:fill="FFFFFF"/>
            <w:noWrap/>
            <w:vAlign w:val="center"/>
            <w:hideMark/>
          </w:tcPr>
          <w:p w14:paraId="2DE4C06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74.6</w:t>
            </w:r>
          </w:p>
        </w:tc>
        <w:tc>
          <w:tcPr>
            <w:tcW w:w="624" w:type="dxa"/>
            <w:tcBorders>
              <w:top w:val="nil"/>
              <w:left w:val="nil"/>
              <w:bottom w:val="single" w:sz="8" w:space="0" w:color="DCDDDE"/>
              <w:right w:val="nil"/>
            </w:tcBorders>
            <w:shd w:val="clear" w:color="000000" w:fill="FFFFFF"/>
            <w:noWrap/>
            <w:vAlign w:val="center"/>
            <w:hideMark/>
          </w:tcPr>
          <w:p w14:paraId="3BB5C95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81.4</w:t>
            </w:r>
          </w:p>
        </w:tc>
        <w:tc>
          <w:tcPr>
            <w:tcW w:w="624" w:type="dxa"/>
            <w:tcBorders>
              <w:top w:val="nil"/>
              <w:left w:val="nil"/>
              <w:bottom w:val="single" w:sz="8" w:space="0" w:color="DCDDDE"/>
              <w:right w:val="nil"/>
            </w:tcBorders>
            <w:shd w:val="clear" w:color="000000" w:fill="FFFFFF"/>
            <w:noWrap/>
            <w:vAlign w:val="center"/>
            <w:hideMark/>
          </w:tcPr>
          <w:p w14:paraId="47FA08F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86.9</w:t>
            </w:r>
          </w:p>
        </w:tc>
        <w:tc>
          <w:tcPr>
            <w:tcW w:w="624" w:type="dxa"/>
            <w:tcBorders>
              <w:top w:val="nil"/>
              <w:left w:val="nil"/>
              <w:bottom w:val="single" w:sz="8" w:space="0" w:color="DCDDDE"/>
              <w:right w:val="nil"/>
            </w:tcBorders>
            <w:shd w:val="clear" w:color="000000" w:fill="FFFFFF"/>
            <w:noWrap/>
            <w:vAlign w:val="center"/>
            <w:hideMark/>
          </w:tcPr>
          <w:p w14:paraId="5E36B6F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92.6</w:t>
            </w:r>
          </w:p>
        </w:tc>
        <w:tc>
          <w:tcPr>
            <w:tcW w:w="624" w:type="dxa"/>
            <w:tcBorders>
              <w:top w:val="nil"/>
              <w:left w:val="nil"/>
              <w:bottom w:val="single" w:sz="8" w:space="0" w:color="DCDDDE"/>
              <w:right w:val="nil"/>
            </w:tcBorders>
            <w:shd w:val="clear" w:color="000000" w:fill="FFFFFF"/>
            <w:noWrap/>
            <w:vAlign w:val="center"/>
            <w:hideMark/>
          </w:tcPr>
          <w:p w14:paraId="7415BCE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98.4</w:t>
            </w:r>
          </w:p>
        </w:tc>
        <w:tc>
          <w:tcPr>
            <w:tcW w:w="624" w:type="dxa"/>
            <w:tcBorders>
              <w:top w:val="nil"/>
              <w:left w:val="nil"/>
              <w:bottom w:val="single" w:sz="8" w:space="0" w:color="DCDDDE"/>
              <w:right w:val="nil"/>
            </w:tcBorders>
            <w:shd w:val="clear" w:color="000000" w:fill="FFFFFF"/>
            <w:noWrap/>
            <w:vAlign w:val="center"/>
            <w:hideMark/>
          </w:tcPr>
          <w:p w14:paraId="00FDCDD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104.4</w:t>
            </w:r>
          </w:p>
        </w:tc>
        <w:tc>
          <w:tcPr>
            <w:tcW w:w="624" w:type="dxa"/>
            <w:tcBorders>
              <w:top w:val="nil"/>
              <w:left w:val="nil"/>
              <w:bottom w:val="single" w:sz="8" w:space="0" w:color="DCDDDE"/>
              <w:right w:val="nil"/>
            </w:tcBorders>
            <w:shd w:val="clear" w:color="000000" w:fill="FFFFFF"/>
            <w:noWrap/>
            <w:vAlign w:val="center"/>
            <w:hideMark/>
          </w:tcPr>
          <w:p w14:paraId="23CE101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109.7</w:t>
            </w:r>
          </w:p>
        </w:tc>
      </w:tr>
      <w:tr w:rsidR="00A25F1A" w:rsidRPr="00A25F1A" w14:paraId="3A85A3C5"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610BFDB2"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Low Income</w:t>
            </w:r>
          </w:p>
        </w:tc>
        <w:tc>
          <w:tcPr>
            <w:tcW w:w="626" w:type="dxa"/>
            <w:tcBorders>
              <w:top w:val="nil"/>
              <w:left w:val="nil"/>
              <w:bottom w:val="single" w:sz="8" w:space="0" w:color="DCDDDE"/>
              <w:right w:val="nil"/>
            </w:tcBorders>
            <w:shd w:val="clear" w:color="000000" w:fill="FFFFFF"/>
            <w:noWrap/>
            <w:vAlign w:val="center"/>
            <w:hideMark/>
          </w:tcPr>
          <w:p w14:paraId="241071F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6" w:type="dxa"/>
            <w:tcBorders>
              <w:top w:val="nil"/>
              <w:left w:val="nil"/>
              <w:bottom w:val="single" w:sz="8" w:space="0" w:color="DCDDDE"/>
              <w:right w:val="nil"/>
            </w:tcBorders>
            <w:shd w:val="clear" w:color="000000" w:fill="FFFFFF"/>
            <w:noWrap/>
            <w:vAlign w:val="center"/>
            <w:hideMark/>
          </w:tcPr>
          <w:p w14:paraId="25EFE54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10.2</w:t>
            </w:r>
          </w:p>
        </w:tc>
        <w:tc>
          <w:tcPr>
            <w:tcW w:w="624" w:type="dxa"/>
            <w:tcBorders>
              <w:top w:val="nil"/>
              <w:left w:val="nil"/>
              <w:bottom w:val="single" w:sz="8" w:space="0" w:color="DCDDDE"/>
              <w:right w:val="nil"/>
            </w:tcBorders>
            <w:shd w:val="clear" w:color="000000" w:fill="FFFFFF"/>
            <w:noWrap/>
            <w:vAlign w:val="center"/>
            <w:hideMark/>
          </w:tcPr>
          <w:p w14:paraId="7F3C57A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4" w:type="dxa"/>
            <w:tcBorders>
              <w:top w:val="nil"/>
              <w:left w:val="nil"/>
              <w:bottom w:val="single" w:sz="8" w:space="0" w:color="DCDDDE"/>
              <w:right w:val="nil"/>
            </w:tcBorders>
            <w:shd w:val="clear" w:color="000000" w:fill="FFFFFF"/>
            <w:noWrap/>
            <w:vAlign w:val="center"/>
            <w:hideMark/>
          </w:tcPr>
          <w:p w14:paraId="48FC2AC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D016D8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AD4BDF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E87D33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5BBDD65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CD3C14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2A9E70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4B10E08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6182142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564BF1B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r>
      <w:tr w:rsidR="00A25F1A" w:rsidRPr="00A25F1A" w14:paraId="3E2A9256"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33E89AAD"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Total</w:t>
            </w:r>
          </w:p>
        </w:tc>
        <w:tc>
          <w:tcPr>
            <w:tcW w:w="626" w:type="dxa"/>
            <w:tcBorders>
              <w:top w:val="nil"/>
              <w:left w:val="nil"/>
              <w:bottom w:val="single" w:sz="8" w:space="0" w:color="DCDDDE"/>
              <w:right w:val="nil"/>
            </w:tcBorders>
            <w:shd w:val="clear" w:color="000000" w:fill="FFFFFF"/>
            <w:noWrap/>
            <w:vAlign w:val="center"/>
            <w:hideMark/>
          </w:tcPr>
          <w:p w14:paraId="7D82BE14"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541.9</w:t>
            </w:r>
          </w:p>
        </w:tc>
        <w:tc>
          <w:tcPr>
            <w:tcW w:w="626" w:type="dxa"/>
            <w:tcBorders>
              <w:top w:val="nil"/>
              <w:left w:val="nil"/>
              <w:bottom w:val="single" w:sz="8" w:space="0" w:color="DCDDDE"/>
              <w:right w:val="nil"/>
            </w:tcBorders>
            <w:shd w:val="clear" w:color="000000" w:fill="FFFFFF"/>
            <w:noWrap/>
            <w:vAlign w:val="center"/>
            <w:hideMark/>
          </w:tcPr>
          <w:p w14:paraId="1BC3004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567.9</w:t>
            </w:r>
          </w:p>
        </w:tc>
        <w:tc>
          <w:tcPr>
            <w:tcW w:w="624" w:type="dxa"/>
            <w:tcBorders>
              <w:top w:val="nil"/>
              <w:left w:val="nil"/>
              <w:bottom w:val="single" w:sz="8" w:space="0" w:color="DCDDDE"/>
              <w:right w:val="nil"/>
            </w:tcBorders>
            <w:shd w:val="clear" w:color="000000" w:fill="FFFFFF"/>
            <w:noWrap/>
            <w:vAlign w:val="center"/>
            <w:hideMark/>
          </w:tcPr>
          <w:p w14:paraId="22EF4757"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605.1</w:t>
            </w:r>
          </w:p>
        </w:tc>
        <w:tc>
          <w:tcPr>
            <w:tcW w:w="624" w:type="dxa"/>
            <w:tcBorders>
              <w:top w:val="nil"/>
              <w:left w:val="nil"/>
              <w:bottom w:val="single" w:sz="8" w:space="0" w:color="DCDDDE"/>
              <w:right w:val="nil"/>
            </w:tcBorders>
            <w:shd w:val="clear" w:color="000000" w:fill="FFFFFF"/>
            <w:noWrap/>
            <w:vAlign w:val="center"/>
            <w:hideMark/>
          </w:tcPr>
          <w:p w14:paraId="5090A56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694.5</w:t>
            </w:r>
          </w:p>
        </w:tc>
        <w:tc>
          <w:tcPr>
            <w:tcW w:w="624" w:type="dxa"/>
            <w:tcBorders>
              <w:top w:val="nil"/>
              <w:left w:val="nil"/>
              <w:bottom w:val="single" w:sz="8" w:space="0" w:color="DCDDDE"/>
              <w:right w:val="nil"/>
            </w:tcBorders>
            <w:shd w:val="clear" w:color="000000" w:fill="FFFFFF"/>
            <w:noWrap/>
            <w:vAlign w:val="center"/>
            <w:hideMark/>
          </w:tcPr>
          <w:p w14:paraId="58254CBC"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697.7</w:t>
            </w:r>
          </w:p>
        </w:tc>
        <w:tc>
          <w:tcPr>
            <w:tcW w:w="624" w:type="dxa"/>
            <w:tcBorders>
              <w:top w:val="nil"/>
              <w:left w:val="nil"/>
              <w:bottom w:val="single" w:sz="8" w:space="0" w:color="DCDDDE"/>
              <w:right w:val="nil"/>
            </w:tcBorders>
            <w:shd w:val="clear" w:color="000000" w:fill="FFFFFF"/>
            <w:noWrap/>
            <w:vAlign w:val="center"/>
            <w:hideMark/>
          </w:tcPr>
          <w:p w14:paraId="29FDA19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791.6</w:t>
            </w:r>
          </w:p>
        </w:tc>
        <w:tc>
          <w:tcPr>
            <w:tcW w:w="624" w:type="dxa"/>
            <w:tcBorders>
              <w:top w:val="nil"/>
              <w:left w:val="nil"/>
              <w:bottom w:val="single" w:sz="8" w:space="0" w:color="DCDDDE"/>
              <w:right w:val="nil"/>
            </w:tcBorders>
            <w:shd w:val="clear" w:color="000000" w:fill="FFFFFF"/>
            <w:noWrap/>
            <w:vAlign w:val="center"/>
            <w:hideMark/>
          </w:tcPr>
          <w:p w14:paraId="022DCB4C"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790.2</w:t>
            </w:r>
          </w:p>
        </w:tc>
        <w:tc>
          <w:tcPr>
            <w:tcW w:w="624" w:type="dxa"/>
            <w:tcBorders>
              <w:top w:val="nil"/>
              <w:left w:val="nil"/>
              <w:bottom w:val="single" w:sz="8" w:space="0" w:color="DCDDDE"/>
              <w:right w:val="nil"/>
            </w:tcBorders>
            <w:shd w:val="clear" w:color="000000" w:fill="FFFFFF"/>
            <w:noWrap/>
            <w:vAlign w:val="center"/>
            <w:hideMark/>
          </w:tcPr>
          <w:p w14:paraId="31DCCC1F"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793.4</w:t>
            </w:r>
          </w:p>
        </w:tc>
        <w:tc>
          <w:tcPr>
            <w:tcW w:w="624" w:type="dxa"/>
            <w:tcBorders>
              <w:top w:val="nil"/>
              <w:left w:val="nil"/>
              <w:bottom w:val="single" w:sz="8" w:space="0" w:color="DCDDDE"/>
              <w:right w:val="nil"/>
            </w:tcBorders>
            <w:shd w:val="clear" w:color="000000" w:fill="FFFFFF"/>
            <w:noWrap/>
            <w:vAlign w:val="center"/>
            <w:hideMark/>
          </w:tcPr>
          <w:p w14:paraId="7E8F8CD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790.4</w:t>
            </w:r>
          </w:p>
        </w:tc>
        <w:tc>
          <w:tcPr>
            <w:tcW w:w="624" w:type="dxa"/>
            <w:tcBorders>
              <w:top w:val="nil"/>
              <w:left w:val="nil"/>
              <w:bottom w:val="single" w:sz="8" w:space="0" w:color="DCDDDE"/>
              <w:right w:val="nil"/>
            </w:tcBorders>
            <w:shd w:val="clear" w:color="000000" w:fill="FFFFFF"/>
            <w:noWrap/>
            <w:vAlign w:val="center"/>
            <w:hideMark/>
          </w:tcPr>
          <w:p w14:paraId="641BF5B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792.0</w:t>
            </w:r>
          </w:p>
        </w:tc>
        <w:tc>
          <w:tcPr>
            <w:tcW w:w="624" w:type="dxa"/>
            <w:tcBorders>
              <w:top w:val="nil"/>
              <w:left w:val="nil"/>
              <w:bottom w:val="single" w:sz="8" w:space="0" w:color="DCDDDE"/>
              <w:right w:val="nil"/>
            </w:tcBorders>
            <w:shd w:val="clear" w:color="000000" w:fill="FFFFFF"/>
            <w:noWrap/>
            <w:vAlign w:val="center"/>
            <w:hideMark/>
          </w:tcPr>
          <w:p w14:paraId="1FAD6770"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782.1</w:t>
            </w:r>
          </w:p>
        </w:tc>
        <w:tc>
          <w:tcPr>
            <w:tcW w:w="624" w:type="dxa"/>
            <w:tcBorders>
              <w:top w:val="nil"/>
              <w:left w:val="nil"/>
              <w:bottom w:val="single" w:sz="8" w:space="0" w:color="DCDDDE"/>
              <w:right w:val="nil"/>
            </w:tcBorders>
            <w:shd w:val="clear" w:color="000000" w:fill="FFFFFF"/>
            <w:noWrap/>
            <w:vAlign w:val="center"/>
            <w:hideMark/>
          </w:tcPr>
          <w:p w14:paraId="5A65E8E3"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759.5</w:t>
            </w:r>
          </w:p>
        </w:tc>
        <w:tc>
          <w:tcPr>
            <w:tcW w:w="624" w:type="dxa"/>
            <w:tcBorders>
              <w:top w:val="nil"/>
              <w:left w:val="nil"/>
              <w:bottom w:val="single" w:sz="8" w:space="0" w:color="DCDDDE"/>
              <w:right w:val="nil"/>
            </w:tcBorders>
            <w:shd w:val="clear" w:color="000000" w:fill="FFFFFF"/>
            <w:noWrap/>
            <w:vAlign w:val="center"/>
            <w:hideMark/>
          </w:tcPr>
          <w:p w14:paraId="12A424F5"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736.5</w:t>
            </w:r>
          </w:p>
        </w:tc>
      </w:tr>
      <w:tr w:rsidR="00A25F1A" w:rsidRPr="00A25F1A" w14:paraId="703B4779" w14:textId="77777777" w:rsidTr="00A25F1A">
        <w:trPr>
          <w:trHeight w:val="264"/>
        </w:trPr>
        <w:tc>
          <w:tcPr>
            <w:tcW w:w="9386" w:type="dxa"/>
            <w:gridSpan w:val="15"/>
            <w:tcBorders>
              <w:top w:val="single" w:sz="8" w:space="0" w:color="DCDDDE"/>
              <w:left w:val="nil"/>
              <w:bottom w:val="single" w:sz="8" w:space="0" w:color="DCDDDE"/>
              <w:right w:val="nil"/>
            </w:tcBorders>
            <w:shd w:val="clear" w:color="000000" w:fill="DADADA"/>
            <w:noWrap/>
            <w:vAlign w:val="center"/>
            <w:hideMark/>
          </w:tcPr>
          <w:p w14:paraId="023CC417"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mTRC (GHG adder 1) | Reference</w:t>
            </w:r>
          </w:p>
        </w:tc>
      </w:tr>
      <w:tr w:rsidR="00A25F1A" w:rsidRPr="00A25F1A" w14:paraId="7F43009C"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2D31D1BD"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Rebate Programs</w:t>
            </w:r>
          </w:p>
        </w:tc>
        <w:tc>
          <w:tcPr>
            <w:tcW w:w="626" w:type="dxa"/>
            <w:tcBorders>
              <w:top w:val="nil"/>
              <w:left w:val="nil"/>
              <w:bottom w:val="single" w:sz="8" w:space="0" w:color="DCDDDE"/>
              <w:right w:val="nil"/>
            </w:tcBorders>
            <w:shd w:val="clear" w:color="000000" w:fill="FFFFFF"/>
            <w:noWrap/>
            <w:vAlign w:val="center"/>
            <w:hideMark/>
          </w:tcPr>
          <w:p w14:paraId="6B4815E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133.7</w:t>
            </w:r>
          </w:p>
        </w:tc>
        <w:tc>
          <w:tcPr>
            <w:tcW w:w="626" w:type="dxa"/>
            <w:tcBorders>
              <w:top w:val="nil"/>
              <w:left w:val="nil"/>
              <w:bottom w:val="single" w:sz="8" w:space="0" w:color="DCDDDE"/>
              <w:right w:val="nil"/>
            </w:tcBorders>
            <w:shd w:val="clear" w:color="000000" w:fill="FFFFFF"/>
            <w:noWrap/>
            <w:vAlign w:val="center"/>
            <w:hideMark/>
          </w:tcPr>
          <w:p w14:paraId="477D1B6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152.2</w:t>
            </w:r>
          </w:p>
        </w:tc>
        <w:tc>
          <w:tcPr>
            <w:tcW w:w="624" w:type="dxa"/>
            <w:tcBorders>
              <w:top w:val="nil"/>
              <w:left w:val="nil"/>
              <w:bottom w:val="single" w:sz="8" w:space="0" w:color="DCDDDE"/>
              <w:right w:val="nil"/>
            </w:tcBorders>
            <w:shd w:val="clear" w:color="000000" w:fill="FFFFFF"/>
            <w:noWrap/>
            <w:vAlign w:val="center"/>
            <w:hideMark/>
          </w:tcPr>
          <w:p w14:paraId="259037C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145.1</w:t>
            </w:r>
          </w:p>
        </w:tc>
        <w:tc>
          <w:tcPr>
            <w:tcW w:w="624" w:type="dxa"/>
            <w:tcBorders>
              <w:top w:val="nil"/>
              <w:left w:val="nil"/>
              <w:bottom w:val="single" w:sz="8" w:space="0" w:color="DCDDDE"/>
              <w:right w:val="nil"/>
            </w:tcBorders>
            <w:shd w:val="clear" w:color="000000" w:fill="FFFFFF"/>
            <w:noWrap/>
            <w:vAlign w:val="center"/>
            <w:hideMark/>
          </w:tcPr>
          <w:p w14:paraId="28B8711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163.0</w:t>
            </w:r>
          </w:p>
        </w:tc>
        <w:tc>
          <w:tcPr>
            <w:tcW w:w="624" w:type="dxa"/>
            <w:tcBorders>
              <w:top w:val="nil"/>
              <w:left w:val="nil"/>
              <w:bottom w:val="single" w:sz="8" w:space="0" w:color="DCDDDE"/>
              <w:right w:val="nil"/>
            </w:tcBorders>
            <w:shd w:val="clear" w:color="000000" w:fill="FFFFFF"/>
            <w:noWrap/>
            <w:vAlign w:val="center"/>
            <w:hideMark/>
          </w:tcPr>
          <w:p w14:paraId="46D8124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166.3</w:t>
            </w:r>
          </w:p>
        </w:tc>
        <w:tc>
          <w:tcPr>
            <w:tcW w:w="624" w:type="dxa"/>
            <w:tcBorders>
              <w:top w:val="nil"/>
              <w:left w:val="nil"/>
              <w:bottom w:val="single" w:sz="8" w:space="0" w:color="DCDDDE"/>
              <w:right w:val="nil"/>
            </w:tcBorders>
            <w:shd w:val="clear" w:color="000000" w:fill="FFFFFF"/>
            <w:noWrap/>
            <w:vAlign w:val="center"/>
            <w:hideMark/>
          </w:tcPr>
          <w:p w14:paraId="6A41A56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172.3</w:t>
            </w:r>
          </w:p>
        </w:tc>
        <w:tc>
          <w:tcPr>
            <w:tcW w:w="624" w:type="dxa"/>
            <w:tcBorders>
              <w:top w:val="nil"/>
              <w:left w:val="nil"/>
              <w:bottom w:val="single" w:sz="8" w:space="0" w:color="DCDDDE"/>
              <w:right w:val="nil"/>
            </w:tcBorders>
            <w:shd w:val="clear" w:color="000000" w:fill="FFFFFF"/>
            <w:noWrap/>
            <w:vAlign w:val="center"/>
            <w:hideMark/>
          </w:tcPr>
          <w:p w14:paraId="73732D1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181.7</w:t>
            </w:r>
          </w:p>
        </w:tc>
        <w:tc>
          <w:tcPr>
            <w:tcW w:w="624" w:type="dxa"/>
            <w:tcBorders>
              <w:top w:val="nil"/>
              <w:left w:val="nil"/>
              <w:bottom w:val="single" w:sz="8" w:space="0" w:color="DCDDDE"/>
              <w:right w:val="nil"/>
            </w:tcBorders>
            <w:shd w:val="clear" w:color="000000" w:fill="FFFFFF"/>
            <w:noWrap/>
            <w:vAlign w:val="center"/>
            <w:hideMark/>
          </w:tcPr>
          <w:p w14:paraId="2494DE6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187.2</w:t>
            </w:r>
          </w:p>
        </w:tc>
        <w:tc>
          <w:tcPr>
            <w:tcW w:w="624" w:type="dxa"/>
            <w:tcBorders>
              <w:top w:val="nil"/>
              <w:left w:val="nil"/>
              <w:bottom w:val="single" w:sz="8" w:space="0" w:color="DCDDDE"/>
              <w:right w:val="nil"/>
            </w:tcBorders>
            <w:shd w:val="clear" w:color="000000" w:fill="FFFFFF"/>
            <w:noWrap/>
            <w:vAlign w:val="center"/>
            <w:hideMark/>
          </w:tcPr>
          <w:p w14:paraId="7E25381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188.1</w:t>
            </w:r>
          </w:p>
        </w:tc>
        <w:tc>
          <w:tcPr>
            <w:tcW w:w="624" w:type="dxa"/>
            <w:tcBorders>
              <w:top w:val="nil"/>
              <w:left w:val="nil"/>
              <w:bottom w:val="single" w:sz="8" w:space="0" w:color="DCDDDE"/>
              <w:right w:val="nil"/>
            </w:tcBorders>
            <w:shd w:val="clear" w:color="000000" w:fill="FFFFFF"/>
            <w:noWrap/>
            <w:vAlign w:val="center"/>
            <w:hideMark/>
          </w:tcPr>
          <w:p w14:paraId="74E58AF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191.0</w:t>
            </w:r>
          </w:p>
        </w:tc>
        <w:tc>
          <w:tcPr>
            <w:tcW w:w="624" w:type="dxa"/>
            <w:tcBorders>
              <w:top w:val="nil"/>
              <w:left w:val="nil"/>
              <w:bottom w:val="single" w:sz="8" w:space="0" w:color="DCDDDE"/>
              <w:right w:val="nil"/>
            </w:tcBorders>
            <w:shd w:val="clear" w:color="000000" w:fill="FFFFFF"/>
            <w:noWrap/>
            <w:vAlign w:val="center"/>
            <w:hideMark/>
          </w:tcPr>
          <w:p w14:paraId="25102F9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193.9</w:t>
            </w:r>
          </w:p>
        </w:tc>
        <w:tc>
          <w:tcPr>
            <w:tcW w:w="624" w:type="dxa"/>
            <w:tcBorders>
              <w:top w:val="nil"/>
              <w:left w:val="nil"/>
              <w:bottom w:val="single" w:sz="8" w:space="0" w:color="DCDDDE"/>
              <w:right w:val="nil"/>
            </w:tcBorders>
            <w:shd w:val="clear" w:color="000000" w:fill="FFFFFF"/>
            <w:noWrap/>
            <w:vAlign w:val="center"/>
            <w:hideMark/>
          </w:tcPr>
          <w:p w14:paraId="78FDBCC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194.6</w:t>
            </w:r>
          </w:p>
        </w:tc>
        <w:tc>
          <w:tcPr>
            <w:tcW w:w="624" w:type="dxa"/>
            <w:tcBorders>
              <w:top w:val="nil"/>
              <w:left w:val="nil"/>
              <w:bottom w:val="single" w:sz="8" w:space="0" w:color="DCDDDE"/>
              <w:right w:val="nil"/>
            </w:tcBorders>
            <w:shd w:val="clear" w:color="000000" w:fill="FFFFFF"/>
            <w:noWrap/>
            <w:vAlign w:val="center"/>
            <w:hideMark/>
          </w:tcPr>
          <w:p w14:paraId="39409FE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194.9</w:t>
            </w:r>
          </w:p>
        </w:tc>
      </w:tr>
      <w:tr w:rsidR="00A25F1A" w:rsidRPr="00A25F1A" w14:paraId="7778454F"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487B5A81" w14:textId="36CBC515" w:rsidR="00A25F1A" w:rsidRPr="00A25F1A" w:rsidRDefault="00A25F1A" w:rsidP="00A25F1A">
            <w:pPr>
              <w:spacing w:line="240" w:lineRule="auto"/>
              <w:jc w:val="center"/>
              <w:rPr>
                <w:rFonts w:ascii="Arial Narrow" w:hAnsi="Arial Narrow" w:cs="Calibri"/>
                <w:b/>
                <w:bCs/>
                <w:sz w:val="18"/>
                <w:szCs w:val="18"/>
              </w:rPr>
            </w:pPr>
            <w:r>
              <w:rPr>
                <w:rFonts w:ascii="Arial Narrow" w:hAnsi="Arial Narrow" w:cs="Calibri"/>
                <w:b/>
                <w:bCs/>
                <w:sz w:val="18"/>
                <w:szCs w:val="18"/>
              </w:rPr>
              <w:t>C&amp;S</w:t>
            </w:r>
          </w:p>
        </w:tc>
        <w:tc>
          <w:tcPr>
            <w:tcW w:w="626" w:type="dxa"/>
            <w:tcBorders>
              <w:top w:val="nil"/>
              <w:left w:val="nil"/>
              <w:bottom w:val="single" w:sz="8" w:space="0" w:color="DCDDDE"/>
              <w:right w:val="nil"/>
            </w:tcBorders>
            <w:shd w:val="clear" w:color="000000" w:fill="FFFFFF"/>
            <w:noWrap/>
            <w:vAlign w:val="center"/>
            <w:hideMark/>
          </w:tcPr>
          <w:p w14:paraId="3F4BEE3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373.1</w:t>
            </w:r>
          </w:p>
        </w:tc>
        <w:tc>
          <w:tcPr>
            <w:tcW w:w="626" w:type="dxa"/>
            <w:tcBorders>
              <w:top w:val="nil"/>
              <w:left w:val="nil"/>
              <w:bottom w:val="single" w:sz="8" w:space="0" w:color="DCDDDE"/>
              <w:right w:val="nil"/>
            </w:tcBorders>
            <w:shd w:val="clear" w:color="000000" w:fill="FFFFFF"/>
            <w:noWrap/>
            <w:vAlign w:val="center"/>
            <w:hideMark/>
          </w:tcPr>
          <w:p w14:paraId="5EFD93C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374.6</w:t>
            </w:r>
          </w:p>
        </w:tc>
        <w:tc>
          <w:tcPr>
            <w:tcW w:w="624" w:type="dxa"/>
            <w:tcBorders>
              <w:top w:val="nil"/>
              <w:left w:val="nil"/>
              <w:bottom w:val="single" w:sz="8" w:space="0" w:color="DCDDDE"/>
              <w:right w:val="nil"/>
            </w:tcBorders>
            <w:shd w:val="clear" w:color="000000" w:fill="FFFFFF"/>
            <w:noWrap/>
            <w:vAlign w:val="center"/>
            <w:hideMark/>
          </w:tcPr>
          <w:p w14:paraId="411B528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414.0</w:t>
            </w:r>
          </w:p>
        </w:tc>
        <w:tc>
          <w:tcPr>
            <w:tcW w:w="624" w:type="dxa"/>
            <w:tcBorders>
              <w:top w:val="nil"/>
              <w:left w:val="nil"/>
              <w:bottom w:val="single" w:sz="8" w:space="0" w:color="DCDDDE"/>
              <w:right w:val="nil"/>
            </w:tcBorders>
            <w:shd w:val="clear" w:color="000000" w:fill="FFFFFF"/>
            <w:noWrap/>
            <w:vAlign w:val="center"/>
            <w:hideMark/>
          </w:tcPr>
          <w:p w14:paraId="5039A39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485.0</w:t>
            </w:r>
          </w:p>
        </w:tc>
        <w:tc>
          <w:tcPr>
            <w:tcW w:w="624" w:type="dxa"/>
            <w:tcBorders>
              <w:top w:val="nil"/>
              <w:left w:val="nil"/>
              <w:bottom w:val="single" w:sz="8" w:space="0" w:color="DCDDDE"/>
              <w:right w:val="nil"/>
            </w:tcBorders>
            <w:shd w:val="clear" w:color="000000" w:fill="FFFFFF"/>
            <w:noWrap/>
            <w:vAlign w:val="center"/>
            <w:hideMark/>
          </w:tcPr>
          <w:p w14:paraId="4E469C1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477.2</w:t>
            </w:r>
          </w:p>
        </w:tc>
        <w:tc>
          <w:tcPr>
            <w:tcW w:w="624" w:type="dxa"/>
            <w:tcBorders>
              <w:top w:val="nil"/>
              <w:left w:val="nil"/>
              <w:bottom w:val="single" w:sz="8" w:space="0" w:color="DCDDDE"/>
              <w:right w:val="nil"/>
            </w:tcBorders>
            <w:shd w:val="clear" w:color="000000" w:fill="FFFFFF"/>
            <w:noWrap/>
            <w:vAlign w:val="center"/>
            <w:hideMark/>
          </w:tcPr>
          <w:p w14:paraId="05DE36C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560.0</w:t>
            </w:r>
          </w:p>
        </w:tc>
        <w:tc>
          <w:tcPr>
            <w:tcW w:w="624" w:type="dxa"/>
            <w:tcBorders>
              <w:top w:val="nil"/>
              <w:left w:val="nil"/>
              <w:bottom w:val="single" w:sz="8" w:space="0" w:color="DCDDDE"/>
              <w:right w:val="nil"/>
            </w:tcBorders>
            <w:shd w:val="clear" w:color="000000" w:fill="FFFFFF"/>
            <w:noWrap/>
            <w:vAlign w:val="center"/>
            <w:hideMark/>
          </w:tcPr>
          <w:p w14:paraId="38E955A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542.5</w:t>
            </w:r>
          </w:p>
        </w:tc>
        <w:tc>
          <w:tcPr>
            <w:tcW w:w="624" w:type="dxa"/>
            <w:tcBorders>
              <w:top w:val="nil"/>
              <w:left w:val="nil"/>
              <w:bottom w:val="single" w:sz="8" w:space="0" w:color="DCDDDE"/>
              <w:right w:val="nil"/>
            </w:tcBorders>
            <w:shd w:val="clear" w:color="000000" w:fill="FFFFFF"/>
            <w:noWrap/>
            <w:vAlign w:val="center"/>
            <w:hideMark/>
          </w:tcPr>
          <w:p w14:paraId="6A86BE5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531.1</w:t>
            </w:r>
          </w:p>
        </w:tc>
        <w:tc>
          <w:tcPr>
            <w:tcW w:w="624" w:type="dxa"/>
            <w:tcBorders>
              <w:top w:val="nil"/>
              <w:left w:val="nil"/>
              <w:bottom w:val="single" w:sz="8" w:space="0" w:color="DCDDDE"/>
              <w:right w:val="nil"/>
            </w:tcBorders>
            <w:shd w:val="clear" w:color="000000" w:fill="FFFFFF"/>
            <w:noWrap/>
            <w:vAlign w:val="center"/>
            <w:hideMark/>
          </w:tcPr>
          <w:p w14:paraId="4E40893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517.0</w:t>
            </w:r>
          </w:p>
        </w:tc>
        <w:tc>
          <w:tcPr>
            <w:tcW w:w="624" w:type="dxa"/>
            <w:tcBorders>
              <w:top w:val="nil"/>
              <w:left w:val="nil"/>
              <w:bottom w:val="single" w:sz="8" w:space="0" w:color="DCDDDE"/>
              <w:right w:val="nil"/>
            </w:tcBorders>
            <w:shd w:val="clear" w:color="000000" w:fill="FFFFFF"/>
            <w:noWrap/>
            <w:vAlign w:val="center"/>
            <w:hideMark/>
          </w:tcPr>
          <w:p w14:paraId="1CDDB22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509.6</w:t>
            </w:r>
          </w:p>
        </w:tc>
        <w:tc>
          <w:tcPr>
            <w:tcW w:w="624" w:type="dxa"/>
            <w:tcBorders>
              <w:top w:val="nil"/>
              <w:left w:val="nil"/>
              <w:bottom w:val="single" w:sz="8" w:space="0" w:color="DCDDDE"/>
              <w:right w:val="nil"/>
            </w:tcBorders>
            <w:shd w:val="clear" w:color="000000" w:fill="FFFFFF"/>
            <w:noWrap/>
            <w:vAlign w:val="center"/>
            <w:hideMark/>
          </w:tcPr>
          <w:p w14:paraId="0007E5C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490.6</w:t>
            </w:r>
          </w:p>
        </w:tc>
        <w:tc>
          <w:tcPr>
            <w:tcW w:w="624" w:type="dxa"/>
            <w:tcBorders>
              <w:top w:val="nil"/>
              <w:left w:val="nil"/>
              <w:bottom w:val="single" w:sz="8" w:space="0" w:color="DCDDDE"/>
              <w:right w:val="nil"/>
            </w:tcBorders>
            <w:shd w:val="clear" w:color="000000" w:fill="FFFFFF"/>
            <w:noWrap/>
            <w:vAlign w:val="center"/>
            <w:hideMark/>
          </w:tcPr>
          <w:p w14:paraId="4A06967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460.8</w:t>
            </w:r>
          </w:p>
        </w:tc>
        <w:tc>
          <w:tcPr>
            <w:tcW w:w="624" w:type="dxa"/>
            <w:tcBorders>
              <w:top w:val="nil"/>
              <w:left w:val="nil"/>
              <w:bottom w:val="single" w:sz="8" w:space="0" w:color="DCDDDE"/>
              <w:right w:val="nil"/>
            </w:tcBorders>
            <w:shd w:val="clear" w:color="000000" w:fill="FFFFFF"/>
            <w:noWrap/>
            <w:vAlign w:val="center"/>
            <w:hideMark/>
          </w:tcPr>
          <w:p w14:paraId="79C78CF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432.0</w:t>
            </w:r>
          </w:p>
        </w:tc>
      </w:tr>
      <w:tr w:rsidR="00A25F1A" w:rsidRPr="00A25F1A" w14:paraId="1EA06063"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5C07D684"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BROs</w:t>
            </w:r>
          </w:p>
        </w:tc>
        <w:tc>
          <w:tcPr>
            <w:tcW w:w="626" w:type="dxa"/>
            <w:tcBorders>
              <w:top w:val="nil"/>
              <w:left w:val="nil"/>
              <w:bottom w:val="single" w:sz="8" w:space="0" w:color="DCDDDE"/>
              <w:right w:val="nil"/>
            </w:tcBorders>
            <w:shd w:val="clear" w:color="000000" w:fill="FFFFFF"/>
            <w:noWrap/>
            <w:vAlign w:val="center"/>
            <w:hideMark/>
          </w:tcPr>
          <w:p w14:paraId="33BD78A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38.7</w:t>
            </w:r>
          </w:p>
        </w:tc>
        <w:tc>
          <w:tcPr>
            <w:tcW w:w="626" w:type="dxa"/>
            <w:tcBorders>
              <w:top w:val="nil"/>
              <w:left w:val="nil"/>
              <w:bottom w:val="single" w:sz="8" w:space="0" w:color="DCDDDE"/>
              <w:right w:val="nil"/>
            </w:tcBorders>
            <w:shd w:val="clear" w:color="000000" w:fill="FFFFFF"/>
            <w:noWrap/>
            <w:vAlign w:val="center"/>
            <w:hideMark/>
          </w:tcPr>
          <w:p w14:paraId="06CB157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49.2</w:t>
            </w:r>
          </w:p>
        </w:tc>
        <w:tc>
          <w:tcPr>
            <w:tcW w:w="624" w:type="dxa"/>
            <w:tcBorders>
              <w:top w:val="nil"/>
              <w:left w:val="nil"/>
              <w:bottom w:val="single" w:sz="8" w:space="0" w:color="DCDDDE"/>
              <w:right w:val="nil"/>
            </w:tcBorders>
            <w:shd w:val="clear" w:color="000000" w:fill="FFFFFF"/>
            <w:noWrap/>
            <w:vAlign w:val="center"/>
            <w:hideMark/>
          </w:tcPr>
          <w:p w14:paraId="3803F5F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54.7</w:t>
            </w:r>
          </w:p>
        </w:tc>
        <w:tc>
          <w:tcPr>
            <w:tcW w:w="624" w:type="dxa"/>
            <w:tcBorders>
              <w:top w:val="nil"/>
              <w:left w:val="nil"/>
              <w:bottom w:val="single" w:sz="8" w:space="0" w:color="DCDDDE"/>
              <w:right w:val="nil"/>
            </w:tcBorders>
            <w:shd w:val="clear" w:color="000000" w:fill="FFFFFF"/>
            <w:noWrap/>
            <w:vAlign w:val="center"/>
            <w:hideMark/>
          </w:tcPr>
          <w:p w14:paraId="0AFFB5E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60.9</w:t>
            </w:r>
          </w:p>
        </w:tc>
        <w:tc>
          <w:tcPr>
            <w:tcW w:w="624" w:type="dxa"/>
            <w:tcBorders>
              <w:top w:val="nil"/>
              <w:left w:val="nil"/>
              <w:bottom w:val="single" w:sz="8" w:space="0" w:color="DCDDDE"/>
              <w:right w:val="nil"/>
            </w:tcBorders>
            <w:shd w:val="clear" w:color="000000" w:fill="FFFFFF"/>
            <w:noWrap/>
            <w:vAlign w:val="center"/>
            <w:hideMark/>
          </w:tcPr>
          <w:p w14:paraId="0EF17EF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65.5</w:t>
            </w:r>
          </w:p>
        </w:tc>
        <w:tc>
          <w:tcPr>
            <w:tcW w:w="624" w:type="dxa"/>
            <w:tcBorders>
              <w:top w:val="nil"/>
              <w:left w:val="nil"/>
              <w:bottom w:val="single" w:sz="8" w:space="0" w:color="DCDDDE"/>
              <w:right w:val="nil"/>
            </w:tcBorders>
            <w:shd w:val="clear" w:color="000000" w:fill="FFFFFF"/>
            <w:noWrap/>
            <w:vAlign w:val="center"/>
            <w:hideMark/>
          </w:tcPr>
          <w:p w14:paraId="619F7CE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70.0</w:t>
            </w:r>
          </w:p>
        </w:tc>
        <w:tc>
          <w:tcPr>
            <w:tcW w:w="624" w:type="dxa"/>
            <w:tcBorders>
              <w:top w:val="nil"/>
              <w:left w:val="nil"/>
              <w:bottom w:val="single" w:sz="8" w:space="0" w:color="DCDDDE"/>
              <w:right w:val="nil"/>
            </w:tcBorders>
            <w:shd w:val="clear" w:color="000000" w:fill="FFFFFF"/>
            <w:noWrap/>
            <w:vAlign w:val="center"/>
            <w:hideMark/>
          </w:tcPr>
          <w:p w14:paraId="3E86865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74.6</w:t>
            </w:r>
          </w:p>
        </w:tc>
        <w:tc>
          <w:tcPr>
            <w:tcW w:w="624" w:type="dxa"/>
            <w:tcBorders>
              <w:top w:val="nil"/>
              <w:left w:val="nil"/>
              <w:bottom w:val="single" w:sz="8" w:space="0" w:color="DCDDDE"/>
              <w:right w:val="nil"/>
            </w:tcBorders>
            <w:shd w:val="clear" w:color="000000" w:fill="FFFFFF"/>
            <w:noWrap/>
            <w:vAlign w:val="center"/>
            <w:hideMark/>
          </w:tcPr>
          <w:p w14:paraId="49DCF08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81.4</w:t>
            </w:r>
          </w:p>
        </w:tc>
        <w:tc>
          <w:tcPr>
            <w:tcW w:w="624" w:type="dxa"/>
            <w:tcBorders>
              <w:top w:val="nil"/>
              <w:left w:val="nil"/>
              <w:bottom w:val="single" w:sz="8" w:space="0" w:color="DCDDDE"/>
              <w:right w:val="nil"/>
            </w:tcBorders>
            <w:shd w:val="clear" w:color="000000" w:fill="FFFFFF"/>
            <w:noWrap/>
            <w:vAlign w:val="center"/>
            <w:hideMark/>
          </w:tcPr>
          <w:p w14:paraId="3C044FF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86.9</w:t>
            </w:r>
          </w:p>
        </w:tc>
        <w:tc>
          <w:tcPr>
            <w:tcW w:w="624" w:type="dxa"/>
            <w:tcBorders>
              <w:top w:val="nil"/>
              <w:left w:val="nil"/>
              <w:bottom w:val="single" w:sz="8" w:space="0" w:color="DCDDDE"/>
              <w:right w:val="nil"/>
            </w:tcBorders>
            <w:shd w:val="clear" w:color="000000" w:fill="FFFFFF"/>
            <w:noWrap/>
            <w:vAlign w:val="center"/>
            <w:hideMark/>
          </w:tcPr>
          <w:p w14:paraId="0C7CD0A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92.6</w:t>
            </w:r>
          </w:p>
        </w:tc>
        <w:tc>
          <w:tcPr>
            <w:tcW w:w="624" w:type="dxa"/>
            <w:tcBorders>
              <w:top w:val="nil"/>
              <w:left w:val="nil"/>
              <w:bottom w:val="single" w:sz="8" w:space="0" w:color="DCDDDE"/>
              <w:right w:val="nil"/>
            </w:tcBorders>
            <w:shd w:val="clear" w:color="000000" w:fill="FFFFFF"/>
            <w:noWrap/>
            <w:vAlign w:val="center"/>
            <w:hideMark/>
          </w:tcPr>
          <w:p w14:paraId="2B5CB42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98.4</w:t>
            </w:r>
          </w:p>
        </w:tc>
        <w:tc>
          <w:tcPr>
            <w:tcW w:w="624" w:type="dxa"/>
            <w:tcBorders>
              <w:top w:val="nil"/>
              <w:left w:val="nil"/>
              <w:bottom w:val="single" w:sz="8" w:space="0" w:color="DCDDDE"/>
              <w:right w:val="nil"/>
            </w:tcBorders>
            <w:shd w:val="clear" w:color="000000" w:fill="FFFFFF"/>
            <w:noWrap/>
            <w:vAlign w:val="center"/>
            <w:hideMark/>
          </w:tcPr>
          <w:p w14:paraId="1E77820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104.4</w:t>
            </w:r>
          </w:p>
        </w:tc>
        <w:tc>
          <w:tcPr>
            <w:tcW w:w="624" w:type="dxa"/>
            <w:tcBorders>
              <w:top w:val="nil"/>
              <w:left w:val="nil"/>
              <w:bottom w:val="single" w:sz="8" w:space="0" w:color="DCDDDE"/>
              <w:right w:val="nil"/>
            </w:tcBorders>
            <w:shd w:val="clear" w:color="000000" w:fill="FFFFFF"/>
            <w:noWrap/>
            <w:vAlign w:val="center"/>
            <w:hideMark/>
          </w:tcPr>
          <w:p w14:paraId="69C3FBD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109.7</w:t>
            </w:r>
          </w:p>
        </w:tc>
      </w:tr>
      <w:tr w:rsidR="00A25F1A" w:rsidRPr="00A25F1A" w14:paraId="0905C2E0"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099E792E"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Low Income</w:t>
            </w:r>
          </w:p>
        </w:tc>
        <w:tc>
          <w:tcPr>
            <w:tcW w:w="626" w:type="dxa"/>
            <w:tcBorders>
              <w:top w:val="nil"/>
              <w:left w:val="nil"/>
              <w:bottom w:val="single" w:sz="8" w:space="0" w:color="DCDDDE"/>
              <w:right w:val="nil"/>
            </w:tcBorders>
            <w:shd w:val="clear" w:color="000000" w:fill="FFFFFF"/>
            <w:noWrap/>
            <w:vAlign w:val="center"/>
            <w:hideMark/>
          </w:tcPr>
          <w:p w14:paraId="1F9B8A9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6" w:type="dxa"/>
            <w:tcBorders>
              <w:top w:val="nil"/>
              <w:left w:val="nil"/>
              <w:bottom w:val="single" w:sz="8" w:space="0" w:color="DCDDDE"/>
              <w:right w:val="nil"/>
            </w:tcBorders>
            <w:shd w:val="clear" w:color="000000" w:fill="FFFFFF"/>
            <w:noWrap/>
            <w:vAlign w:val="center"/>
            <w:hideMark/>
          </w:tcPr>
          <w:p w14:paraId="2D1FA0A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10.2</w:t>
            </w:r>
          </w:p>
        </w:tc>
        <w:tc>
          <w:tcPr>
            <w:tcW w:w="624" w:type="dxa"/>
            <w:tcBorders>
              <w:top w:val="nil"/>
              <w:left w:val="nil"/>
              <w:bottom w:val="single" w:sz="8" w:space="0" w:color="DCDDDE"/>
              <w:right w:val="nil"/>
            </w:tcBorders>
            <w:shd w:val="clear" w:color="000000" w:fill="FFFFFF"/>
            <w:noWrap/>
            <w:vAlign w:val="center"/>
            <w:hideMark/>
          </w:tcPr>
          <w:p w14:paraId="31625D6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4" w:type="dxa"/>
            <w:tcBorders>
              <w:top w:val="nil"/>
              <w:left w:val="nil"/>
              <w:bottom w:val="single" w:sz="8" w:space="0" w:color="DCDDDE"/>
              <w:right w:val="nil"/>
            </w:tcBorders>
            <w:shd w:val="clear" w:color="000000" w:fill="FFFFFF"/>
            <w:noWrap/>
            <w:vAlign w:val="center"/>
            <w:hideMark/>
          </w:tcPr>
          <w:p w14:paraId="25A5867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5A2370F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CB1C4B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6AD48C8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71FEE0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EFBA4C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6ECB06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138E21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6E45A74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12F275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r>
      <w:tr w:rsidR="00A25F1A" w:rsidRPr="00A25F1A" w14:paraId="6A003585"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3D11C5AC"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Total</w:t>
            </w:r>
          </w:p>
        </w:tc>
        <w:tc>
          <w:tcPr>
            <w:tcW w:w="626" w:type="dxa"/>
            <w:tcBorders>
              <w:top w:val="nil"/>
              <w:left w:val="nil"/>
              <w:bottom w:val="single" w:sz="8" w:space="0" w:color="DCDDDE"/>
              <w:right w:val="nil"/>
            </w:tcBorders>
            <w:shd w:val="clear" w:color="000000" w:fill="FFFFFF"/>
            <w:noWrap/>
            <w:vAlign w:val="center"/>
            <w:hideMark/>
          </w:tcPr>
          <w:p w14:paraId="6DD92299"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555.5</w:t>
            </w:r>
          </w:p>
        </w:tc>
        <w:tc>
          <w:tcPr>
            <w:tcW w:w="626" w:type="dxa"/>
            <w:tcBorders>
              <w:top w:val="nil"/>
              <w:left w:val="nil"/>
              <w:bottom w:val="single" w:sz="8" w:space="0" w:color="DCDDDE"/>
              <w:right w:val="nil"/>
            </w:tcBorders>
            <w:shd w:val="clear" w:color="000000" w:fill="FFFFFF"/>
            <w:noWrap/>
            <w:vAlign w:val="center"/>
            <w:hideMark/>
          </w:tcPr>
          <w:p w14:paraId="3E113846"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586.2</w:t>
            </w:r>
          </w:p>
        </w:tc>
        <w:tc>
          <w:tcPr>
            <w:tcW w:w="624" w:type="dxa"/>
            <w:tcBorders>
              <w:top w:val="nil"/>
              <w:left w:val="nil"/>
              <w:bottom w:val="single" w:sz="8" w:space="0" w:color="DCDDDE"/>
              <w:right w:val="nil"/>
            </w:tcBorders>
            <w:shd w:val="clear" w:color="000000" w:fill="FFFFFF"/>
            <w:noWrap/>
            <w:vAlign w:val="center"/>
            <w:hideMark/>
          </w:tcPr>
          <w:p w14:paraId="35A8B676"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623.9</w:t>
            </w:r>
          </w:p>
        </w:tc>
        <w:tc>
          <w:tcPr>
            <w:tcW w:w="624" w:type="dxa"/>
            <w:tcBorders>
              <w:top w:val="nil"/>
              <w:left w:val="nil"/>
              <w:bottom w:val="single" w:sz="8" w:space="0" w:color="DCDDDE"/>
              <w:right w:val="nil"/>
            </w:tcBorders>
            <w:shd w:val="clear" w:color="000000" w:fill="FFFFFF"/>
            <w:noWrap/>
            <w:vAlign w:val="center"/>
            <w:hideMark/>
          </w:tcPr>
          <w:p w14:paraId="246CAF53"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714.6</w:t>
            </w:r>
          </w:p>
        </w:tc>
        <w:tc>
          <w:tcPr>
            <w:tcW w:w="624" w:type="dxa"/>
            <w:tcBorders>
              <w:top w:val="nil"/>
              <w:left w:val="nil"/>
              <w:bottom w:val="single" w:sz="8" w:space="0" w:color="DCDDDE"/>
              <w:right w:val="nil"/>
            </w:tcBorders>
            <w:shd w:val="clear" w:color="000000" w:fill="FFFFFF"/>
            <w:noWrap/>
            <w:vAlign w:val="center"/>
            <w:hideMark/>
          </w:tcPr>
          <w:p w14:paraId="788ED08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714.8</w:t>
            </w:r>
          </w:p>
        </w:tc>
        <w:tc>
          <w:tcPr>
            <w:tcW w:w="624" w:type="dxa"/>
            <w:tcBorders>
              <w:top w:val="nil"/>
              <w:left w:val="nil"/>
              <w:bottom w:val="single" w:sz="8" w:space="0" w:color="DCDDDE"/>
              <w:right w:val="nil"/>
            </w:tcBorders>
            <w:shd w:val="clear" w:color="000000" w:fill="FFFFFF"/>
            <w:noWrap/>
            <w:vAlign w:val="center"/>
            <w:hideMark/>
          </w:tcPr>
          <w:p w14:paraId="19E3A36B"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808.1</w:t>
            </w:r>
          </w:p>
        </w:tc>
        <w:tc>
          <w:tcPr>
            <w:tcW w:w="624" w:type="dxa"/>
            <w:tcBorders>
              <w:top w:val="nil"/>
              <w:left w:val="nil"/>
              <w:bottom w:val="single" w:sz="8" w:space="0" w:color="DCDDDE"/>
              <w:right w:val="nil"/>
            </w:tcBorders>
            <w:shd w:val="clear" w:color="000000" w:fill="FFFFFF"/>
            <w:noWrap/>
            <w:vAlign w:val="center"/>
            <w:hideMark/>
          </w:tcPr>
          <w:p w14:paraId="4D00EC74"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804.6</w:t>
            </w:r>
          </w:p>
        </w:tc>
        <w:tc>
          <w:tcPr>
            <w:tcW w:w="624" w:type="dxa"/>
            <w:tcBorders>
              <w:top w:val="nil"/>
              <w:left w:val="nil"/>
              <w:bottom w:val="single" w:sz="8" w:space="0" w:color="DCDDDE"/>
              <w:right w:val="nil"/>
            </w:tcBorders>
            <w:shd w:val="clear" w:color="000000" w:fill="FFFFFF"/>
            <w:noWrap/>
            <w:vAlign w:val="center"/>
            <w:hideMark/>
          </w:tcPr>
          <w:p w14:paraId="377BFAE7"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805.4</w:t>
            </w:r>
          </w:p>
        </w:tc>
        <w:tc>
          <w:tcPr>
            <w:tcW w:w="624" w:type="dxa"/>
            <w:tcBorders>
              <w:top w:val="nil"/>
              <w:left w:val="nil"/>
              <w:bottom w:val="single" w:sz="8" w:space="0" w:color="DCDDDE"/>
              <w:right w:val="nil"/>
            </w:tcBorders>
            <w:shd w:val="clear" w:color="000000" w:fill="FFFFFF"/>
            <w:noWrap/>
            <w:vAlign w:val="center"/>
            <w:hideMark/>
          </w:tcPr>
          <w:p w14:paraId="2A5544D0"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797.8</w:t>
            </w:r>
          </w:p>
        </w:tc>
        <w:tc>
          <w:tcPr>
            <w:tcW w:w="624" w:type="dxa"/>
            <w:tcBorders>
              <w:top w:val="nil"/>
              <w:left w:val="nil"/>
              <w:bottom w:val="single" w:sz="8" w:space="0" w:color="DCDDDE"/>
              <w:right w:val="nil"/>
            </w:tcBorders>
            <w:shd w:val="clear" w:color="000000" w:fill="FFFFFF"/>
            <w:noWrap/>
            <w:vAlign w:val="center"/>
            <w:hideMark/>
          </w:tcPr>
          <w:p w14:paraId="243DB1B0"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798.9</w:t>
            </w:r>
          </w:p>
        </w:tc>
        <w:tc>
          <w:tcPr>
            <w:tcW w:w="624" w:type="dxa"/>
            <w:tcBorders>
              <w:top w:val="nil"/>
              <w:left w:val="nil"/>
              <w:bottom w:val="single" w:sz="8" w:space="0" w:color="DCDDDE"/>
              <w:right w:val="nil"/>
            </w:tcBorders>
            <w:shd w:val="clear" w:color="000000" w:fill="FFFFFF"/>
            <w:noWrap/>
            <w:vAlign w:val="center"/>
            <w:hideMark/>
          </w:tcPr>
          <w:p w14:paraId="6DD66368"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788.6</w:t>
            </w:r>
          </w:p>
        </w:tc>
        <w:tc>
          <w:tcPr>
            <w:tcW w:w="624" w:type="dxa"/>
            <w:tcBorders>
              <w:top w:val="nil"/>
              <w:left w:val="nil"/>
              <w:bottom w:val="single" w:sz="8" w:space="0" w:color="DCDDDE"/>
              <w:right w:val="nil"/>
            </w:tcBorders>
            <w:shd w:val="clear" w:color="000000" w:fill="FFFFFF"/>
            <w:noWrap/>
            <w:vAlign w:val="center"/>
            <w:hideMark/>
          </w:tcPr>
          <w:p w14:paraId="54B08F0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765.5</w:t>
            </w:r>
          </w:p>
        </w:tc>
        <w:tc>
          <w:tcPr>
            <w:tcW w:w="624" w:type="dxa"/>
            <w:tcBorders>
              <w:top w:val="nil"/>
              <w:left w:val="nil"/>
              <w:bottom w:val="single" w:sz="8" w:space="0" w:color="DCDDDE"/>
              <w:right w:val="nil"/>
            </w:tcBorders>
            <w:shd w:val="clear" w:color="000000" w:fill="FFFFFF"/>
            <w:noWrap/>
            <w:vAlign w:val="center"/>
            <w:hideMark/>
          </w:tcPr>
          <w:p w14:paraId="146B0DE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742.3</w:t>
            </w:r>
          </w:p>
        </w:tc>
      </w:tr>
      <w:tr w:rsidR="00A25F1A" w:rsidRPr="00A25F1A" w14:paraId="444023CD" w14:textId="77777777" w:rsidTr="00A25F1A">
        <w:trPr>
          <w:trHeight w:val="264"/>
        </w:trPr>
        <w:tc>
          <w:tcPr>
            <w:tcW w:w="9386" w:type="dxa"/>
            <w:gridSpan w:val="15"/>
            <w:tcBorders>
              <w:top w:val="single" w:sz="8" w:space="0" w:color="DCDDDE"/>
              <w:left w:val="nil"/>
              <w:bottom w:val="single" w:sz="8" w:space="0" w:color="DCDDDE"/>
              <w:right w:val="nil"/>
            </w:tcBorders>
            <w:shd w:val="clear" w:color="000000" w:fill="DADADA"/>
            <w:noWrap/>
            <w:vAlign w:val="center"/>
            <w:hideMark/>
          </w:tcPr>
          <w:p w14:paraId="251225C8"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mTRC (GHG adder 2) | Reference</w:t>
            </w:r>
          </w:p>
        </w:tc>
      </w:tr>
      <w:tr w:rsidR="00A25F1A" w:rsidRPr="00A25F1A" w14:paraId="43C5292A"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6BAA4783"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Rebate Programs</w:t>
            </w:r>
          </w:p>
        </w:tc>
        <w:tc>
          <w:tcPr>
            <w:tcW w:w="626" w:type="dxa"/>
            <w:tcBorders>
              <w:top w:val="nil"/>
              <w:left w:val="nil"/>
              <w:bottom w:val="single" w:sz="8" w:space="0" w:color="DCDDDE"/>
              <w:right w:val="nil"/>
            </w:tcBorders>
            <w:shd w:val="clear" w:color="000000" w:fill="FFFFFF"/>
            <w:noWrap/>
            <w:vAlign w:val="center"/>
            <w:hideMark/>
          </w:tcPr>
          <w:p w14:paraId="7E8656D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138.2</w:t>
            </w:r>
          </w:p>
        </w:tc>
        <w:tc>
          <w:tcPr>
            <w:tcW w:w="626" w:type="dxa"/>
            <w:tcBorders>
              <w:top w:val="nil"/>
              <w:left w:val="nil"/>
              <w:bottom w:val="single" w:sz="8" w:space="0" w:color="DCDDDE"/>
              <w:right w:val="nil"/>
            </w:tcBorders>
            <w:shd w:val="clear" w:color="000000" w:fill="FFFFFF"/>
            <w:noWrap/>
            <w:vAlign w:val="center"/>
            <w:hideMark/>
          </w:tcPr>
          <w:p w14:paraId="02BE3F7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156.9</w:t>
            </w:r>
          </w:p>
        </w:tc>
        <w:tc>
          <w:tcPr>
            <w:tcW w:w="624" w:type="dxa"/>
            <w:tcBorders>
              <w:top w:val="nil"/>
              <w:left w:val="nil"/>
              <w:bottom w:val="single" w:sz="8" w:space="0" w:color="DCDDDE"/>
              <w:right w:val="nil"/>
            </w:tcBorders>
            <w:shd w:val="clear" w:color="000000" w:fill="FFFFFF"/>
            <w:noWrap/>
            <w:vAlign w:val="center"/>
            <w:hideMark/>
          </w:tcPr>
          <w:p w14:paraId="5795651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158.2</w:t>
            </w:r>
          </w:p>
        </w:tc>
        <w:tc>
          <w:tcPr>
            <w:tcW w:w="624" w:type="dxa"/>
            <w:tcBorders>
              <w:top w:val="nil"/>
              <w:left w:val="nil"/>
              <w:bottom w:val="single" w:sz="8" w:space="0" w:color="DCDDDE"/>
              <w:right w:val="nil"/>
            </w:tcBorders>
            <w:shd w:val="clear" w:color="000000" w:fill="FFFFFF"/>
            <w:noWrap/>
            <w:vAlign w:val="center"/>
            <w:hideMark/>
          </w:tcPr>
          <w:p w14:paraId="1954DBD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183.4</w:t>
            </w:r>
          </w:p>
        </w:tc>
        <w:tc>
          <w:tcPr>
            <w:tcW w:w="624" w:type="dxa"/>
            <w:tcBorders>
              <w:top w:val="nil"/>
              <w:left w:val="nil"/>
              <w:bottom w:val="single" w:sz="8" w:space="0" w:color="DCDDDE"/>
              <w:right w:val="nil"/>
            </w:tcBorders>
            <w:shd w:val="clear" w:color="000000" w:fill="FFFFFF"/>
            <w:noWrap/>
            <w:vAlign w:val="center"/>
            <w:hideMark/>
          </w:tcPr>
          <w:p w14:paraId="67816F9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193.2</w:t>
            </w:r>
          </w:p>
        </w:tc>
        <w:tc>
          <w:tcPr>
            <w:tcW w:w="624" w:type="dxa"/>
            <w:tcBorders>
              <w:top w:val="nil"/>
              <w:left w:val="nil"/>
              <w:bottom w:val="single" w:sz="8" w:space="0" w:color="DCDDDE"/>
              <w:right w:val="nil"/>
            </w:tcBorders>
            <w:shd w:val="clear" w:color="000000" w:fill="FFFFFF"/>
            <w:noWrap/>
            <w:vAlign w:val="center"/>
            <w:hideMark/>
          </w:tcPr>
          <w:p w14:paraId="6BA3A49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216.2</w:t>
            </w:r>
          </w:p>
        </w:tc>
        <w:tc>
          <w:tcPr>
            <w:tcW w:w="624" w:type="dxa"/>
            <w:tcBorders>
              <w:top w:val="nil"/>
              <w:left w:val="nil"/>
              <w:bottom w:val="single" w:sz="8" w:space="0" w:color="DCDDDE"/>
              <w:right w:val="nil"/>
            </w:tcBorders>
            <w:shd w:val="clear" w:color="000000" w:fill="FFFFFF"/>
            <w:noWrap/>
            <w:vAlign w:val="center"/>
            <w:hideMark/>
          </w:tcPr>
          <w:p w14:paraId="7FEE046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222.6</w:t>
            </w:r>
          </w:p>
        </w:tc>
        <w:tc>
          <w:tcPr>
            <w:tcW w:w="624" w:type="dxa"/>
            <w:tcBorders>
              <w:top w:val="nil"/>
              <w:left w:val="nil"/>
              <w:bottom w:val="single" w:sz="8" w:space="0" w:color="DCDDDE"/>
              <w:right w:val="nil"/>
            </w:tcBorders>
            <w:shd w:val="clear" w:color="000000" w:fill="FFFFFF"/>
            <w:noWrap/>
            <w:vAlign w:val="center"/>
            <w:hideMark/>
          </w:tcPr>
          <w:p w14:paraId="692CC63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232.7</w:t>
            </w:r>
          </w:p>
        </w:tc>
        <w:tc>
          <w:tcPr>
            <w:tcW w:w="624" w:type="dxa"/>
            <w:tcBorders>
              <w:top w:val="nil"/>
              <w:left w:val="nil"/>
              <w:bottom w:val="single" w:sz="8" w:space="0" w:color="DCDDDE"/>
              <w:right w:val="nil"/>
            </w:tcBorders>
            <w:shd w:val="clear" w:color="000000" w:fill="FFFFFF"/>
            <w:noWrap/>
            <w:vAlign w:val="center"/>
            <w:hideMark/>
          </w:tcPr>
          <w:p w14:paraId="75BC956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236.1</w:t>
            </w:r>
          </w:p>
        </w:tc>
        <w:tc>
          <w:tcPr>
            <w:tcW w:w="624" w:type="dxa"/>
            <w:tcBorders>
              <w:top w:val="nil"/>
              <w:left w:val="nil"/>
              <w:bottom w:val="single" w:sz="8" w:space="0" w:color="DCDDDE"/>
              <w:right w:val="nil"/>
            </w:tcBorders>
            <w:shd w:val="clear" w:color="000000" w:fill="FFFFFF"/>
            <w:noWrap/>
            <w:vAlign w:val="center"/>
            <w:hideMark/>
          </w:tcPr>
          <w:p w14:paraId="5EBD5CF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238.4</w:t>
            </w:r>
          </w:p>
        </w:tc>
        <w:tc>
          <w:tcPr>
            <w:tcW w:w="624" w:type="dxa"/>
            <w:tcBorders>
              <w:top w:val="nil"/>
              <w:left w:val="nil"/>
              <w:bottom w:val="single" w:sz="8" w:space="0" w:color="DCDDDE"/>
              <w:right w:val="nil"/>
            </w:tcBorders>
            <w:shd w:val="clear" w:color="000000" w:fill="FFFFFF"/>
            <w:noWrap/>
            <w:vAlign w:val="center"/>
            <w:hideMark/>
          </w:tcPr>
          <w:p w14:paraId="21A3B4E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241.1</w:t>
            </w:r>
          </w:p>
        </w:tc>
        <w:tc>
          <w:tcPr>
            <w:tcW w:w="624" w:type="dxa"/>
            <w:tcBorders>
              <w:top w:val="nil"/>
              <w:left w:val="nil"/>
              <w:bottom w:val="single" w:sz="8" w:space="0" w:color="DCDDDE"/>
              <w:right w:val="nil"/>
            </w:tcBorders>
            <w:shd w:val="clear" w:color="000000" w:fill="FFFFFF"/>
            <w:noWrap/>
            <w:vAlign w:val="center"/>
            <w:hideMark/>
          </w:tcPr>
          <w:p w14:paraId="2060384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247.5</w:t>
            </w:r>
          </w:p>
        </w:tc>
        <w:tc>
          <w:tcPr>
            <w:tcW w:w="624" w:type="dxa"/>
            <w:tcBorders>
              <w:top w:val="nil"/>
              <w:left w:val="nil"/>
              <w:bottom w:val="single" w:sz="8" w:space="0" w:color="DCDDDE"/>
              <w:right w:val="nil"/>
            </w:tcBorders>
            <w:shd w:val="clear" w:color="000000" w:fill="FFFFFF"/>
            <w:noWrap/>
            <w:vAlign w:val="center"/>
            <w:hideMark/>
          </w:tcPr>
          <w:p w14:paraId="265C736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246.5</w:t>
            </w:r>
          </w:p>
        </w:tc>
      </w:tr>
      <w:tr w:rsidR="00A25F1A" w:rsidRPr="00A25F1A" w14:paraId="2CB7023C"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7DC900CD" w14:textId="516D2702" w:rsidR="00A25F1A" w:rsidRPr="00A25F1A" w:rsidRDefault="00A25F1A" w:rsidP="00A25F1A">
            <w:pPr>
              <w:spacing w:line="240" w:lineRule="auto"/>
              <w:jc w:val="center"/>
              <w:rPr>
                <w:rFonts w:ascii="Arial Narrow" w:hAnsi="Arial Narrow" w:cs="Calibri"/>
                <w:b/>
                <w:bCs/>
                <w:sz w:val="18"/>
                <w:szCs w:val="18"/>
              </w:rPr>
            </w:pPr>
            <w:r>
              <w:rPr>
                <w:rFonts w:ascii="Arial Narrow" w:hAnsi="Arial Narrow" w:cs="Calibri"/>
                <w:b/>
                <w:bCs/>
                <w:sz w:val="18"/>
                <w:szCs w:val="18"/>
              </w:rPr>
              <w:t>C&amp;S</w:t>
            </w:r>
          </w:p>
        </w:tc>
        <w:tc>
          <w:tcPr>
            <w:tcW w:w="626" w:type="dxa"/>
            <w:tcBorders>
              <w:top w:val="nil"/>
              <w:left w:val="nil"/>
              <w:bottom w:val="single" w:sz="8" w:space="0" w:color="DCDDDE"/>
              <w:right w:val="nil"/>
            </w:tcBorders>
            <w:shd w:val="clear" w:color="000000" w:fill="FFFFFF"/>
            <w:noWrap/>
            <w:vAlign w:val="center"/>
            <w:hideMark/>
          </w:tcPr>
          <w:p w14:paraId="2330C2C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373.1</w:t>
            </w:r>
          </w:p>
        </w:tc>
        <w:tc>
          <w:tcPr>
            <w:tcW w:w="626" w:type="dxa"/>
            <w:tcBorders>
              <w:top w:val="nil"/>
              <w:left w:val="nil"/>
              <w:bottom w:val="single" w:sz="8" w:space="0" w:color="DCDDDE"/>
              <w:right w:val="nil"/>
            </w:tcBorders>
            <w:shd w:val="clear" w:color="000000" w:fill="FFFFFF"/>
            <w:noWrap/>
            <w:vAlign w:val="center"/>
            <w:hideMark/>
          </w:tcPr>
          <w:p w14:paraId="20ADA53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374.6</w:t>
            </w:r>
          </w:p>
        </w:tc>
        <w:tc>
          <w:tcPr>
            <w:tcW w:w="624" w:type="dxa"/>
            <w:tcBorders>
              <w:top w:val="nil"/>
              <w:left w:val="nil"/>
              <w:bottom w:val="single" w:sz="8" w:space="0" w:color="DCDDDE"/>
              <w:right w:val="nil"/>
            </w:tcBorders>
            <w:shd w:val="clear" w:color="000000" w:fill="FFFFFF"/>
            <w:noWrap/>
            <w:vAlign w:val="center"/>
            <w:hideMark/>
          </w:tcPr>
          <w:p w14:paraId="40A7DCB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414.0</w:t>
            </w:r>
          </w:p>
        </w:tc>
        <w:tc>
          <w:tcPr>
            <w:tcW w:w="624" w:type="dxa"/>
            <w:tcBorders>
              <w:top w:val="nil"/>
              <w:left w:val="nil"/>
              <w:bottom w:val="single" w:sz="8" w:space="0" w:color="DCDDDE"/>
              <w:right w:val="nil"/>
            </w:tcBorders>
            <w:shd w:val="clear" w:color="000000" w:fill="FFFFFF"/>
            <w:noWrap/>
            <w:vAlign w:val="center"/>
            <w:hideMark/>
          </w:tcPr>
          <w:p w14:paraId="02CA1E2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485.0</w:t>
            </w:r>
          </w:p>
        </w:tc>
        <w:tc>
          <w:tcPr>
            <w:tcW w:w="624" w:type="dxa"/>
            <w:tcBorders>
              <w:top w:val="nil"/>
              <w:left w:val="nil"/>
              <w:bottom w:val="single" w:sz="8" w:space="0" w:color="DCDDDE"/>
              <w:right w:val="nil"/>
            </w:tcBorders>
            <w:shd w:val="clear" w:color="000000" w:fill="FFFFFF"/>
            <w:noWrap/>
            <w:vAlign w:val="center"/>
            <w:hideMark/>
          </w:tcPr>
          <w:p w14:paraId="1EF2E22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477.2</w:t>
            </w:r>
          </w:p>
        </w:tc>
        <w:tc>
          <w:tcPr>
            <w:tcW w:w="624" w:type="dxa"/>
            <w:tcBorders>
              <w:top w:val="nil"/>
              <w:left w:val="nil"/>
              <w:bottom w:val="single" w:sz="8" w:space="0" w:color="DCDDDE"/>
              <w:right w:val="nil"/>
            </w:tcBorders>
            <w:shd w:val="clear" w:color="000000" w:fill="FFFFFF"/>
            <w:noWrap/>
            <w:vAlign w:val="center"/>
            <w:hideMark/>
          </w:tcPr>
          <w:p w14:paraId="66DAF04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560.0</w:t>
            </w:r>
          </w:p>
        </w:tc>
        <w:tc>
          <w:tcPr>
            <w:tcW w:w="624" w:type="dxa"/>
            <w:tcBorders>
              <w:top w:val="nil"/>
              <w:left w:val="nil"/>
              <w:bottom w:val="single" w:sz="8" w:space="0" w:color="DCDDDE"/>
              <w:right w:val="nil"/>
            </w:tcBorders>
            <w:shd w:val="clear" w:color="000000" w:fill="FFFFFF"/>
            <w:noWrap/>
            <w:vAlign w:val="center"/>
            <w:hideMark/>
          </w:tcPr>
          <w:p w14:paraId="784092C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542.5</w:t>
            </w:r>
          </w:p>
        </w:tc>
        <w:tc>
          <w:tcPr>
            <w:tcW w:w="624" w:type="dxa"/>
            <w:tcBorders>
              <w:top w:val="nil"/>
              <w:left w:val="nil"/>
              <w:bottom w:val="single" w:sz="8" w:space="0" w:color="DCDDDE"/>
              <w:right w:val="nil"/>
            </w:tcBorders>
            <w:shd w:val="clear" w:color="000000" w:fill="FFFFFF"/>
            <w:noWrap/>
            <w:vAlign w:val="center"/>
            <w:hideMark/>
          </w:tcPr>
          <w:p w14:paraId="604CDFD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531.1</w:t>
            </w:r>
          </w:p>
        </w:tc>
        <w:tc>
          <w:tcPr>
            <w:tcW w:w="624" w:type="dxa"/>
            <w:tcBorders>
              <w:top w:val="nil"/>
              <w:left w:val="nil"/>
              <w:bottom w:val="single" w:sz="8" w:space="0" w:color="DCDDDE"/>
              <w:right w:val="nil"/>
            </w:tcBorders>
            <w:shd w:val="clear" w:color="000000" w:fill="FFFFFF"/>
            <w:noWrap/>
            <w:vAlign w:val="center"/>
            <w:hideMark/>
          </w:tcPr>
          <w:p w14:paraId="0033663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517.0</w:t>
            </w:r>
          </w:p>
        </w:tc>
        <w:tc>
          <w:tcPr>
            <w:tcW w:w="624" w:type="dxa"/>
            <w:tcBorders>
              <w:top w:val="nil"/>
              <w:left w:val="nil"/>
              <w:bottom w:val="single" w:sz="8" w:space="0" w:color="DCDDDE"/>
              <w:right w:val="nil"/>
            </w:tcBorders>
            <w:shd w:val="clear" w:color="000000" w:fill="FFFFFF"/>
            <w:noWrap/>
            <w:vAlign w:val="center"/>
            <w:hideMark/>
          </w:tcPr>
          <w:p w14:paraId="4EE5072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509.6</w:t>
            </w:r>
          </w:p>
        </w:tc>
        <w:tc>
          <w:tcPr>
            <w:tcW w:w="624" w:type="dxa"/>
            <w:tcBorders>
              <w:top w:val="nil"/>
              <w:left w:val="nil"/>
              <w:bottom w:val="single" w:sz="8" w:space="0" w:color="DCDDDE"/>
              <w:right w:val="nil"/>
            </w:tcBorders>
            <w:shd w:val="clear" w:color="000000" w:fill="FFFFFF"/>
            <w:noWrap/>
            <w:vAlign w:val="center"/>
            <w:hideMark/>
          </w:tcPr>
          <w:p w14:paraId="43510FD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490.6</w:t>
            </w:r>
          </w:p>
        </w:tc>
        <w:tc>
          <w:tcPr>
            <w:tcW w:w="624" w:type="dxa"/>
            <w:tcBorders>
              <w:top w:val="nil"/>
              <w:left w:val="nil"/>
              <w:bottom w:val="single" w:sz="8" w:space="0" w:color="DCDDDE"/>
              <w:right w:val="nil"/>
            </w:tcBorders>
            <w:shd w:val="clear" w:color="000000" w:fill="FFFFFF"/>
            <w:noWrap/>
            <w:vAlign w:val="center"/>
            <w:hideMark/>
          </w:tcPr>
          <w:p w14:paraId="17DA29D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460.8</w:t>
            </w:r>
          </w:p>
        </w:tc>
        <w:tc>
          <w:tcPr>
            <w:tcW w:w="624" w:type="dxa"/>
            <w:tcBorders>
              <w:top w:val="nil"/>
              <w:left w:val="nil"/>
              <w:bottom w:val="single" w:sz="8" w:space="0" w:color="DCDDDE"/>
              <w:right w:val="nil"/>
            </w:tcBorders>
            <w:shd w:val="clear" w:color="000000" w:fill="FFFFFF"/>
            <w:noWrap/>
            <w:vAlign w:val="center"/>
            <w:hideMark/>
          </w:tcPr>
          <w:p w14:paraId="2784CCF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432.0</w:t>
            </w:r>
          </w:p>
        </w:tc>
      </w:tr>
      <w:tr w:rsidR="00A25F1A" w:rsidRPr="00A25F1A" w14:paraId="1D47440B"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03DD729F"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BROs</w:t>
            </w:r>
          </w:p>
        </w:tc>
        <w:tc>
          <w:tcPr>
            <w:tcW w:w="626" w:type="dxa"/>
            <w:tcBorders>
              <w:top w:val="nil"/>
              <w:left w:val="nil"/>
              <w:bottom w:val="single" w:sz="8" w:space="0" w:color="DCDDDE"/>
              <w:right w:val="nil"/>
            </w:tcBorders>
            <w:shd w:val="clear" w:color="000000" w:fill="FFFFFF"/>
            <w:noWrap/>
            <w:vAlign w:val="center"/>
            <w:hideMark/>
          </w:tcPr>
          <w:p w14:paraId="6182E16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38.7</w:t>
            </w:r>
          </w:p>
        </w:tc>
        <w:tc>
          <w:tcPr>
            <w:tcW w:w="626" w:type="dxa"/>
            <w:tcBorders>
              <w:top w:val="nil"/>
              <w:left w:val="nil"/>
              <w:bottom w:val="single" w:sz="8" w:space="0" w:color="DCDDDE"/>
              <w:right w:val="nil"/>
            </w:tcBorders>
            <w:shd w:val="clear" w:color="000000" w:fill="FFFFFF"/>
            <w:noWrap/>
            <w:vAlign w:val="center"/>
            <w:hideMark/>
          </w:tcPr>
          <w:p w14:paraId="750EFE1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49.2</w:t>
            </w:r>
          </w:p>
        </w:tc>
        <w:tc>
          <w:tcPr>
            <w:tcW w:w="624" w:type="dxa"/>
            <w:tcBorders>
              <w:top w:val="nil"/>
              <w:left w:val="nil"/>
              <w:bottom w:val="single" w:sz="8" w:space="0" w:color="DCDDDE"/>
              <w:right w:val="nil"/>
            </w:tcBorders>
            <w:shd w:val="clear" w:color="000000" w:fill="FFFFFF"/>
            <w:noWrap/>
            <w:vAlign w:val="center"/>
            <w:hideMark/>
          </w:tcPr>
          <w:p w14:paraId="5B37B7D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54.7</w:t>
            </w:r>
          </w:p>
        </w:tc>
        <w:tc>
          <w:tcPr>
            <w:tcW w:w="624" w:type="dxa"/>
            <w:tcBorders>
              <w:top w:val="nil"/>
              <w:left w:val="nil"/>
              <w:bottom w:val="single" w:sz="8" w:space="0" w:color="DCDDDE"/>
              <w:right w:val="nil"/>
            </w:tcBorders>
            <w:shd w:val="clear" w:color="000000" w:fill="FFFFFF"/>
            <w:noWrap/>
            <w:vAlign w:val="center"/>
            <w:hideMark/>
          </w:tcPr>
          <w:p w14:paraId="03947F2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60.9</w:t>
            </w:r>
          </w:p>
        </w:tc>
        <w:tc>
          <w:tcPr>
            <w:tcW w:w="624" w:type="dxa"/>
            <w:tcBorders>
              <w:top w:val="nil"/>
              <w:left w:val="nil"/>
              <w:bottom w:val="single" w:sz="8" w:space="0" w:color="DCDDDE"/>
              <w:right w:val="nil"/>
            </w:tcBorders>
            <w:shd w:val="clear" w:color="000000" w:fill="FFFFFF"/>
            <w:noWrap/>
            <w:vAlign w:val="center"/>
            <w:hideMark/>
          </w:tcPr>
          <w:p w14:paraId="72DF096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65.5</w:t>
            </w:r>
          </w:p>
        </w:tc>
        <w:tc>
          <w:tcPr>
            <w:tcW w:w="624" w:type="dxa"/>
            <w:tcBorders>
              <w:top w:val="nil"/>
              <w:left w:val="nil"/>
              <w:bottom w:val="single" w:sz="8" w:space="0" w:color="DCDDDE"/>
              <w:right w:val="nil"/>
            </w:tcBorders>
            <w:shd w:val="clear" w:color="000000" w:fill="FFFFFF"/>
            <w:noWrap/>
            <w:vAlign w:val="center"/>
            <w:hideMark/>
          </w:tcPr>
          <w:p w14:paraId="7177C4F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70.0</w:t>
            </w:r>
          </w:p>
        </w:tc>
        <w:tc>
          <w:tcPr>
            <w:tcW w:w="624" w:type="dxa"/>
            <w:tcBorders>
              <w:top w:val="nil"/>
              <w:left w:val="nil"/>
              <w:bottom w:val="single" w:sz="8" w:space="0" w:color="DCDDDE"/>
              <w:right w:val="nil"/>
            </w:tcBorders>
            <w:shd w:val="clear" w:color="000000" w:fill="FFFFFF"/>
            <w:noWrap/>
            <w:vAlign w:val="center"/>
            <w:hideMark/>
          </w:tcPr>
          <w:p w14:paraId="1ACD671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74.6</w:t>
            </w:r>
          </w:p>
        </w:tc>
        <w:tc>
          <w:tcPr>
            <w:tcW w:w="624" w:type="dxa"/>
            <w:tcBorders>
              <w:top w:val="nil"/>
              <w:left w:val="nil"/>
              <w:bottom w:val="single" w:sz="8" w:space="0" w:color="DCDDDE"/>
              <w:right w:val="nil"/>
            </w:tcBorders>
            <w:shd w:val="clear" w:color="000000" w:fill="FFFFFF"/>
            <w:noWrap/>
            <w:vAlign w:val="center"/>
            <w:hideMark/>
          </w:tcPr>
          <w:p w14:paraId="54F8D25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81.4</w:t>
            </w:r>
          </w:p>
        </w:tc>
        <w:tc>
          <w:tcPr>
            <w:tcW w:w="624" w:type="dxa"/>
            <w:tcBorders>
              <w:top w:val="nil"/>
              <w:left w:val="nil"/>
              <w:bottom w:val="single" w:sz="8" w:space="0" w:color="DCDDDE"/>
              <w:right w:val="nil"/>
            </w:tcBorders>
            <w:shd w:val="clear" w:color="000000" w:fill="FFFFFF"/>
            <w:noWrap/>
            <w:vAlign w:val="center"/>
            <w:hideMark/>
          </w:tcPr>
          <w:p w14:paraId="68A95C0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86.9</w:t>
            </w:r>
          </w:p>
        </w:tc>
        <w:tc>
          <w:tcPr>
            <w:tcW w:w="624" w:type="dxa"/>
            <w:tcBorders>
              <w:top w:val="nil"/>
              <w:left w:val="nil"/>
              <w:bottom w:val="single" w:sz="8" w:space="0" w:color="DCDDDE"/>
              <w:right w:val="nil"/>
            </w:tcBorders>
            <w:shd w:val="clear" w:color="000000" w:fill="FFFFFF"/>
            <w:noWrap/>
            <w:vAlign w:val="center"/>
            <w:hideMark/>
          </w:tcPr>
          <w:p w14:paraId="443C098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92.6</w:t>
            </w:r>
          </w:p>
        </w:tc>
        <w:tc>
          <w:tcPr>
            <w:tcW w:w="624" w:type="dxa"/>
            <w:tcBorders>
              <w:top w:val="nil"/>
              <w:left w:val="nil"/>
              <w:bottom w:val="single" w:sz="8" w:space="0" w:color="DCDDDE"/>
              <w:right w:val="nil"/>
            </w:tcBorders>
            <w:shd w:val="clear" w:color="000000" w:fill="FFFFFF"/>
            <w:noWrap/>
            <w:vAlign w:val="center"/>
            <w:hideMark/>
          </w:tcPr>
          <w:p w14:paraId="4E4748F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98.4</w:t>
            </w:r>
          </w:p>
        </w:tc>
        <w:tc>
          <w:tcPr>
            <w:tcW w:w="624" w:type="dxa"/>
            <w:tcBorders>
              <w:top w:val="nil"/>
              <w:left w:val="nil"/>
              <w:bottom w:val="single" w:sz="8" w:space="0" w:color="DCDDDE"/>
              <w:right w:val="nil"/>
            </w:tcBorders>
            <w:shd w:val="clear" w:color="000000" w:fill="FFFFFF"/>
            <w:noWrap/>
            <w:vAlign w:val="center"/>
            <w:hideMark/>
          </w:tcPr>
          <w:p w14:paraId="1FC7881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104.4</w:t>
            </w:r>
          </w:p>
        </w:tc>
        <w:tc>
          <w:tcPr>
            <w:tcW w:w="624" w:type="dxa"/>
            <w:tcBorders>
              <w:top w:val="nil"/>
              <w:left w:val="nil"/>
              <w:bottom w:val="single" w:sz="8" w:space="0" w:color="DCDDDE"/>
              <w:right w:val="nil"/>
            </w:tcBorders>
            <w:shd w:val="clear" w:color="000000" w:fill="FFFFFF"/>
            <w:noWrap/>
            <w:vAlign w:val="center"/>
            <w:hideMark/>
          </w:tcPr>
          <w:p w14:paraId="44BCE26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109.7</w:t>
            </w:r>
          </w:p>
        </w:tc>
      </w:tr>
      <w:tr w:rsidR="00A25F1A" w:rsidRPr="00A25F1A" w14:paraId="77D9323C"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520A28AC"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Low Income</w:t>
            </w:r>
          </w:p>
        </w:tc>
        <w:tc>
          <w:tcPr>
            <w:tcW w:w="626" w:type="dxa"/>
            <w:tcBorders>
              <w:top w:val="nil"/>
              <w:left w:val="nil"/>
              <w:bottom w:val="single" w:sz="8" w:space="0" w:color="DCDDDE"/>
              <w:right w:val="nil"/>
            </w:tcBorders>
            <w:shd w:val="clear" w:color="000000" w:fill="FFFFFF"/>
            <w:noWrap/>
            <w:vAlign w:val="center"/>
            <w:hideMark/>
          </w:tcPr>
          <w:p w14:paraId="6AC71DA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6" w:type="dxa"/>
            <w:tcBorders>
              <w:top w:val="nil"/>
              <w:left w:val="nil"/>
              <w:bottom w:val="single" w:sz="8" w:space="0" w:color="DCDDDE"/>
              <w:right w:val="nil"/>
            </w:tcBorders>
            <w:shd w:val="clear" w:color="000000" w:fill="FFFFFF"/>
            <w:noWrap/>
            <w:vAlign w:val="center"/>
            <w:hideMark/>
          </w:tcPr>
          <w:p w14:paraId="73CA9C3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10.2</w:t>
            </w:r>
          </w:p>
        </w:tc>
        <w:tc>
          <w:tcPr>
            <w:tcW w:w="624" w:type="dxa"/>
            <w:tcBorders>
              <w:top w:val="nil"/>
              <w:left w:val="nil"/>
              <w:bottom w:val="single" w:sz="8" w:space="0" w:color="DCDDDE"/>
              <w:right w:val="nil"/>
            </w:tcBorders>
            <w:shd w:val="clear" w:color="000000" w:fill="FFFFFF"/>
            <w:noWrap/>
            <w:vAlign w:val="center"/>
            <w:hideMark/>
          </w:tcPr>
          <w:p w14:paraId="3ED6C09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4" w:type="dxa"/>
            <w:tcBorders>
              <w:top w:val="nil"/>
              <w:left w:val="nil"/>
              <w:bottom w:val="single" w:sz="8" w:space="0" w:color="DCDDDE"/>
              <w:right w:val="nil"/>
            </w:tcBorders>
            <w:shd w:val="clear" w:color="000000" w:fill="FFFFFF"/>
            <w:noWrap/>
            <w:vAlign w:val="center"/>
            <w:hideMark/>
          </w:tcPr>
          <w:p w14:paraId="4FA6608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CD108E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A508B0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EF2229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6A27058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60AF43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D48A1D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675EC0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4EBCAF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4D62F1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r>
      <w:tr w:rsidR="00A25F1A" w:rsidRPr="00A25F1A" w14:paraId="44EA9629"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6269206E"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Total</w:t>
            </w:r>
          </w:p>
        </w:tc>
        <w:tc>
          <w:tcPr>
            <w:tcW w:w="626" w:type="dxa"/>
            <w:tcBorders>
              <w:top w:val="nil"/>
              <w:left w:val="nil"/>
              <w:bottom w:val="single" w:sz="8" w:space="0" w:color="DCDDDE"/>
              <w:right w:val="nil"/>
            </w:tcBorders>
            <w:shd w:val="clear" w:color="000000" w:fill="FFFFFF"/>
            <w:noWrap/>
            <w:vAlign w:val="center"/>
            <w:hideMark/>
          </w:tcPr>
          <w:p w14:paraId="760E06E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560.0</w:t>
            </w:r>
          </w:p>
        </w:tc>
        <w:tc>
          <w:tcPr>
            <w:tcW w:w="626" w:type="dxa"/>
            <w:tcBorders>
              <w:top w:val="nil"/>
              <w:left w:val="nil"/>
              <w:bottom w:val="single" w:sz="8" w:space="0" w:color="DCDDDE"/>
              <w:right w:val="nil"/>
            </w:tcBorders>
            <w:shd w:val="clear" w:color="000000" w:fill="FFFFFF"/>
            <w:noWrap/>
            <w:vAlign w:val="center"/>
            <w:hideMark/>
          </w:tcPr>
          <w:p w14:paraId="132AEDA9"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590.9</w:t>
            </w:r>
          </w:p>
        </w:tc>
        <w:tc>
          <w:tcPr>
            <w:tcW w:w="624" w:type="dxa"/>
            <w:tcBorders>
              <w:top w:val="nil"/>
              <w:left w:val="nil"/>
              <w:bottom w:val="single" w:sz="8" w:space="0" w:color="DCDDDE"/>
              <w:right w:val="nil"/>
            </w:tcBorders>
            <w:shd w:val="clear" w:color="000000" w:fill="FFFFFF"/>
            <w:noWrap/>
            <w:vAlign w:val="center"/>
            <w:hideMark/>
          </w:tcPr>
          <w:p w14:paraId="70EC330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637.0</w:t>
            </w:r>
          </w:p>
        </w:tc>
        <w:tc>
          <w:tcPr>
            <w:tcW w:w="624" w:type="dxa"/>
            <w:tcBorders>
              <w:top w:val="nil"/>
              <w:left w:val="nil"/>
              <w:bottom w:val="single" w:sz="8" w:space="0" w:color="DCDDDE"/>
              <w:right w:val="nil"/>
            </w:tcBorders>
            <w:shd w:val="clear" w:color="000000" w:fill="FFFFFF"/>
            <w:noWrap/>
            <w:vAlign w:val="center"/>
            <w:hideMark/>
          </w:tcPr>
          <w:p w14:paraId="306F5E94"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735.0</w:t>
            </w:r>
          </w:p>
        </w:tc>
        <w:tc>
          <w:tcPr>
            <w:tcW w:w="624" w:type="dxa"/>
            <w:tcBorders>
              <w:top w:val="nil"/>
              <w:left w:val="nil"/>
              <w:bottom w:val="single" w:sz="8" w:space="0" w:color="DCDDDE"/>
              <w:right w:val="nil"/>
            </w:tcBorders>
            <w:shd w:val="clear" w:color="000000" w:fill="FFFFFF"/>
            <w:noWrap/>
            <w:vAlign w:val="center"/>
            <w:hideMark/>
          </w:tcPr>
          <w:p w14:paraId="3B8C1A20"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741.7</w:t>
            </w:r>
          </w:p>
        </w:tc>
        <w:tc>
          <w:tcPr>
            <w:tcW w:w="624" w:type="dxa"/>
            <w:tcBorders>
              <w:top w:val="nil"/>
              <w:left w:val="nil"/>
              <w:bottom w:val="single" w:sz="8" w:space="0" w:color="DCDDDE"/>
              <w:right w:val="nil"/>
            </w:tcBorders>
            <w:shd w:val="clear" w:color="000000" w:fill="FFFFFF"/>
            <w:noWrap/>
            <w:vAlign w:val="center"/>
            <w:hideMark/>
          </w:tcPr>
          <w:p w14:paraId="08D3069C"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851.9</w:t>
            </w:r>
          </w:p>
        </w:tc>
        <w:tc>
          <w:tcPr>
            <w:tcW w:w="624" w:type="dxa"/>
            <w:tcBorders>
              <w:top w:val="nil"/>
              <w:left w:val="nil"/>
              <w:bottom w:val="single" w:sz="8" w:space="0" w:color="DCDDDE"/>
              <w:right w:val="nil"/>
            </w:tcBorders>
            <w:shd w:val="clear" w:color="000000" w:fill="FFFFFF"/>
            <w:noWrap/>
            <w:vAlign w:val="center"/>
            <w:hideMark/>
          </w:tcPr>
          <w:p w14:paraId="22B13F0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845.4</w:t>
            </w:r>
          </w:p>
        </w:tc>
        <w:tc>
          <w:tcPr>
            <w:tcW w:w="624" w:type="dxa"/>
            <w:tcBorders>
              <w:top w:val="nil"/>
              <w:left w:val="nil"/>
              <w:bottom w:val="single" w:sz="8" w:space="0" w:color="DCDDDE"/>
              <w:right w:val="nil"/>
            </w:tcBorders>
            <w:shd w:val="clear" w:color="000000" w:fill="FFFFFF"/>
            <w:noWrap/>
            <w:vAlign w:val="center"/>
            <w:hideMark/>
          </w:tcPr>
          <w:p w14:paraId="04CAC2EA"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850.9</w:t>
            </w:r>
          </w:p>
        </w:tc>
        <w:tc>
          <w:tcPr>
            <w:tcW w:w="624" w:type="dxa"/>
            <w:tcBorders>
              <w:top w:val="nil"/>
              <w:left w:val="nil"/>
              <w:bottom w:val="single" w:sz="8" w:space="0" w:color="DCDDDE"/>
              <w:right w:val="nil"/>
            </w:tcBorders>
            <w:shd w:val="clear" w:color="000000" w:fill="FFFFFF"/>
            <w:noWrap/>
            <w:vAlign w:val="center"/>
            <w:hideMark/>
          </w:tcPr>
          <w:p w14:paraId="71A42B4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845.8</w:t>
            </w:r>
          </w:p>
        </w:tc>
        <w:tc>
          <w:tcPr>
            <w:tcW w:w="624" w:type="dxa"/>
            <w:tcBorders>
              <w:top w:val="nil"/>
              <w:left w:val="nil"/>
              <w:bottom w:val="single" w:sz="8" w:space="0" w:color="DCDDDE"/>
              <w:right w:val="nil"/>
            </w:tcBorders>
            <w:shd w:val="clear" w:color="000000" w:fill="FFFFFF"/>
            <w:noWrap/>
            <w:vAlign w:val="center"/>
            <w:hideMark/>
          </w:tcPr>
          <w:p w14:paraId="421E0DD4"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846.3</w:t>
            </w:r>
          </w:p>
        </w:tc>
        <w:tc>
          <w:tcPr>
            <w:tcW w:w="624" w:type="dxa"/>
            <w:tcBorders>
              <w:top w:val="nil"/>
              <w:left w:val="nil"/>
              <w:bottom w:val="single" w:sz="8" w:space="0" w:color="DCDDDE"/>
              <w:right w:val="nil"/>
            </w:tcBorders>
            <w:shd w:val="clear" w:color="000000" w:fill="FFFFFF"/>
            <w:noWrap/>
            <w:vAlign w:val="center"/>
            <w:hideMark/>
          </w:tcPr>
          <w:p w14:paraId="16054460"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835.8</w:t>
            </w:r>
          </w:p>
        </w:tc>
        <w:tc>
          <w:tcPr>
            <w:tcW w:w="624" w:type="dxa"/>
            <w:tcBorders>
              <w:top w:val="nil"/>
              <w:left w:val="nil"/>
              <w:bottom w:val="single" w:sz="8" w:space="0" w:color="DCDDDE"/>
              <w:right w:val="nil"/>
            </w:tcBorders>
            <w:shd w:val="clear" w:color="000000" w:fill="FFFFFF"/>
            <w:noWrap/>
            <w:vAlign w:val="center"/>
            <w:hideMark/>
          </w:tcPr>
          <w:p w14:paraId="631CDFDA"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818.3</w:t>
            </w:r>
          </w:p>
        </w:tc>
        <w:tc>
          <w:tcPr>
            <w:tcW w:w="624" w:type="dxa"/>
            <w:tcBorders>
              <w:top w:val="nil"/>
              <w:left w:val="nil"/>
              <w:bottom w:val="single" w:sz="8" w:space="0" w:color="DCDDDE"/>
              <w:right w:val="nil"/>
            </w:tcBorders>
            <w:shd w:val="clear" w:color="000000" w:fill="FFFFFF"/>
            <w:noWrap/>
            <w:vAlign w:val="center"/>
            <w:hideMark/>
          </w:tcPr>
          <w:p w14:paraId="65C4AB40"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793.9</w:t>
            </w:r>
          </w:p>
        </w:tc>
      </w:tr>
      <w:tr w:rsidR="00A25F1A" w:rsidRPr="00A25F1A" w14:paraId="76D12B13" w14:textId="77777777" w:rsidTr="00A25F1A">
        <w:trPr>
          <w:trHeight w:val="264"/>
        </w:trPr>
        <w:tc>
          <w:tcPr>
            <w:tcW w:w="9386" w:type="dxa"/>
            <w:gridSpan w:val="15"/>
            <w:tcBorders>
              <w:top w:val="single" w:sz="8" w:space="0" w:color="DCDDDE"/>
              <w:left w:val="nil"/>
              <w:bottom w:val="single" w:sz="8" w:space="0" w:color="DCDDDE"/>
              <w:right w:val="nil"/>
            </w:tcBorders>
            <w:shd w:val="clear" w:color="000000" w:fill="DADADA"/>
            <w:noWrap/>
            <w:vAlign w:val="center"/>
            <w:hideMark/>
          </w:tcPr>
          <w:p w14:paraId="768F698D"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PAC | Reference</w:t>
            </w:r>
          </w:p>
        </w:tc>
      </w:tr>
      <w:tr w:rsidR="00A25F1A" w:rsidRPr="00A25F1A" w14:paraId="3C66D8D2"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516E649F"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Rebate Programs</w:t>
            </w:r>
          </w:p>
        </w:tc>
        <w:tc>
          <w:tcPr>
            <w:tcW w:w="626" w:type="dxa"/>
            <w:tcBorders>
              <w:top w:val="nil"/>
              <w:left w:val="nil"/>
              <w:bottom w:val="single" w:sz="8" w:space="0" w:color="DCDDDE"/>
              <w:right w:val="nil"/>
            </w:tcBorders>
            <w:shd w:val="clear" w:color="000000" w:fill="FFFFFF"/>
            <w:noWrap/>
            <w:vAlign w:val="center"/>
            <w:hideMark/>
          </w:tcPr>
          <w:p w14:paraId="1317172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222.6</w:t>
            </w:r>
          </w:p>
        </w:tc>
        <w:tc>
          <w:tcPr>
            <w:tcW w:w="626" w:type="dxa"/>
            <w:tcBorders>
              <w:top w:val="nil"/>
              <w:left w:val="nil"/>
              <w:bottom w:val="single" w:sz="8" w:space="0" w:color="DCDDDE"/>
              <w:right w:val="nil"/>
            </w:tcBorders>
            <w:shd w:val="clear" w:color="000000" w:fill="FFFFFF"/>
            <w:noWrap/>
            <w:vAlign w:val="center"/>
            <w:hideMark/>
          </w:tcPr>
          <w:p w14:paraId="77E11D5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241.4</w:t>
            </w:r>
          </w:p>
        </w:tc>
        <w:tc>
          <w:tcPr>
            <w:tcW w:w="624" w:type="dxa"/>
            <w:tcBorders>
              <w:top w:val="nil"/>
              <w:left w:val="nil"/>
              <w:bottom w:val="single" w:sz="8" w:space="0" w:color="DCDDDE"/>
              <w:right w:val="nil"/>
            </w:tcBorders>
            <w:shd w:val="clear" w:color="000000" w:fill="FFFFFF"/>
            <w:noWrap/>
            <w:vAlign w:val="center"/>
            <w:hideMark/>
          </w:tcPr>
          <w:p w14:paraId="1230A14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233.8</w:t>
            </w:r>
          </w:p>
        </w:tc>
        <w:tc>
          <w:tcPr>
            <w:tcW w:w="624" w:type="dxa"/>
            <w:tcBorders>
              <w:top w:val="nil"/>
              <w:left w:val="nil"/>
              <w:bottom w:val="single" w:sz="8" w:space="0" w:color="DCDDDE"/>
              <w:right w:val="nil"/>
            </w:tcBorders>
            <w:shd w:val="clear" w:color="000000" w:fill="FFFFFF"/>
            <w:noWrap/>
            <w:vAlign w:val="center"/>
            <w:hideMark/>
          </w:tcPr>
          <w:p w14:paraId="6EA8CE1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262.2</w:t>
            </w:r>
          </w:p>
        </w:tc>
        <w:tc>
          <w:tcPr>
            <w:tcW w:w="624" w:type="dxa"/>
            <w:tcBorders>
              <w:top w:val="nil"/>
              <w:left w:val="nil"/>
              <w:bottom w:val="single" w:sz="8" w:space="0" w:color="DCDDDE"/>
              <w:right w:val="nil"/>
            </w:tcBorders>
            <w:shd w:val="clear" w:color="000000" w:fill="FFFFFF"/>
            <w:noWrap/>
            <w:vAlign w:val="center"/>
            <w:hideMark/>
          </w:tcPr>
          <w:p w14:paraId="5CF6BD9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265.1</w:t>
            </w:r>
          </w:p>
        </w:tc>
        <w:tc>
          <w:tcPr>
            <w:tcW w:w="624" w:type="dxa"/>
            <w:tcBorders>
              <w:top w:val="nil"/>
              <w:left w:val="nil"/>
              <w:bottom w:val="single" w:sz="8" w:space="0" w:color="DCDDDE"/>
              <w:right w:val="nil"/>
            </w:tcBorders>
            <w:shd w:val="clear" w:color="000000" w:fill="FFFFFF"/>
            <w:noWrap/>
            <w:vAlign w:val="center"/>
            <w:hideMark/>
          </w:tcPr>
          <w:p w14:paraId="00D3378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276.8</w:t>
            </w:r>
          </w:p>
        </w:tc>
        <w:tc>
          <w:tcPr>
            <w:tcW w:w="624" w:type="dxa"/>
            <w:tcBorders>
              <w:top w:val="nil"/>
              <w:left w:val="nil"/>
              <w:bottom w:val="single" w:sz="8" w:space="0" w:color="DCDDDE"/>
              <w:right w:val="nil"/>
            </w:tcBorders>
            <w:shd w:val="clear" w:color="000000" w:fill="FFFFFF"/>
            <w:noWrap/>
            <w:vAlign w:val="center"/>
            <w:hideMark/>
          </w:tcPr>
          <w:p w14:paraId="4205CCF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275.9</w:t>
            </w:r>
          </w:p>
        </w:tc>
        <w:tc>
          <w:tcPr>
            <w:tcW w:w="624" w:type="dxa"/>
            <w:tcBorders>
              <w:top w:val="nil"/>
              <w:left w:val="nil"/>
              <w:bottom w:val="single" w:sz="8" w:space="0" w:color="DCDDDE"/>
              <w:right w:val="nil"/>
            </w:tcBorders>
            <w:shd w:val="clear" w:color="000000" w:fill="FFFFFF"/>
            <w:noWrap/>
            <w:vAlign w:val="center"/>
            <w:hideMark/>
          </w:tcPr>
          <w:p w14:paraId="7395364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277.2</w:t>
            </w:r>
          </w:p>
        </w:tc>
        <w:tc>
          <w:tcPr>
            <w:tcW w:w="624" w:type="dxa"/>
            <w:tcBorders>
              <w:top w:val="nil"/>
              <w:left w:val="nil"/>
              <w:bottom w:val="single" w:sz="8" w:space="0" w:color="DCDDDE"/>
              <w:right w:val="nil"/>
            </w:tcBorders>
            <w:shd w:val="clear" w:color="000000" w:fill="FFFFFF"/>
            <w:noWrap/>
            <w:vAlign w:val="center"/>
            <w:hideMark/>
          </w:tcPr>
          <w:p w14:paraId="3E4F8A6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274.1</w:t>
            </w:r>
          </w:p>
        </w:tc>
        <w:tc>
          <w:tcPr>
            <w:tcW w:w="624" w:type="dxa"/>
            <w:tcBorders>
              <w:top w:val="nil"/>
              <w:left w:val="nil"/>
              <w:bottom w:val="single" w:sz="8" w:space="0" w:color="DCDDDE"/>
              <w:right w:val="nil"/>
            </w:tcBorders>
            <w:shd w:val="clear" w:color="000000" w:fill="FFFFFF"/>
            <w:noWrap/>
            <w:vAlign w:val="center"/>
            <w:hideMark/>
          </w:tcPr>
          <w:p w14:paraId="0C7E223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273.9</w:t>
            </w:r>
          </w:p>
        </w:tc>
        <w:tc>
          <w:tcPr>
            <w:tcW w:w="624" w:type="dxa"/>
            <w:tcBorders>
              <w:top w:val="nil"/>
              <w:left w:val="nil"/>
              <w:bottom w:val="single" w:sz="8" w:space="0" w:color="DCDDDE"/>
              <w:right w:val="nil"/>
            </w:tcBorders>
            <w:shd w:val="clear" w:color="000000" w:fill="FFFFFF"/>
            <w:noWrap/>
            <w:vAlign w:val="center"/>
            <w:hideMark/>
          </w:tcPr>
          <w:p w14:paraId="5DF418D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275.1</w:t>
            </w:r>
          </w:p>
        </w:tc>
        <w:tc>
          <w:tcPr>
            <w:tcW w:w="624" w:type="dxa"/>
            <w:tcBorders>
              <w:top w:val="nil"/>
              <w:left w:val="nil"/>
              <w:bottom w:val="single" w:sz="8" w:space="0" w:color="DCDDDE"/>
              <w:right w:val="nil"/>
            </w:tcBorders>
            <w:shd w:val="clear" w:color="000000" w:fill="FFFFFF"/>
            <w:noWrap/>
            <w:vAlign w:val="center"/>
            <w:hideMark/>
          </w:tcPr>
          <w:p w14:paraId="786996B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275.8</w:t>
            </w:r>
          </w:p>
        </w:tc>
        <w:tc>
          <w:tcPr>
            <w:tcW w:w="624" w:type="dxa"/>
            <w:tcBorders>
              <w:top w:val="nil"/>
              <w:left w:val="nil"/>
              <w:bottom w:val="single" w:sz="8" w:space="0" w:color="DCDDDE"/>
              <w:right w:val="nil"/>
            </w:tcBorders>
            <w:shd w:val="clear" w:color="000000" w:fill="FFFFFF"/>
            <w:noWrap/>
            <w:vAlign w:val="center"/>
            <w:hideMark/>
          </w:tcPr>
          <w:p w14:paraId="05C6F30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274.5</w:t>
            </w:r>
          </w:p>
        </w:tc>
      </w:tr>
      <w:tr w:rsidR="00A25F1A" w:rsidRPr="00A25F1A" w14:paraId="4E677452"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5098B260" w14:textId="0057FC37" w:rsidR="00A25F1A" w:rsidRPr="00A25F1A" w:rsidRDefault="00A25F1A" w:rsidP="00A25F1A">
            <w:pPr>
              <w:spacing w:line="240" w:lineRule="auto"/>
              <w:jc w:val="center"/>
              <w:rPr>
                <w:rFonts w:ascii="Arial Narrow" w:hAnsi="Arial Narrow" w:cs="Calibri"/>
                <w:b/>
                <w:bCs/>
                <w:sz w:val="18"/>
                <w:szCs w:val="18"/>
              </w:rPr>
            </w:pPr>
            <w:r>
              <w:rPr>
                <w:rFonts w:ascii="Arial Narrow" w:hAnsi="Arial Narrow" w:cs="Calibri"/>
                <w:b/>
                <w:bCs/>
                <w:sz w:val="18"/>
                <w:szCs w:val="18"/>
              </w:rPr>
              <w:t>C&amp;S</w:t>
            </w:r>
          </w:p>
        </w:tc>
        <w:tc>
          <w:tcPr>
            <w:tcW w:w="626" w:type="dxa"/>
            <w:tcBorders>
              <w:top w:val="nil"/>
              <w:left w:val="nil"/>
              <w:bottom w:val="single" w:sz="8" w:space="0" w:color="DCDDDE"/>
              <w:right w:val="nil"/>
            </w:tcBorders>
            <w:shd w:val="clear" w:color="000000" w:fill="FFFFFF"/>
            <w:noWrap/>
            <w:vAlign w:val="center"/>
            <w:hideMark/>
          </w:tcPr>
          <w:p w14:paraId="0CFFEEA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373.1</w:t>
            </w:r>
          </w:p>
        </w:tc>
        <w:tc>
          <w:tcPr>
            <w:tcW w:w="626" w:type="dxa"/>
            <w:tcBorders>
              <w:top w:val="nil"/>
              <w:left w:val="nil"/>
              <w:bottom w:val="single" w:sz="8" w:space="0" w:color="DCDDDE"/>
              <w:right w:val="nil"/>
            </w:tcBorders>
            <w:shd w:val="clear" w:color="000000" w:fill="FFFFFF"/>
            <w:noWrap/>
            <w:vAlign w:val="center"/>
            <w:hideMark/>
          </w:tcPr>
          <w:p w14:paraId="51737E7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374.6</w:t>
            </w:r>
          </w:p>
        </w:tc>
        <w:tc>
          <w:tcPr>
            <w:tcW w:w="624" w:type="dxa"/>
            <w:tcBorders>
              <w:top w:val="nil"/>
              <w:left w:val="nil"/>
              <w:bottom w:val="single" w:sz="8" w:space="0" w:color="DCDDDE"/>
              <w:right w:val="nil"/>
            </w:tcBorders>
            <w:shd w:val="clear" w:color="000000" w:fill="FFFFFF"/>
            <w:noWrap/>
            <w:vAlign w:val="center"/>
            <w:hideMark/>
          </w:tcPr>
          <w:p w14:paraId="56C6A5F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414.0</w:t>
            </w:r>
          </w:p>
        </w:tc>
        <w:tc>
          <w:tcPr>
            <w:tcW w:w="624" w:type="dxa"/>
            <w:tcBorders>
              <w:top w:val="nil"/>
              <w:left w:val="nil"/>
              <w:bottom w:val="single" w:sz="8" w:space="0" w:color="DCDDDE"/>
              <w:right w:val="nil"/>
            </w:tcBorders>
            <w:shd w:val="clear" w:color="000000" w:fill="FFFFFF"/>
            <w:noWrap/>
            <w:vAlign w:val="center"/>
            <w:hideMark/>
          </w:tcPr>
          <w:p w14:paraId="1DD9EAA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485.0</w:t>
            </w:r>
          </w:p>
        </w:tc>
        <w:tc>
          <w:tcPr>
            <w:tcW w:w="624" w:type="dxa"/>
            <w:tcBorders>
              <w:top w:val="nil"/>
              <w:left w:val="nil"/>
              <w:bottom w:val="single" w:sz="8" w:space="0" w:color="DCDDDE"/>
              <w:right w:val="nil"/>
            </w:tcBorders>
            <w:shd w:val="clear" w:color="000000" w:fill="FFFFFF"/>
            <w:noWrap/>
            <w:vAlign w:val="center"/>
            <w:hideMark/>
          </w:tcPr>
          <w:p w14:paraId="4C0C783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477.2</w:t>
            </w:r>
          </w:p>
        </w:tc>
        <w:tc>
          <w:tcPr>
            <w:tcW w:w="624" w:type="dxa"/>
            <w:tcBorders>
              <w:top w:val="nil"/>
              <w:left w:val="nil"/>
              <w:bottom w:val="single" w:sz="8" w:space="0" w:color="DCDDDE"/>
              <w:right w:val="nil"/>
            </w:tcBorders>
            <w:shd w:val="clear" w:color="000000" w:fill="FFFFFF"/>
            <w:noWrap/>
            <w:vAlign w:val="center"/>
            <w:hideMark/>
          </w:tcPr>
          <w:p w14:paraId="156CA48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560.0</w:t>
            </w:r>
          </w:p>
        </w:tc>
        <w:tc>
          <w:tcPr>
            <w:tcW w:w="624" w:type="dxa"/>
            <w:tcBorders>
              <w:top w:val="nil"/>
              <w:left w:val="nil"/>
              <w:bottom w:val="single" w:sz="8" w:space="0" w:color="DCDDDE"/>
              <w:right w:val="nil"/>
            </w:tcBorders>
            <w:shd w:val="clear" w:color="000000" w:fill="FFFFFF"/>
            <w:noWrap/>
            <w:vAlign w:val="center"/>
            <w:hideMark/>
          </w:tcPr>
          <w:p w14:paraId="03EFD07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542.5</w:t>
            </w:r>
          </w:p>
        </w:tc>
        <w:tc>
          <w:tcPr>
            <w:tcW w:w="624" w:type="dxa"/>
            <w:tcBorders>
              <w:top w:val="nil"/>
              <w:left w:val="nil"/>
              <w:bottom w:val="single" w:sz="8" w:space="0" w:color="DCDDDE"/>
              <w:right w:val="nil"/>
            </w:tcBorders>
            <w:shd w:val="clear" w:color="000000" w:fill="FFFFFF"/>
            <w:noWrap/>
            <w:vAlign w:val="center"/>
            <w:hideMark/>
          </w:tcPr>
          <w:p w14:paraId="221E2D4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531.1</w:t>
            </w:r>
          </w:p>
        </w:tc>
        <w:tc>
          <w:tcPr>
            <w:tcW w:w="624" w:type="dxa"/>
            <w:tcBorders>
              <w:top w:val="nil"/>
              <w:left w:val="nil"/>
              <w:bottom w:val="single" w:sz="8" w:space="0" w:color="DCDDDE"/>
              <w:right w:val="nil"/>
            </w:tcBorders>
            <w:shd w:val="clear" w:color="000000" w:fill="FFFFFF"/>
            <w:noWrap/>
            <w:vAlign w:val="center"/>
            <w:hideMark/>
          </w:tcPr>
          <w:p w14:paraId="7ABB6C1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517.0</w:t>
            </w:r>
          </w:p>
        </w:tc>
        <w:tc>
          <w:tcPr>
            <w:tcW w:w="624" w:type="dxa"/>
            <w:tcBorders>
              <w:top w:val="nil"/>
              <w:left w:val="nil"/>
              <w:bottom w:val="single" w:sz="8" w:space="0" w:color="DCDDDE"/>
              <w:right w:val="nil"/>
            </w:tcBorders>
            <w:shd w:val="clear" w:color="000000" w:fill="FFFFFF"/>
            <w:noWrap/>
            <w:vAlign w:val="center"/>
            <w:hideMark/>
          </w:tcPr>
          <w:p w14:paraId="032E4E6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509.6</w:t>
            </w:r>
          </w:p>
        </w:tc>
        <w:tc>
          <w:tcPr>
            <w:tcW w:w="624" w:type="dxa"/>
            <w:tcBorders>
              <w:top w:val="nil"/>
              <w:left w:val="nil"/>
              <w:bottom w:val="single" w:sz="8" w:space="0" w:color="DCDDDE"/>
              <w:right w:val="nil"/>
            </w:tcBorders>
            <w:shd w:val="clear" w:color="000000" w:fill="FFFFFF"/>
            <w:noWrap/>
            <w:vAlign w:val="center"/>
            <w:hideMark/>
          </w:tcPr>
          <w:p w14:paraId="22837B8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490.6</w:t>
            </w:r>
          </w:p>
        </w:tc>
        <w:tc>
          <w:tcPr>
            <w:tcW w:w="624" w:type="dxa"/>
            <w:tcBorders>
              <w:top w:val="nil"/>
              <w:left w:val="nil"/>
              <w:bottom w:val="single" w:sz="8" w:space="0" w:color="DCDDDE"/>
              <w:right w:val="nil"/>
            </w:tcBorders>
            <w:shd w:val="clear" w:color="000000" w:fill="FFFFFF"/>
            <w:noWrap/>
            <w:vAlign w:val="center"/>
            <w:hideMark/>
          </w:tcPr>
          <w:p w14:paraId="29277C6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460.8</w:t>
            </w:r>
          </w:p>
        </w:tc>
        <w:tc>
          <w:tcPr>
            <w:tcW w:w="624" w:type="dxa"/>
            <w:tcBorders>
              <w:top w:val="nil"/>
              <w:left w:val="nil"/>
              <w:bottom w:val="single" w:sz="8" w:space="0" w:color="DCDDDE"/>
              <w:right w:val="nil"/>
            </w:tcBorders>
            <w:shd w:val="clear" w:color="000000" w:fill="FFFFFF"/>
            <w:noWrap/>
            <w:vAlign w:val="center"/>
            <w:hideMark/>
          </w:tcPr>
          <w:p w14:paraId="6ADD7F3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432.0</w:t>
            </w:r>
          </w:p>
        </w:tc>
      </w:tr>
      <w:tr w:rsidR="00A25F1A" w:rsidRPr="00A25F1A" w14:paraId="028AC55E"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71E63EEF"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BROs</w:t>
            </w:r>
          </w:p>
        </w:tc>
        <w:tc>
          <w:tcPr>
            <w:tcW w:w="626" w:type="dxa"/>
            <w:tcBorders>
              <w:top w:val="nil"/>
              <w:left w:val="nil"/>
              <w:bottom w:val="single" w:sz="8" w:space="0" w:color="DCDDDE"/>
              <w:right w:val="nil"/>
            </w:tcBorders>
            <w:shd w:val="clear" w:color="000000" w:fill="FFFFFF"/>
            <w:noWrap/>
            <w:vAlign w:val="center"/>
            <w:hideMark/>
          </w:tcPr>
          <w:p w14:paraId="29094C2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38.7</w:t>
            </w:r>
          </w:p>
        </w:tc>
        <w:tc>
          <w:tcPr>
            <w:tcW w:w="626" w:type="dxa"/>
            <w:tcBorders>
              <w:top w:val="nil"/>
              <w:left w:val="nil"/>
              <w:bottom w:val="single" w:sz="8" w:space="0" w:color="DCDDDE"/>
              <w:right w:val="nil"/>
            </w:tcBorders>
            <w:shd w:val="clear" w:color="000000" w:fill="FFFFFF"/>
            <w:noWrap/>
            <w:vAlign w:val="center"/>
            <w:hideMark/>
          </w:tcPr>
          <w:p w14:paraId="64BBAC1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49.2</w:t>
            </w:r>
          </w:p>
        </w:tc>
        <w:tc>
          <w:tcPr>
            <w:tcW w:w="624" w:type="dxa"/>
            <w:tcBorders>
              <w:top w:val="nil"/>
              <w:left w:val="nil"/>
              <w:bottom w:val="single" w:sz="8" w:space="0" w:color="DCDDDE"/>
              <w:right w:val="nil"/>
            </w:tcBorders>
            <w:shd w:val="clear" w:color="000000" w:fill="FFFFFF"/>
            <w:noWrap/>
            <w:vAlign w:val="center"/>
            <w:hideMark/>
          </w:tcPr>
          <w:p w14:paraId="0EC6D1F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54.7</w:t>
            </w:r>
          </w:p>
        </w:tc>
        <w:tc>
          <w:tcPr>
            <w:tcW w:w="624" w:type="dxa"/>
            <w:tcBorders>
              <w:top w:val="nil"/>
              <w:left w:val="nil"/>
              <w:bottom w:val="single" w:sz="8" w:space="0" w:color="DCDDDE"/>
              <w:right w:val="nil"/>
            </w:tcBorders>
            <w:shd w:val="clear" w:color="000000" w:fill="FFFFFF"/>
            <w:noWrap/>
            <w:vAlign w:val="center"/>
            <w:hideMark/>
          </w:tcPr>
          <w:p w14:paraId="7C71CD1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60.9</w:t>
            </w:r>
          </w:p>
        </w:tc>
        <w:tc>
          <w:tcPr>
            <w:tcW w:w="624" w:type="dxa"/>
            <w:tcBorders>
              <w:top w:val="nil"/>
              <w:left w:val="nil"/>
              <w:bottom w:val="single" w:sz="8" w:space="0" w:color="DCDDDE"/>
              <w:right w:val="nil"/>
            </w:tcBorders>
            <w:shd w:val="clear" w:color="000000" w:fill="FFFFFF"/>
            <w:noWrap/>
            <w:vAlign w:val="center"/>
            <w:hideMark/>
          </w:tcPr>
          <w:p w14:paraId="34D6D05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65.5</w:t>
            </w:r>
          </w:p>
        </w:tc>
        <w:tc>
          <w:tcPr>
            <w:tcW w:w="624" w:type="dxa"/>
            <w:tcBorders>
              <w:top w:val="nil"/>
              <w:left w:val="nil"/>
              <w:bottom w:val="single" w:sz="8" w:space="0" w:color="DCDDDE"/>
              <w:right w:val="nil"/>
            </w:tcBorders>
            <w:shd w:val="clear" w:color="000000" w:fill="FFFFFF"/>
            <w:noWrap/>
            <w:vAlign w:val="center"/>
            <w:hideMark/>
          </w:tcPr>
          <w:p w14:paraId="300273C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70.0</w:t>
            </w:r>
          </w:p>
        </w:tc>
        <w:tc>
          <w:tcPr>
            <w:tcW w:w="624" w:type="dxa"/>
            <w:tcBorders>
              <w:top w:val="nil"/>
              <w:left w:val="nil"/>
              <w:bottom w:val="single" w:sz="8" w:space="0" w:color="DCDDDE"/>
              <w:right w:val="nil"/>
            </w:tcBorders>
            <w:shd w:val="clear" w:color="000000" w:fill="FFFFFF"/>
            <w:noWrap/>
            <w:vAlign w:val="center"/>
            <w:hideMark/>
          </w:tcPr>
          <w:p w14:paraId="6920E75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74.6</w:t>
            </w:r>
          </w:p>
        </w:tc>
        <w:tc>
          <w:tcPr>
            <w:tcW w:w="624" w:type="dxa"/>
            <w:tcBorders>
              <w:top w:val="nil"/>
              <w:left w:val="nil"/>
              <w:bottom w:val="single" w:sz="8" w:space="0" w:color="DCDDDE"/>
              <w:right w:val="nil"/>
            </w:tcBorders>
            <w:shd w:val="clear" w:color="000000" w:fill="FFFFFF"/>
            <w:noWrap/>
            <w:vAlign w:val="center"/>
            <w:hideMark/>
          </w:tcPr>
          <w:p w14:paraId="2E58087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81.4</w:t>
            </w:r>
          </w:p>
        </w:tc>
        <w:tc>
          <w:tcPr>
            <w:tcW w:w="624" w:type="dxa"/>
            <w:tcBorders>
              <w:top w:val="nil"/>
              <w:left w:val="nil"/>
              <w:bottom w:val="single" w:sz="8" w:space="0" w:color="DCDDDE"/>
              <w:right w:val="nil"/>
            </w:tcBorders>
            <w:shd w:val="clear" w:color="000000" w:fill="FFFFFF"/>
            <w:noWrap/>
            <w:vAlign w:val="center"/>
            <w:hideMark/>
          </w:tcPr>
          <w:p w14:paraId="024898F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86.9</w:t>
            </w:r>
          </w:p>
        </w:tc>
        <w:tc>
          <w:tcPr>
            <w:tcW w:w="624" w:type="dxa"/>
            <w:tcBorders>
              <w:top w:val="nil"/>
              <w:left w:val="nil"/>
              <w:bottom w:val="single" w:sz="8" w:space="0" w:color="DCDDDE"/>
              <w:right w:val="nil"/>
            </w:tcBorders>
            <w:shd w:val="clear" w:color="000000" w:fill="FFFFFF"/>
            <w:noWrap/>
            <w:vAlign w:val="center"/>
            <w:hideMark/>
          </w:tcPr>
          <w:p w14:paraId="3621F5C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92.6</w:t>
            </w:r>
          </w:p>
        </w:tc>
        <w:tc>
          <w:tcPr>
            <w:tcW w:w="624" w:type="dxa"/>
            <w:tcBorders>
              <w:top w:val="nil"/>
              <w:left w:val="nil"/>
              <w:bottom w:val="single" w:sz="8" w:space="0" w:color="DCDDDE"/>
              <w:right w:val="nil"/>
            </w:tcBorders>
            <w:shd w:val="clear" w:color="000000" w:fill="FFFFFF"/>
            <w:noWrap/>
            <w:vAlign w:val="center"/>
            <w:hideMark/>
          </w:tcPr>
          <w:p w14:paraId="4FDDD0C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98.4</w:t>
            </w:r>
          </w:p>
        </w:tc>
        <w:tc>
          <w:tcPr>
            <w:tcW w:w="624" w:type="dxa"/>
            <w:tcBorders>
              <w:top w:val="nil"/>
              <w:left w:val="nil"/>
              <w:bottom w:val="single" w:sz="8" w:space="0" w:color="DCDDDE"/>
              <w:right w:val="nil"/>
            </w:tcBorders>
            <w:shd w:val="clear" w:color="000000" w:fill="FFFFFF"/>
            <w:noWrap/>
            <w:vAlign w:val="center"/>
            <w:hideMark/>
          </w:tcPr>
          <w:p w14:paraId="0B9EF66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104.4</w:t>
            </w:r>
          </w:p>
        </w:tc>
        <w:tc>
          <w:tcPr>
            <w:tcW w:w="624" w:type="dxa"/>
            <w:tcBorders>
              <w:top w:val="nil"/>
              <w:left w:val="nil"/>
              <w:bottom w:val="single" w:sz="8" w:space="0" w:color="DCDDDE"/>
              <w:right w:val="nil"/>
            </w:tcBorders>
            <w:shd w:val="clear" w:color="000000" w:fill="FFFFFF"/>
            <w:noWrap/>
            <w:vAlign w:val="center"/>
            <w:hideMark/>
          </w:tcPr>
          <w:p w14:paraId="6C5E8E6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109.7</w:t>
            </w:r>
          </w:p>
        </w:tc>
      </w:tr>
      <w:tr w:rsidR="00A25F1A" w:rsidRPr="00A25F1A" w14:paraId="4D9421BA"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20C24BA4"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Low Income</w:t>
            </w:r>
          </w:p>
        </w:tc>
        <w:tc>
          <w:tcPr>
            <w:tcW w:w="626" w:type="dxa"/>
            <w:tcBorders>
              <w:top w:val="nil"/>
              <w:left w:val="nil"/>
              <w:bottom w:val="single" w:sz="8" w:space="0" w:color="DCDDDE"/>
              <w:right w:val="nil"/>
            </w:tcBorders>
            <w:shd w:val="clear" w:color="000000" w:fill="FFFFFF"/>
            <w:noWrap/>
            <w:vAlign w:val="center"/>
            <w:hideMark/>
          </w:tcPr>
          <w:p w14:paraId="58DC97A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6" w:type="dxa"/>
            <w:tcBorders>
              <w:top w:val="nil"/>
              <w:left w:val="nil"/>
              <w:bottom w:val="single" w:sz="8" w:space="0" w:color="DCDDDE"/>
              <w:right w:val="nil"/>
            </w:tcBorders>
            <w:shd w:val="clear" w:color="000000" w:fill="FFFFFF"/>
            <w:noWrap/>
            <w:vAlign w:val="center"/>
            <w:hideMark/>
          </w:tcPr>
          <w:p w14:paraId="21B3315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10.2</w:t>
            </w:r>
          </w:p>
        </w:tc>
        <w:tc>
          <w:tcPr>
            <w:tcW w:w="624" w:type="dxa"/>
            <w:tcBorders>
              <w:top w:val="nil"/>
              <w:left w:val="nil"/>
              <w:bottom w:val="single" w:sz="8" w:space="0" w:color="DCDDDE"/>
              <w:right w:val="nil"/>
            </w:tcBorders>
            <w:shd w:val="clear" w:color="000000" w:fill="FFFFFF"/>
            <w:noWrap/>
            <w:vAlign w:val="center"/>
            <w:hideMark/>
          </w:tcPr>
          <w:p w14:paraId="7279D07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4" w:type="dxa"/>
            <w:tcBorders>
              <w:top w:val="nil"/>
              <w:left w:val="nil"/>
              <w:bottom w:val="single" w:sz="8" w:space="0" w:color="DCDDDE"/>
              <w:right w:val="nil"/>
            </w:tcBorders>
            <w:shd w:val="clear" w:color="000000" w:fill="FFFFFF"/>
            <w:noWrap/>
            <w:vAlign w:val="center"/>
            <w:hideMark/>
          </w:tcPr>
          <w:p w14:paraId="463F65F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937443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2841C90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EC8F3F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E444B4E"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D09E3D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1F76E70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2F8ADB2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D06438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45A770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r>
      <w:tr w:rsidR="00A25F1A" w:rsidRPr="00A25F1A" w14:paraId="3DC6ABA2"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46DEB79C"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Total</w:t>
            </w:r>
          </w:p>
        </w:tc>
        <w:tc>
          <w:tcPr>
            <w:tcW w:w="626" w:type="dxa"/>
            <w:tcBorders>
              <w:top w:val="nil"/>
              <w:left w:val="nil"/>
              <w:bottom w:val="single" w:sz="8" w:space="0" w:color="DCDDDE"/>
              <w:right w:val="nil"/>
            </w:tcBorders>
            <w:shd w:val="clear" w:color="000000" w:fill="FFFFFF"/>
            <w:noWrap/>
            <w:vAlign w:val="center"/>
            <w:hideMark/>
          </w:tcPr>
          <w:p w14:paraId="6936A9BF"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644.5</w:t>
            </w:r>
          </w:p>
        </w:tc>
        <w:tc>
          <w:tcPr>
            <w:tcW w:w="626" w:type="dxa"/>
            <w:tcBorders>
              <w:top w:val="nil"/>
              <w:left w:val="nil"/>
              <w:bottom w:val="single" w:sz="8" w:space="0" w:color="DCDDDE"/>
              <w:right w:val="nil"/>
            </w:tcBorders>
            <w:shd w:val="clear" w:color="000000" w:fill="FFFFFF"/>
            <w:noWrap/>
            <w:vAlign w:val="center"/>
            <w:hideMark/>
          </w:tcPr>
          <w:p w14:paraId="711AE890"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675.4</w:t>
            </w:r>
          </w:p>
        </w:tc>
        <w:tc>
          <w:tcPr>
            <w:tcW w:w="624" w:type="dxa"/>
            <w:tcBorders>
              <w:top w:val="nil"/>
              <w:left w:val="nil"/>
              <w:bottom w:val="single" w:sz="8" w:space="0" w:color="DCDDDE"/>
              <w:right w:val="nil"/>
            </w:tcBorders>
            <w:shd w:val="clear" w:color="000000" w:fill="FFFFFF"/>
            <w:noWrap/>
            <w:vAlign w:val="center"/>
            <w:hideMark/>
          </w:tcPr>
          <w:p w14:paraId="3058D6E5"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712.6</w:t>
            </w:r>
          </w:p>
        </w:tc>
        <w:tc>
          <w:tcPr>
            <w:tcW w:w="624" w:type="dxa"/>
            <w:tcBorders>
              <w:top w:val="nil"/>
              <w:left w:val="nil"/>
              <w:bottom w:val="single" w:sz="8" w:space="0" w:color="DCDDDE"/>
              <w:right w:val="nil"/>
            </w:tcBorders>
            <w:shd w:val="clear" w:color="000000" w:fill="FFFFFF"/>
            <w:noWrap/>
            <w:vAlign w:val="center"/>
            <w:hideMark/>
          </w:tcPr>
          <w:p w14:paraId="5B38EF53"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813.8</w:t>
            </w:r>
          </w:p>
        </w:tc>
        <w:tc>
          <w:tcPr>
            <w:tcW w:w="624" w:type="dxa"/>
            <w:tcBorders>
              <w:top w:val="nil"/>
              <w:left w:val="nil"/>
              <w:bottom w:val="single" w:sz="8" w:space="0" w:color="DCDDDE"/>
              <w:right w:val="nil"/>
            </w:tcBorders>
            <w:shd w:val="clear" w:color="000000" w:fill="FFFFFF"/>
            <w:noWrap/>
            <w:vAlign w:val="center"/>
            <w:hideMark/>
          </w:tcPr>
          <w:p w14:paraId="32421EB7"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813.6</w:t>
            </w:r>
          </w:p>
        </w:tc>
        <w:tc>
          <w:tcPr>
            <w:tcW w:w="624" w:type="dxa"/>
            <w:tcBorders>
              <w:top w:val="nil"/>
              <w:left w:val="nil"/>
              <w:bottom w:val="single" w:sz="8" w:space="0" w:color="DCDDDE"/>
              <w:right w:val="nil"/>
            </w:tcBorders>
            <w:shd w:val="clear" w:color="000000" w:fill="FFFFFF"/>
            <w:noWrap/>
            <w:vAlign w:val="center"/>
            <w:hideMark/>
          </w:tcPr>
          <w:p w14:paraId="2DA12AF9"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912.5</w:t>
            </w:r>
          </w:p>
        </w:tc>
        <w:tc>
          <w:tcPr>
            <w:tcW w:w="624" w:type="dxa"/>
            <w:tcBorders>
              <w:top w:val="nil"/>
              <w:left w:val="nil"/>
              <w:bottom w:val="single" w:sz="8" w:space="0" w:color="DCDDDE"/>
              <w:right w:val="nil"/>
            </w:tcBorders>
            <w:shd w:val="clear" w:color="000000" w:fill="FFFFFF"/>
            <w:noWrap/>
            <w:vAlign w:val="center"/>
            <w:hideMark/>
          </w:tcPr>
          <w:p w14:paraId="1AFA59CB"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898.7</w:t>
            </w:r>
          </w:p>
        </w:tc>
        <w:tc>
          <w:tcPr>
            <w:tcW w:w="624" w:type="dxa"/>
            <w:tcBorders>
              <w:top w:val="nil"/>
              <w:left w:val="nil"/>
              <w:bottom w:val="single" w:sz="8" w:space="0" w:color="DCDDDE"/>
              <w:right w:val="nil"/>
            </w:tcBorders>
            <w:shd w:val="clear" w:color="000000" w:fill="FFFFFF"/>
            <w:noWrap/>
            <w:vAlign w:val="center"/>
            <w:hideMark/>
          </w:tcPr>
          <w:p w14:paraId="1153713A"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895.3</w:t>
            </w:r>
          </w:p>
        </w:tc>
        <w:tc>
          <w:tcPr>
            <w:tcW w:w="624" w:type="dxa"/>
            <w:tcBorders>
              <w:top w:val="nil"/>
              <w:left w:val="nil"/>
              <w:bottom w:val="single" w:sz="8" w:space="0" w:color="DCDDDE"/>
              <w:right w:val="nil"/>
            </w:tcBorders>
            <w:shd w:val="clear" w:color="000000" w:fill="FFFFFF"/>
            <w:noWrap/>
            <w:vAlign w:val="center"/>
            <w:hideMark/>
          </w:tcPr>
          <w:p w14:paraId="492B858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883.7</w:t>
            </w:r>
          </w:p>
        </w:tc>
        <w:tc>
          <w:tcPr>
            <w:tcW w:w="624" w:type="dxa"/>
            <w:tcBorders>
              <w:top w:val="nil"/>
              <w:left w:val="nil"/>
              <w:bottom w:val="single" w:sz="8" w:space="0" w:color="DCDDDE"/>
              <w:right w:val="nil"/>
            </w:tcBorders>
            <w:shd w:val="clear" w:color="000000" w:fill="FFFFFF"/>
            <w:noWrap/>
            <w:vAlign w:val="center"/>
            <w:hideMark/>
          </w:tcPr>
          <w:p w14:paraId="25AF570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881.8</w:t>
            </w:r>
          </w:p>
        </w:tc>
        <w:tc>
          <w:tcPr>
            <w:tcW w:w="624" w:type="dxa"/>
            <w:tcBorders>
              <w:top w:val="nil"/>
              <w:left w:val="nil"/>
              <w:bottom w:val="single" w:sz="8" w:space="0" w:color="DCDDDE"/>
              <w:right w:val="nil"/>
            </w:tcBorders>
            <w:shd w:val="clear" w:color="000000" w:fill="FFFFFF"/>
            <w:noWrap/>
            <w:vAlign w:val="center"/>
            <w:hideMark/>
          </w:tcPr>
          <w:p w14:paraId="52A9809A"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869.8</w:t>
            </w:r>
          </w:p>
        </w:tc>
        <w:tc>
          <w:tcPr>
            <w:tcW w:w="624" w:type="dxa"/>
            <w:tcBorders>
              <w:top w:val="nil"/>
              <w:left w:val="nil"/>
              <w:bottom w:val="single" w:sz="8" w:space="0" w:color="DCDDDE"/>
              <w:right w:val="nil"/>
            </w:tcBorders>
            <w:shd w:val="clear" w:color="000000" w:fill="FFFFFF"/>
            <w:noWrap/>
            <w:vAlign w:val="center"/>
            <w:hideMark/>
          </w:tcPr>
          <w:p w14:paraId="4BB77979"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846.7</w:t>
            </w:r>
          </w:p>
        </w:tc>
        <w:tc>
          <w:tcPr>
            <w:tcW w:w="624" w:type="dxa"/>
            <w:tcBorders>
              <w:top w:val="nil"/>
              <w:left w:val="nil"/>
              <w:bottom w:val="single" w:sz="8" w:space="0" w:color="DCDDDE"/>
              <w:right w:val="nil"/>
            </w:tcBorders>
            <w:shd w:val="clear" w:color="000000" w:fill="FFFFFF"/>
            <w:noWrap/>
            <w:vAlign w:val="center"/>
            <w:hideMark/>
          </w:tcPr>
          <w:p w14:paraId="58BBF584"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822.0</w:t>
            </w:r>
          </w:p>
        </w:tc>
      </w:tr>
      <w:tr w:rsidR="00A25F1A" w:rsidRPr="00A25F1A" w14:paraId="3DE40C5C" w14:textId="77777777" w:rsidTr="00A25F1A">
        <w:trPr>
          <w:trHeight w:val="264"/>
        </w:trPr>
        <w:tc>
          <w:tcPr>
            <w:tcW w:w="9386" w:type="dxa"/>
            <w:gridSpan w:val="15"/>
            <w:tcBorders>
              <w:top w:val="single" w:sz="8" w:space="0" w:color="DCDDDE"/>
              <w:left w:val="nil"/>
              <w:bottom w:val="single" w:sz="8" w:space="0" w:color="DCDDDE"/>
              <w:right w:val="nil"/>
            </w:tcBorders>
            <w:shd w:val="clear" w:color="000000" w:fill="DADADA"/>
            <w:noWrap/>
            <w:vAlign w:val="center"/>
            <w:hideMark/>
          </w:tcPr>
          <w:p w14:paraId="09B34829"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PAC | Aggressive</w:t>
            </w:r>
          </w:p>
        </w:tc>
      </w:tr>
      <w:tr w:rsidR="00A25F1A" w:rsidRPr="00A25F1A" w14:paraId="1A297EF6"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70BAF97D"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Rebate Programs</w:t>
            </w:r>
          </w:p>
        </w:tc>
        <w:tc>
          <w:tcPr>
            <w:tcW w:w="626" w:type="dxa"/>
            <w:tcBorders>
              <w:top w:val="nil"/>
              <w:left w:val="nil"/>
              <w:bottom w:val="single" w:sz="8" w:space="0" w:color="DCDDDE"/>
              <w:right w:val="nil"/>
            </w:tcBorders>
            <w:shd w:val="clear" w:color="000000" w:fill="FFFFFF"/>
            <w:noWrap/>
            <w:vAlign w:val="center"/>
            <w:hideMark/>
          </w:tcPr>
          <w:p w14:paraId="500228F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235.1</w:t>
            </w:r>
          </w:p>
        </w:tc>
        <w:tc>
          <w:tcPr>
            <w:tcW w:w="626" w:type="dxa"/>
            <w:tcBorders>
              <w:top w:val="nil"/>
              <w:left w:val="nil"/>
              <w:bottom w:val="single" w:sz="8" w:space="0" w:color="DCDDDE"/>
              <w:right w:val="nil"/>
            </w:tcBorders>
            <w:shd w:val="clear" w:color="000000" w:fill="FFFFFF"/>
            <w:noWrap/>
            <w:vAlign w:val="center"/>
            <w:hideMark/>
          </w:tcPr>
          <w:p w14:paraId="7DEA95F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256.6</w:t>
            </w:r>
          </w:p>
        </w:tc>
        <w:tc>
          <w:tcPr>
            <w:tcW w:w="624" w:type="dxa"/>
            <w:tcBorders>
              <w:top w:val="nil"/>
              <w:left w:val="nil"/>
              <w:bottom w:val="single" w:sz="8" w:space="0" w:color="DCDDDE"/>
              <w:right w:val="nil"/>
            </w:tcBorders>
            <w:shd w:val="clear" w:color="000000" w:fill="FFFFFF"/>
            <w:noWrap/>
            <w:vAlign w:val="center"/>
            <w:hideMark/>
          </w:tcPr>
          <w:p w14:paraId="2B88502B"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250.8</w:t>
            </w:r>
          </w:p>
        </w:tc>
        <w:tc>
          <w:tcPr>
            <w:tcW w:w="624" w:type="dxa"/>
            <w:tcBorders>
              <w:top w:val="nil"/>
              <w:left w:val="nil"/>
              <w:bottom w:val="single" w:sz="8" w:space="0" w:color="DCDDDE"/>
              <w:right w:val="nil"/>
            </w:tcBorders>
            <w:shd w:val="clear" w:color="000000" w:fill="FFFFFF"/>
            <w:noWrap/>
            <w:vAlign w:val="center"/>
            <w:hideMark/>
          </w:tcPr>
          <w:p w14:paraId="27784BE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282.7</w:t>
            </w:r>
          </w:p>
        </w:tc>
        <w:tc>
          <w:tcPr>
            <w:tcW w:w="624" w:type="dxa"/>
            <w:tcBorders>
              <w:top w:val="nil"/>
              <w:left w:val="nil"/>
              <w:bottom w:val="single" w:sz="8" w:space="0" w:color="DCDDDE"/>
              <w:right w:val="nil"/>
            </w:tcBorders>
            <w:shd w:val="clear" w:color="000000" w:fill="FFFFFF"/>
            <w:noWrap/>
            <w:vAlign w:val="center"/>
            <w:hideMark/>
          </w:tcPr>
          <w:p w14:paraId="4D03AA7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284.9</w:t>
            </w:r>
          </w:p>
        </w:tc>
        <w:tc>
          <w:tcPr>
            <w:tcW w:w="624" w:type="dxa"/>
            <w:tcBorders>
              <w:top w:val="nil"/>
              <w:left w:val="nil"/>
              <w:bottom w:val="single" w:sz="8" w:space="0" w:color="DCDDDE"/>
              <w:right w:val="nil"/>
            </w:tcBorders>
            <w:shd w:val="clear" w:color="000000" w:fill="FFFFFF"/>
            <w:noWrap/>
            <w:vAlign w:val="center"/>
            <w:hideMark/>
          </w:tcPr>
          <w:p w14:paraId="20AE714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296.8</w:t>
            </w:r>
          </w:p>
        </w:tc>
        <w:tc>
          <w:tcPr>
            <w:tcW w:w="624" w:type="dxa"/>
            <w:tcBorders>
              <w:top w:val="nil"/>
              <w:left w:val="nil"/>
              <w:bottom w:val="single" w:sz="8" w:space="0" w:color="DCDDDE"/>
              <w:right w:val="nil"/>
            </w:tcBorders>
            <w:shd w:val="clear" w:color="000000" w:fill="FFFFFF"/>
            <w:noWrap/>
            <w:vAlign w:val="center"/>
            <w:hideMark/>
          </w:tcPr>
          <w:p w14:paraId="5F3C0AB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294.3</w:t>
            </w:r>
          </w:p>
        </w:tc>
        <w:tc>
          <w:tcPr>
            <w:tcW w:w="624" w:type="dxa"/>
            <w:tcBorders>
              <w:top w:val="nil"/>
              <w:left w:val="nil"/>
              <w:bottom w:val="single" w:sz="8" w:space="0" w:color="DCDDDE"/>
              <w:right w:val="nil"/>
            </w:tcBorders>
            <w:shd w:val="clear" w:color="000000" w:fill="FFFFFF"/>
            <w:noWrap/>
            <w:vAlign w:val="center"/>
            <w:hideMark/>
          </w:tcPr>
          <w:p w14:paraId="1D74774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292.9</w:t>
            </w:r>
          </w:p>
        </w:tc>
        <w:tc>
          <w:tcPr>
            <w:tcW w:w="624" w:type="dxa"/>
            <w:tcBorders>
              <w:top w:val="nil"/>
              <w:left w:val="nil"/>
              <w:bottom w:val="single" w:sz="8" w:space="0" w:color="DCDDDE"/>
              <w:right w:val="nil"/>
            </w:tcBorders>
            <w:shd w:val="clear" w:color="000000" w:fill="FFFFFF"/>
            <w:noWrap/>
            <w:vAlign w:val="center"/>
            <w:hideMark/>
          </w:tcPr>
          <w:p w14:paraId="1810ECB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290.3</w:t>
            </w:r>
          </w:p>
        </w:tc>
        <w:tc>
          <w:tcPr>
            <w:tcW w:w="624" w:type="dxa"/>
            <w:tcBorders>
              <w:top w:val="nil"/>
              <w:left w:val="nil"/>
              <w:bottom w:val="single" w:sz="8" w:space="0" w:color="DCDDDE"/>
              <w:right w:val="nil"/>
            </w:tcBorders>
            <w:shd w:val="clear" w:color="000000" w:fill="FFFFFF"/>
            <w:noWrap/>
            <w:vAlign w:val="center"/>
            <w:hideMark/>
          </w:tcPr>
          <w:p w14:paraId="5C55B6A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290.6</w:t>
            </w:r>
          </w:p>
        </w:tc>
        <w:tc>
          <w:tcPr>
            <w:tcW w:w="624" w:type="dxa"/>
            <w:tcBorders>
              <w:top w:val="nil"/>
              <w:left w:val="nil"/>
              <w:bottom w:val="single" w:sz="8" w:space="0" w:color="DCDDDE"/>
              <w:right w:val="nil"/>
            </w:tcBorders>
            <w:shd w:val="clear" w:color="000000" w:fill="FFFFFF"/>
            <w:noWrap/>
            <w:vAlign w:val="center"/>
            <w:hideMark/>
          </w:tcPr>
          <w:p w14:paraId="5F4C981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291.6</w:t>
            </w:r>
          </w:p>
        </w:tc>
        <w:tc>
          <w:tcPr>
            <w:tcW w:w="624" w:type="dxa"/>
            <w:tcBorders>
              <w:top w:val="nil"/>
              <w:left w:val="nil"/>
              <w:bottom w:val="single" w:sz="8" w:space="0" w:color="DCDDDE"/>
              <w:right w:val="nil"/>
            </w:tcBorders>
            <w:shd w:val="clear" w:color="000000" w:fill="FFFFFF"/>
            <w:noWrap/>
            <w:vAlign w:val="center"/>
            <w:hideMark/>
          </w:tcPr>
          <w:p w14:paraId="187323B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292.1</w:t>
            </w:r>
          </w:p>
        </w:tc>
        <w:tc>
          <w:tcPr>
            <w:tcW w:w="624" w:type="dxa"/>
            <w:tcBorders>
              <w:top w:val="nil"/>
              <w:left w:val="nil"/>
              <w:bottom w:val="single" w:sz="8" w:space="0" w:color="DCDDDE"/>
              <w:right w:val="nil"/>
            </w:tcBorders>
            <w:shd w:val="clear" w:color="000000" w:fill="FFFFFF"/>
            <w:noWrap/>
            <w:vAlign w:val="center"/>
            <w:hideMark/>
          </w:tcPr>
          <w:p w14:paraId="142CEA6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291.4</w:t>
            </w:r>
          </w:p>
        </w:tc>
      </w:tr>
      <w:tr w:rsidR="00A25F1A" w:rsidRPr="00A25F1A" w14:paraId="502750DC"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44F85B6A" w14:textId="68A8693C" w:rsidR="00A25F1A" w:rsidRPr="00A25F1A" w:rsidRDefault="00A25F1A" w:rsidP="00A25F1A">
            <w:pPr>
              <w:spacing w:line="240" w:lineRule="auto"/>
              <w:jc w:val="center"/>
              <w:rPr>
                <w:rFonts w:ascii="Arial Narrow" w:hAnsi="Arial Narrow" w:cs="Calibri"/>
                <w:b/>
                <w:bCs/>
                <w:sz w:val="18"/>
                <w:szCs w:val="18"/>
              </w:rPr>
            </w:pPr>
            <w:r>
              <w:rPr>
                <w:rFonts w:ascii="Arial Narrow" w:hAnsi="Arial Narrow" w:cs="Calibri"/>
                <w:b/>
                <w:bCs/>
                <w:sz w:val="18"/>
                <w:szCs w:val="18"/>
              </w:rPr>
              <w:t>C&amp;S</w:t>
            </w:r>
          </w:p>
        </w:tc>
        <w:tc>
          <w:tcPr>
            <w:tcW w:w="626" w:type="dxa"/>
            <w:tcBorders>
              <w:top w:val="nil"/>
              <w:left w:val="nil"/>
              <w:bottom w:val="single" w:sz="8" w:space="0" w:color="DCDDDE"/>
              <w:right w:val="nil"/>
            </w:tcBorders>
            <w:shd w:val="clear" w:color="000000" w:fill="FFFFFF"/>
            <w:noWrap/>
            <w:vAlign w:val="center"/>
            <w:hideMark/>
          </w:tcPr>
          <w:p w14:paraId="06D7C64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373.1</w:t>
            </w:r>
          </w:p>
        </w:tc>
        <w:tc>
          <w:tcPr>
            <w:tcW w:w="626" w:type="dxa"/>
            <w:tcBorders>
              <w:top w:val="nil"/>
              <w:left w:val="nil"/>
              <w:bottom w:val="single" w:sz="8" w:space="0" w:color="DCDDDE"/>
              <w:right w:val="nil"/>
            </w:tcBorders>
            <w:shd w:val="clear" w:color="000000" w:fill="FFFFFF"/>
            <w:noWrap/>
            <w:vAlign w:val="center"/>
            <w:hideMark/>
          </w:tcPr>
          <w:p w14:paraId="1EDD6FC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374.6</w:t>
            </w:r>
          </w:p>
        </w:tc>
        <w:tc>
          <w:tcPr>
            <w:tcW w:w="624" w:type="dxa"/>
            <w:tcBorders>
              <w:top w:val="nil"/>
              <w:left w:val="nil"/>
              <w:bottom w:val="single" w:sz="8" w:space="0" w:color="DCDDDE"/>
              <w:right w:val="nil"/>
            </w:tcBorders>
            <w:shd w:val="clear" w:color="000000" w:fill="FFFFFF"/>
            <w:noWrap/>
            <w:vAlign w:val="center"/>
            <w:hideMark/>
          </w:tcPr>
          <w:p w14:paraId="3016CA3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414.0</w:t>
            </w:r>
          </w:p>
        </w:tc>
        <w:tc>
          <w:tcPr>
            <w:tcW w:w="624" w:type="dxa"/>
            <w:tcBorders>
              <w:top w:val="nil"/>
              <w:left w:val="nil"/>
              <w:bottom w:val="single" w:sz="8" w:space="0" w:color="DCDDDE"/>
              <w:right w:val="nil"/>
            </w:tcBorders>
            <w:shd w:val="clear" w:color="000000" w:fill="FFFFFF"/>
            <w:noWrap/>
            <w:vAlign w:val="center"/>
            <w:hideMark/>
          </w:tcPr>
          <w:p w14:paraId="75576E8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485.0</w:t>
            </w:r>
          </w:p>
        </w:tc>
        <w:tc>
          <w:tcPr>
            <w:tcW w:w="624" w:type="dxa"/>
            <w:tcBorders>
              <w:top w:val="nil"/>
              <w:left w:val="nil"/>
              <w:bottom w:val="single" w:sz="8" w:space="0" w:color="DCDDDE"/>
              <w:right w:val="nil"/>
            </w:tcBorders>
            <w:shd w:val="clear" w:color="000000" w:fill="FFFFFF"/>
            <w:noWrap/>
            <w:vAlign w:val="center"/>
            <w:hideMark/>
          </w:tcPr>
          <w:p w14:paraId="3638EC4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477.2</w:t>
            </w:r>
          </w:p>
        </w:tc>
        <w:tc>
          <w:tcPr>
            <w:tcW w:w="624" w:type="dxa"/>
            <w:tcBorders>
              <w:top w:val="nil"/>
              <w:left w:val="nil"/>
              <w:bottom w:val="single" w:sz="8" w:space="0" w:color="DCDDDE"/>
              <w:right w:val="nil"/>
            </w:tcBorders>
            <w:shd w:val="clear" w:color="000000" w:fill="FFFFFF"/>
            <w:noWrap/>
            <w:vAlign w:val="center"/>
            <w:hideMark/>
          </w:tcPr>
          <w:p w14:paraId="40CCCCD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560.0</w:t>
            </w:r>
          </w:p>
        </w:tc>
        <w:tc>
          <w:tcPr>
            <w:tcW w:w="624" w:type="dxa"/>
            <w:tcBorders>
              <w:top w:val="nil"/>
              <w:left w:val="nil"/>
              <w:bottom w:val="single" w:sz="8" w:space="0" w:color="DCDDDE"/>
              <w:right w:val="nil"/>
            </w:tcBorders>
            <w:shd w:val="clear" w:color="000000" w:fill="FFFFFF"/>
            <w:noWrap/>
            <w:vAlign w:val="center"/>
            <w:hideMark/>
          </w:tcPr>
          <w:p w14:paraId="0BDB094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542.5</w:t>
            </w:r>
          </w:p>
        </w:tc>
        <w:tc>
          <w:tcPr>
            <w:tcW w:w="624" w:type="dxa"/>
            <w:tcBorders>
              <w:top w:val="nil"/>
              <w:left w:val="nil"/>
              <w:bottom w:val="single" w:sz="8" w:space="0" w:color="DCDDDE"/>
              <w:right w:val="nil"/>
            </w:tcBorders>
            <w:shd w:val="clear" w:color="000000" w:fill="FFFFFF"/>
            <w:noWrap/>
            <w:vAlign w:val="center"/>
            <w:hideMark/>
          </w:tcPr>
          <w:p w14:paraId="6D00CDD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531.1</w:t>
            </w:r>
          </w:p>
        </w:tc>
        <w:tc>
          <w:tcPr>
            <w:tcW w:w="624" w:type="dxa"/>
            <w:tcBorders>
              <w:top w:val="nil"/>
              <w:left w:val="nil"/>
              <w:bottom w:val="single" w:sz="8" w:space="0" w:color="DCDDDE"/>
              <w:right w:val="nil"/>
            </w:tcBorders>
            <w:shd w:val="clear" w:color="000000" w:fill="FFFFFF"/>
            <w:noWrap/>
            <w:vAlign w:val="center"/>
            <w:hideMark/>
          </w:tcPr>
          <w:p w14:paraId="52E5055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517.0</w:t>
            </w:r>
          </w:p>
        </w:tc>
        <w:tc>
          <w:tcPr>
            <w:tcW w:w="624" w:type="dxa"/>
            <w:tcBorders>
              <w:top w:val="nil"/>
              <w:left w:val="nil"/>
              <w:bottom w:val="single" w:sz="8" w:space="0" w:color="DCDDDE"/>
              <w:right w:val="nil"/>
            </w:tcBorders>
            <w:shd w:val="clear" w:color="000000" w:fill="FFFFFF"/>
            <w:noWrap/>
            <w:vAlign w:val="center"/>
            <w:hideMark/>
          </w:tcPr>
          <w:p w14:paraId="370AFE2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509.6</w:t>
            </w:r>
          </w:p>
        </w:tc>
        <w:tc>
          <w:tcPr>
            <w:tcW w:w="624" w:type="dxa"/>
            <w:tcBorders>
              <w:top w:val="nil"/>
              <w:left w:val="nil"/>
              <w:bottom w:val="single" w:sz="8" w:space="0" w:color="DCDDDE"/>
              <w:right w:val="nil"/>
            </w:tcBorders>
            <w:shd w:val="clear" w:color="000000" w:fill="FFFFFF"/>
            <w:noWrap/>
            <w:vAlign w:val="center"/>
            <w:hideMark/>
          </w:tcPr>
          <w:p w14:paraId="3BC5CBD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490.6</w:t>
            </w:r>
          </w:p>
        </w:tc>
        <w:tc>
          <w:tcPr>
            <w:tcW w:w="624" w:type="dxa"/>
            <w:tcBorders>
              <w:top w:val="nil"/>
              <w:left w:val="nil"/>
              <w:bottom w:val="single" w:sz="8" w:space="0" w:color="DCDDDE"/>
              <w:right w:val="nil"/>
            </w:tcBorders>
            <w:shd w:val="clear" w:color="000000" w:fill="FFFFFF"/>
            <w:noWrap/>
            <w:vAlign w:val="center"/>
            <w:hideMark/>
          </w:tcPr>
          <w:p w14:paraId="2E2968CC"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460.8</w:t>
            </w:r>
          </w:p>
        </w:tc>
        <w:tc>
          <w:tcPr>
            <w:tcW w:w="624" w:type="dxa"/>
            <w:tcBorders>
              <w:top w:val="nil"/>
              <w:left w:val="nil"/>
              <w:bottom w:val="single" w:sz="8" w:space="0" w:color="DCDDDE"/>
              <w:right w:val="nil"/>
            </w:tcBorders>
            <w:shd w:val="clear" w:color="000000" w:fill="FFFFFF"/>
            <w:noWrap/>
            <w:vAlign w:val="center"/>
            <w:hideMark/>
          </w:tcPr>
          <w:p w14:paraId="05A6195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432.0</w:t>
            </w:r>
          </w:p>
        </w:tc>
      </w:tr>
      <w:tr w:rsidR="00A25F1A" w:rsidRPr="00A25F1A" w14:paraId="394254B3"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0F55E67C"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BROs</w:t>
            </w:r>
          </w:p>
        </w:tc>
        <w:tc>
          <w:tcPr>
            <w:tcW w:w="626" w:type="dxa"/>
            <w:tcBorders>
              <w:top w:val="nil"/>
              <w:left w:val="nil"/>
              <w:bottom w:val="single" w:sz="8" w:space="0" w:color="DCDDDE"/>
              <w:right w:val="nil"/>
            </w:tcBorders>
            <w:shd w:val="clear" w:color="000000" w:fill="FFFFFF"/>
            <w:noWrap/>
            <w:vAlign w:val="center"/>
            <w:hideMark/>
          </w:tcPr>
          <w:p w14:paraId="6D77DF5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46.9</w:t>
            </w:r>
          </w:p>
        </w:tc>
        <w:tc>
          <w:tcPr>
            <w:tcW w:w="626" w:type="dxa"/>
            <w:tcBorders>
              <w:top w:val="nil"/>
              <w:left w:val="nil"/>
              <w:bottom w:val="single" w:sz="8" w:space="0" w:color="DCDDDE"/>
              <w:right w:val="nil"/>
            </w:tcBorders>
            <w:shd w:val="clear" w:color="000000" w:fill="FFFFFF"/>
            <w:noWrap/>
            <w:vAlign w:val="center"/>
            <w:hideMark/>
          </w:tcPr>
          <w:p w14:paraId="2AC0D518"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64.2</w:t>
            </w:r>
          </w:p>
        </w:tc>
        <w:tc>
          <w:tcPr>
            <w:tcW w:w="624" w:type="dxa"/>
            <w:tcBorders>
              <w:top w:val="nil"/>
              <w:left w:val="nil"/>
              <w:bottom w:val="single" w:sz="8" w:space="0" w:color="DCDDDE"/>
              <w:right w:val="nil"/>
            </w:tcBorders>
            <w:shd w:val="clear" w:color="000000" w:fill="FFFFFF"/>
            <w:noWrap/>
            <w:vAlign w:val="center"/>
            <w:hideMark/>
          </w:tcPr>
          <w:p w14:paraId="42BBB92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74.0</w:t>
            </w:r>
          </w:p>
        </w:tc>
        <w:tc>
          <w:tcPr>
            <w:tcW w:w="624" w:type="dxa"/>
            <w:tcBorders>
              <w:top w:val="nil"/>
              <w:left w:val="nil"/>
              <w:bottom w:val="single" w:sz="8" w:space="0" w:color="DCDDDE"/>
              <w:right w:val="nil"/>
            </w:tcBorders>
            <w:shd w:val="clear" w:color="000000" w:fill="FFFFFF"/>
            <w:noWrap/>
            <w:vAlign w:val="center"/>
            <w:hideMark/>
          </w:tcPr>
          <w:p w14:paraId="36BC1425"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81.9</w:t>
            </w:r>
          </w:p>
        </w:tc>
        <w:tc>
          <w:tcPr>
            <w:tcW w:w="624" w:type="dxa"/>
            <w:tcBorders>
              <w:top w:val="nil"/>
              <w:left w:val="nil"/>
              <w:bottom w:val="single" w:sz="8" w:space="0" w:color="DCDDDE"/>
              <w:right w:val="nil"/>
            </w:tcBorders>
            <w:shd w:val="clear" w:color="000000" w:fill="FFFFFF"/>
            <w:noWrap/>
            <w:vAlign w:val="center"/>
            <w:hideMark/>
          </w:tcPr>
          <w:p w14:paraId="685DA1A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90.7</w:t>
            </w:r>
          </w:p>
        </w:tc>
        <w:tc>
          <w:tcPr>
            <w:tcW w:w="624" w:type="dxa"/>
            <w:tcBorders>
              <w:top w:val="nil"/>
              <w:left w:val="nil"/>
              <w:bottom w:val="single" w:sz="8" w:space="0" w:color="DCDDDE"/>
              <w:right w:val="nil"/>
            </w:tcBorders>
            <w:shd w:val="clear" w:color="000000" w:fill="FFFFFF"/>
            <w:noWrap/>
            <w:vAlign w:val="center"/>
            <w:hideMark/>
          </w:tcPr>
          <w:p w14:paraId="6B0ECE0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98.6</w:t>
            </w:r>
          </w:p>
        </w:tc>
        <w:tc>
          <w:tcPr>
            <w:tcW w:w="624" w:type="dxa"/>
            <w:tcBorders>
              <w:top w:val="nil"/>
              <w:left w:val="nil"/>
              <w:bottom w:val="single" w:sz="8" w:space="0" w:color="DCDDDE"/>
              <w:right w:val="nil"/>
            </w:tcBorders>
            <w:shd w:val="clear" w:color="000000" w:fill="FFFFFF"/>
            <w:noWrap/>
            <w:vAlign w:val="center"/>
            <w:hideMark/>
          </w:tcPr>
          <w:p w14:paraId="32026D8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110.3</w:t>
            </w:r>
          </w:p>
        </w:tc>
        <w:tc>
          <w:tcPr>
            <w:tcW w:w="624" w:type="dxa"/>
            <w:tcBorders>
              <w:top w:val="nil"/>
              <w:left w:val="nil"/>
              <w:bottom w:val="single" w:sz="8" w:space="0" w:color="DCDDDE"/>
              <w:right w:val="nil"/>
            </w:tcBorders>
            <w:shd w:val="clear" w:color="000000" w:fill="FFFFFF"/>
            <w:noWrap/>
            <w:vAlign w:val="center"/>
            <w:hideMark/>
          </w:tcPr>
          <w:p w14:paraId="2231D567"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125.5</w:t>
            </w:r>
          </w:p>
        </w:tc>
        <w:tc>
          <w:tcPr>
            <w:tcW w:w="624" w:type="dxa"/>
            <w:tcBorders>
              <w:top w:val="nil"/>
              <w:left w:val="nil"/>
              <w:bottom w:val="single" w:sz="8" w:space="0" w:color="DCDDDE"/>
              <w:right w:val="nil"/>
            </w:tcBorders>
            <w:shd w:val="clear" w:color="000000" w:fill="FFFFFF"/>
            <w:noWrap/>
            <w:vAlign w:val="center"/>
            <w:hideMark/>
          </w:tcPr>
          <w:p w14:paraId="6CD48AB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136.0</w:t>
            </w:r>
          </w:p>
        </w:tc>
        <w:tc>
          <w:tcPr>
            <w:tcW w:w="624" w:type="dxa"/>
            <w:tcBorders>
              <w:top w:val="nil"/>
              <w:left w:val="nil"/>
              <w:bottom w:val="single" w:sz="8" w:space="0" w:color="DCDDDE"/>
              <w:right w:val="nil"/>
            </w:tcBorders>
            <w:shd w:val="clear" w:color="000000" w:fill="FFFFFF"/>
            <w:noWrap/>
            <w:vAlign w:val="center"/>
            <w:hideMark/>
          </w:tcPr>
          <w:p w14:paraId="30DA4E1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147.9</w:t>
            </w:r>
          </w:p>
        </w:tc>
        <w:tc>
          <w:tcPr>
            <w:tcW w:w="624" w:type="dxa"/>
            <w:tcBorders>
              <w:top w:val="nil"/>
              <w:left w:val="nil"/>
              <w:bottom w:val="single" w:sz="8" w:space="0" w:color="DCDDDE"/>
              <w:right w:val="nil"/>
            </w:tcBorders>
            <w:shd w:val="clear" w:color="000000" w:fill="FFFFFF"/>
            <w:noWrap/>
            <w:vAlign w:val="center"/>
            <w:hideMark/>
          </w:tcPr>
          <w:p w14:paraId="41F2D0C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161.3</w:t>
            </w:r>
          </w:p>
        </w:tc>
        <w:tc>
          <w:tcPr>
            <w:tcW w:w="624" w:type="dxa"/>
            <w:tcBorders>
              <w:top w:val="nil"/>
              <w:left w:val="nil"/>
              <w:bottom w:val="single" w:sz="8" w:space="0" w:color="DCDDDE"/>
              <w:right w:val="nil"/>
            </w:tcBorders>
            <w:shd w:val="clear" w:color="000000" w:fill="FFFFFF"/>
            <w:noWrap/>
            <w:vAlign w:val="center"/>
            <w:hideMark/>
          </w:tcPr>
          <w:p w14:paraId="1B411966"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176.0</w:t>
            </w:r>
          </w:p>
        </w:tc>
        <w:tc>
          <w:tcPr>
            <w:tcW w:w="624" w:type="dxa"/>
            <w:tcBorders>
              <w:top w:val="nil"/>
              <w:left w:val="nil"/>
              <w:bottom w:val="single" w:sz="8" w:space="0" w:color="DCDDDE"/>
              <w:right w:val="nil"/>
            </w:tcBorders>
            <w:shd w:val="clear" w:color="000000" w:fill="FFFFFF"/>
            <w:noWrap/>
            <w:vAlign w:val="center"/>
            <w:hideMark/>
          </w:tcPr>
          <w:p w14:paraId="2B78182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192.5</w:t>
            </w:r>
          </w:p>
        </w:tc>
      </w:tr>
      <w:tr w:rsidR="00A25F1A" w:rsidRPr="00A25F1A" w14:paraId="534F1CDA" w14:textId="77777777" w:rsidTr="00A25F1A">
        <w:trPr>
          <w:gridAfter w:val="1"/>
          <w:wAfter w:w="11" w:type="dxa"/>
          <w:trHeight w:val="466"/>
        </w:trPr>
        <w:tc>
          <w:tcPr>
            <w:tcW w:w="1259" w:type="dxa"/>
            <w:tcBorders>
              <w:top w:val="nil"/>
              <w:left w:val="nil"/>
              <w:bottom w:val="single" w:sz="8" w:space="0" w:color="DCDDDE"/>
              <w:right w:val="nil"/>
            </w:tcBorders>
            <w:shd w:val="clear" w:color="000000" w:fill="FFFFFF"/>
            <w:vAlign w:val="center"/>
            <w:hideMark/>
          </w:tcPr>
          <w:p w14:paraId="40B81F09"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Low Income</w:t>
            </w:r>
          </w:p>
        </w:tc>
        <w:tc>
          <w:tcPr>
            <w:tcW w:w="626" w:type="dxa"/>
            <w:tcBorders>
              <w:top w:val="nil"/>
              <w:left w:val="nil"/>
              <w:bottom w:val="single" w:sz="8" w:space="0" w:color="DCDDDE"/>
              <w:right w:val="nil"/>
            </w:tcBorders>
            <w:shd w:val="clear" w:color="000000" w:fill="FFFFFF"/>
            <w:noWrap/>
            <w:vAlign w:val="center"/>
            <w:hideMark/>
          </w:tcPr>
          <w:p w14:paraId="728B6519"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6" w:type="dxa"/>
            <w:tcBorders>
              <w:top w:val="nil"/>
              <w:left w:val="nil"/>
              <w:bottom w:val="single" w:sz="8" w:space="0" w:color="DCDDDE"/>
              <w:right w:val="nil"/>
            </w:tcBorders>
            <w:shd w:val="clear" w:color="000000" w:fill="FFFFFF"/>
            <w:noWrap/>
            <w:vAlign w:val="center"/>
            <w:hideMark/>
          </w:tcPr>
          <w:p w14:paraId="68B25F33"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10.2</w:t>
            </w:r>
          </w:p>
        </w:tc>
        <w:tc>
          <w:tcPr>
            <w:tcW w:w="624" w:type="dxa"/>
            <w:tcBorders>
              <w:top w:val="nil"/>
              <w:left w:val="nil"/>
              <w:bottom w:val="single" w:sz="8" w:space="0" w:color="DCDDDE"/>
              <w:right w:val="nil"/>
            </w:tcBorders>
            <w:shd w:val="clear" w:color="000000" w:fill="FFFFFF"/>
            <w:noWrap/>
            <w:vAlign w:val="center"/>
            <w:hideMark/>
          </w:tcPr>
          <w:p w14:paraId="1DFB0FC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10.1</w:t>
            </w:r>
          </w:p>
        </w:tc>
        <w:tc>
          <w:tcPr>
            <w:tcW w:w="624" w:type="dxa"/>
            <w:tcBorders>
              <w:top w:val="nil"/>
              <w:left w:val="nil"/>
              <w:bottom w:val="single" w:sz="8" w:space="0" w:color="DCDDDE"/>
              <w:right w:val="nil"/>
            </w:tcBorders>
            <w:shd w:val="clear" w:color="000000" w:fill="FFFFFF"/>
            <w:noWrap/>
            <w:vAlign w:val="center"/>
            <w:hideMark/>
          </w:tcPr>
          <w:p w14:paraId="43982BFD"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FDC70B0"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6DBD95F"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B2EC54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0C536F11"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77D8A814"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4DB4FD5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336849B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42E12ADA"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c>
          <w:tcPr>
            <w:tcW w:w="624" w:type="dxa"/>
            <w:tcBorders>
              <w:top w:val="nil"/>
              <w:left w:val="nil"/>
              <w:bottom w:val="single" w:sz="8" w:space="0" w:color="DCDDDE"/>
              <w:right w:val="nil"/>
            </w:tcBorders>
            <w:shd w:val="clear" w:color="000000" w:fill="FFFFFF"/>
            <w:noWrap/>
            <w:vAlign w:val="center"/>
            <w:hideMark/>
          </w:tcPr>
          <w:p w14:paraId="5335D592" w14:textId="77777777" w:rsidR="00A25F1A" w:rsidRPr="00A25F1A" w:rsidRDefault="00A25F1A" w:rsidP="00A25F1A">
            <w:pPr>
              <w:spacing w:line="240" w:lineRule="auto"/>
              <w:jc w:val="right"/>
              <w:rPr>
                <w:rFonts w:ascii="Arial Narrow" w:hAnsi="Arial Narrow" w:cs="Calibri"/>
                <w:sz w:val="18"/>
                <w:szCs w:val="18"/>
              </w:rPr>
            </w:pPr>
            <w:r w:rsidRPr="00A25F1A">
              <w:rPr>
                <w:rFonts w:ascii="Arial Narrow" w:hAnsi="Arial Narrow" w:cs="Calibri"/>
                <w:sz w:val="18"/>
                <w:szCs w:val="18"/>
              </w:rPr>
              <w:t>5.7</w:t>
            </w:r>
          </w:p>
        </w:tc>
      </w:tr>
      <w:tr w:rsidR="00A25F1A" w:rsidRPr="00A25F1A" w14:paraId="30D084FC" w14:textId="77777777" w:rsidTr="00A25F1A">
        <w:trPr>
          <w:gridAfter w:val="1"/>
          <w:wAfter w:w="11" w:type="dxa"/>
          <w:trHeight w:val="264"/>
        </w:trPr>
        <w:tc>
          <w:tcPr>
            <w:tcW w:w="1259" w:type="dxa"/>
            <w:tcBorders>
              <w:top w:val="nil"/>
              <w:left w:val="nil"/>
              <w:bottom w:val="single" w:sz="8" w:space="0" w:color="DCDDDE"/>
              <w:right w:val="nil"/>
            </w:tcBorders>
            <w:shd w:val="clear" w:color="000000" w:fill="FFFFFF"/>
            <w:vAlign w:val="center"/>
            <w:hideMark/>
          </w:tcPr>
          <w:p w14:paraId="1D12B6BB" w14:textId="77777777" w:rsidR="00A25F1A" w:rsidRPr="00A25F1A" w:rsidRDefault="00A25F1A" w:rsidP="00A25F1A">
            <w:pPr>
              <w:spacing w:line="240" w:lineRule="auto"/>
              <w:jc w:val="center"/>
              <w:rPr>
                <w:rFonts w:ascii="Arial Narrow" w:hAnsi="Arial Narrow" w:cs="Calibri"/>
                <w:b/>
                <w:bCs/>
                <w:sz w:val="18"/>
                <w:szCs w:val="18"/>
              </w:rPr>
            </w:pPr>
            <w:r w:rsidRPr="00A25F1A">
              <w:rPr>
                <w:rFonts w:ascii="Arial Narrow" w:hAnsi="Arial Narrow" w:cs="Calibri"/>
                <w:b/>
                <w:bCs/>
                <w:sz w:val="18"/>
                <w:szCs w:val="18"/>
              </w:rPr>
              <w:t>Total</w:t>
            </w:r>
          </w:p>
        </w:tc>
        <w:tc>
          <w:tcPr>
            <w:tcW w:w="626" w:type="dxa"/>
            <w:tcBorders>
              <w:top w:val="nil"/>
              <w:left w:val="nil"/>
              <w:bottom w:val="single" w:sz="8" w:space="0" w:color="DCDDDE"/>
              <w:right w:val="nil"/>
            </w:tcBorders>
            <w:shd w:val="clear" w:color="000000" w:fill="FFFFFF"/>
            <w:noWrap/>
            <w:vAlign w:val="center"/>
            <w:hideMark/>
          </w:tcPr>
          <w:p w14:paraId="71F8EE1C"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665.2</w:t>
            </w:r>
          </w:p>
        </w:tc>
        <w:tc>
          <w:tcPr>
            <w:tcW w:w="626" w:type="dxa"/>
            <w:tcBorders>
              <w:top w:val="nil"/>
              <w:left w:val="nil"/>
              <w:bottom w:val="single" w:sz="8" w:space="0" w:color="DCDDDE"/>
              <w:right w:val="nil"/>
            </w:tcBorders>
            <w:shd w:val="clear" w:color="000000" w:fill="FFFFFF"/>
            <w:noWrap/>
            <w:vAlign w:val="center"/>
            <w:hideMark/>
          </w:tcPr>
          <w:p w14:paraId="75D3A1A1"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705.6</w:t>
            </w:r>
          </w:p>
        </w:tc>
        <w:tc>
          <w:tcPr>
            <w:tcW w:w="624" w:type="dxa"/>
            <w:tcBorders>
              <w:top w:val="nil"/>
              <w:left w:val="nil"/>
              <w:bottom w:val="single" w:sz="8" w:space="0" w:color="DCDDDE"/>
              <w:right w:val="nil"/>
            </w:tcBorders>
            <w:shd w:val="clear" w:color="000000" w:fill="FFFFFF"/>
            <w:noWrap/>
            <w:vAlign w:val="center"/>
            <w:hideMark/>
          </w:tcPr>
          <w:p w14:paraId="52EC8843"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749.0</w:t>
            </w:r>
          </w:p>
        </w:tc>
        <w:tc>
          <w:tcPr>
            <w:tcW w:w="624" w:type="dxa"/>
            <w:tcBorders>
              <w:top w:val="nil"/>
              <w:left w:val="nil"/>
              <w:bottom w:val="single" w:sz="8" w:space="0" w:color="DCDDDE"/>
              <w:right w:val="nil"/>
            </w:tcBorders>
            <w:shd w:val="clear" w:color="000000" w:fill="FFFFFF"/>
            <w:noWrap/>
            <w:vAlign w:val="center"/>
            <w:hideMark/>
          </w:tcPr>
          <w:p w14:paraId="57344609"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855.3</w:t>
            </w:r>
          </w:p>
        </w:tc>
        <w:tc>
          <w:tcPr>
            <w:tcW w:w="624" w:type="dxa"/>
            <w:tcBorders>
              <w:top w:val="nil"/>
              <w:left w:val="nil"/>
              <w:bottom w:val="single" w:sz="8" w:space="0" w:color="DCDDDE"/>
              <w:right w:val="nil"/>
            </w:tcBorders>
            <w:shd w:val="clear" w:color="000000" w:fill="FFFFFF"/>
            <w:noWrap/>
            <w:vAlign w:val="center"/>
            <w:hideMark/>
          </w:tcPr>
          <w:p w14:paraId="0B6F9CFE"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858.5</w:t>
            </w:r>
          </w:p>
        </w:tc>
        <w:tc>
          <w:tcPr>
            <w:tcW w:w="624" w:type="dxa"/>
            <w:tcBorders>
              <w:top w:val="nil"/>
              <w:left w:val="nil"/>
              <w:bottom w:val="single" w:sz="8" w:space="0" w:color="DCDDDE"/>
              <w:right w:val="nil"/>
            </w:tcBorders>
            <w:shd w:val="clear" w:color="000000" w:fill="FFFFFF"/>
            <w:noWrap/>
            <w:vAlign w:val="center"/>
            <w:hideMark/>
          </w:tcPr>
          <w:p w14:paraId="53E667F5"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961.1</w:t>
            </w:r>
          </w:p>
        </w:tc>
        <w:tc>
          <w:tcPr>
            <w:tcW w:w="624" w:type="dxa"/>
            <w:tcBorders>
              <w:top w:val="nil"/>
              <w:left w:val="nil"/>
              <w:bottom w:val="single" w:sz="8" w:space="0" w:color="DCDDDE"/>
              <w:right w:val="nil"/>
            </w:tcBorders>
            <w:shd w:val="clear" w:color="000000" w:fill="FFFFFF"/>
            <w:noWrap/>
            <w:vAlign w:val="center"/>
            <w:hideMark/>
          </w:tcPr>
          <w:p w14:paraId="492EF7DF"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952.8</w:t>
            </w:r>
          </w:p>
        </w:tc>
        <w:tc>
          <w:tcPr>
            <w:tcW w:w="624" w:type="dxa"/>
            <w:tcBorders>
              <w:top w:val="nil"/>
              <w:left w:val="nil"/>
              <w:bottom w:val="single" w:sz="8" w:space="0" w:color="DCDDDE"/>
              <w:right w:val="nil"/>
            </w:tcBorders>
            <w:shd w:val="clear" w:color="000000" w:fill="FFFFFF"/>
            <w:noWrap/>
            <w:vAlign w:val="center"/>
            <w:hideMark/>
          </w:tcPr>
          <w:p w14:paraId="29E805FF"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955.2</w:t>
            </w:r>
          </w:p>
        </w:tc>
        <w:tc>
          <w:tcPr>
            <w:tcW w:w="624" w:type="dxa"/>
            <w:tcBorders>
              <w:top w:val="nil"/>
              <w:left w:val="nil"/>
              <w:bottom w:val="single" w:sz="8" w:space="0" w:color="DCDDDE"/>
              <w:right w:val="nil"/>
            </w:tcBorders>
            <w:shd w:val="clear" w:color="000000" w:fill="FFFFFF"/>
            <w:noWrap/>
            <w:vAlign w:val="center"/>
            <w:hideMark/>
          </w:tcPr>
          <w:p w14:paraId="453AD543"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949.1</w:t>
            </w:r>
          </w:p>
        </w:tc>
        <w:tc>
          <w:tcPr>
            <w:tcW w:w="624" w:type="dxa"/>
            <w:tcBorders>
              <w:top w:val="nil"/>
              <w:left w:val="nil"/>
              <w:bottom w:val="single" w:sz="8" w:space="0" w:color="DCDDDE"/>
              <w:right w:val="nil"/>
            </w:tcBorders>
            <w:shd w:val="clear" w:color="000000" w:fill="FFFFFF"/>
            <w:noWrap/>
            <w:vAlign w:val="center"/>
            <w:hideMark/>
          </w:tcPr>
          <w:p w14:paraId="7D144C12"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953.8</w:t>
            </w:r>
          </w:p>
        </w:tc>
        <w:tc>
          <w:tcPr>
            <w:tcW w:w="624" w:type="dxa"/>
            <w:tcBorders>
              <w:top w:val="nil"/>
              <w:left w:val="nil"/>
              <w:bottom w:val="single" w:sz="8" w:space="0" w:color="DCDDDE"/>
              <w:right w:val="nil"/>
            </w:tcBorders>
            <w:shd w:val="clear" w:color="000000" w:fill="FFFFFF"/>
            <w:noWrap/>
            <w:vAlign w:val="center"/>
            <w:hideMark/>
          </w:tcPr>
          <w:p w14:paraId="0EB73B7D"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949.1</w:t>
            </w:r>
          </w:p>
        </w:tc>
        <w:tc>
          <w:tcPr>
            <w:tcW w:w="624" w:type="dxa"/>
            <w:tcBorders>
              <w:top w:val="nil"/>
              <w:left w:val="nil"/>
              <w:bottom w:val="single" w:sz="8" w:space="0" w:color="DCDDDE"/>
              <w:right w:val="nil"/>
            </w:tcBorders>
            <w:shd w:val="clear" w:color="000000" w:fill="FFFFFF"/>
            <w:noWrap/>
            <w:vAlign w:val="center"/>
            <w:hideMark/>
          </w:tcPr>
          <w:p w14:paraId="2671E215"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934.6</w:t>
            </w:r>
          </w:p>
        </w:tc>
        <w:tc>
          <w:tcPr>
            <w:tcW w:w="624" w:type="dxa"/>
            <w:tcBorders>
              <w:top w:val="nil"/>
              <w:left w:val="nil"/>
              <w:bottom w:val="single" w:sz="8" w:space="0" w:color="DCDDDE"/>
              <w:right w:val="nil"/>
            </w:tcBorders>
            <w:shd w:val="clear" w:color="000000" w:fill="FFFFFF"/>
            <w:noWrap/>
            <w:vAlign w:val="center"/>
            <w:hideMark/>
          </w:tcPr>
          <w:p w14:paraId="79FB17E4" w14:textId="77777777" w:rsidR="00A25F1A" w:rsidRPr="00A25F1A" w:rsidRDefault="00A25F1A" w:rsidP="00A25F1A">
            <w:pPr>
              <w:spacing w:line="240" w:lineRule="auto"/>
              <w:jc w:val="right"/>
              <w:rPr>
                <w:rFonts w:ascii="Arial Narrow" w:hAnsi="Arial Narrow" w:cs="Calibri"/>
                <w:b/>
                <w:bCs/>
                <w:sz w:val="18"/>
                <w:szCs w:val="18"/>
              </w:rPr>
            </w:pPr>
            <w:r w:rsidRPr="00A25F1A">
              <w:rPr>
                <w:rFonts w:ascii="Arial Narrow" w:hAnsi="Arial Narrow" w:cs="Calibri"/>
                <w:b/>
                <w:bCs/>
                <w:sz w:val="18"/>
                <w:szCs w:val="18"/>
              </w:rPr>
              <w:t>921.6</w:t>
            </w:r>
          </w:p>
        </w:tc>
      </w:tr>
    </w:tbl>
    <w:p w14:paraId="250D019F" w14:textId="24BA1F33" w:rsidR="00A25F1A" w:rsidRDefault="00A25F1A" w:rsidP="00A25F1A"/>
    <w:p w14:paraId="134BBBF9" w14:textId="77777777" w:rsidR="00A25F1A" w:rsidRPr="00A25F1A" w:rsidRDefault="00A25F1A" w:rsidP="00A25F1A"/>
    <w:p w14:paraId="0F7BCF4E" w14:textId="77777777" w:rsidR="00A25F1A" w:rsidRPr="00C25BCB" w:rsidRDefault="00A25F1A" w:rsidP="00A25F1A"/>
    <w:p w14:paraId="22F22AA3" w14:textId="1495A1EA" w:rsidR="00C25BCB" w:rsidRDefault="00C25BCB" w:rsidP="00C25BCB">
      <w:pPr>
        <w:pStyle w:val="Caption"/>
      </w:pPr>
      <w:bookmarkStart w:id="750" w:name="_Toc485125691"/>
      <w:r>
        <w:lastRenderedPageBreak/>
        <w:t xml:space="preserve">Table </w:t>
      </w:r>
      <w:r w:rsidR="00272F76">
        <w:fldChar w:fldCharType="begin"/>
      </w:r>
      <w:r w:rsidR="00272F76">
        <w:instrText xml:space="preserve"> STYLEREF 1 \s </w:instrText>
      </w:r>
      <w:r w:rsidR="00272F76">
        <w:fldChar w:fldCharType="separate"/>
      </w:r>
      <w:r w:rsidR="00A25F1A">
        <w:rPr>
          <w:noProof/>
        </w:rPr>
        <w:t>4</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A25F1A">
        <w:rPr>
          <w:noProof/>
        </w:rPr>
        <w:t>3</w:t>
      </w:r>
      <w:r w:rsidR="00272F76">
        <w:rPr>
          <w:noProof/>
        </w:rPr>
        <w:fldChar w:fldCharType="end"/>
      </w:r>
      <w:r>
        <w:t>. Statewide Incremental Gas Savings by Scenario</w:t>
      </w:r>
      <w:bookmarkEnd w:id="750"/>
    </w:p>
    <w:tbl>
      <w:tblPr>
        <w:tblStyle w:val="EnergyTable1"/>
        <w:tblW w:w="9483" w:type="dxa"/>
        <w:tblLook w:val="04A0" w:firstRow="1" w:lastRow="0" w:firstColumn="1" w:lastColumn="0" w:noHBand="0" w:noVBand="1"/>
      </w:tblPr>
      <w:tblGrid>
        <w:gridCol w:w="1252"/>
        <w:gridCol w:w="581"/>
        <w:gridCol w:w="581"/>
        <w:gridCol w:w="642"/>
        <w:gridCol w:w="642"/>
        <w:gridCol w:w="641"/>
        <w:gridCol w:w="641"/>
        <w:gridCol w:w="641"/>
        <w:gridCol w:w="641"/>
        <w:gridCol w:w="641"/>
        <w:gridCol w:w="641"/>
        <w:gridCol w:w="641"/>
        <w:gridCol w:w="641"/>
        <w:gridCol w:w="646"/>
        <w:gridCol w:w="11"/>
      </w:tblGrid>
      <w:tr w:rsidR="00C961E4" w:rsidRPr="00C961E4" w14:paraId="0E6599FA" w14:textId="77777777" w:rsidTr="00C961E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83" w:type="dxa"/>
            <w:gridSpan w:val="15"/>
            <w:noWrap/>
            <w:hideMark/>
          </w:tcPr>
          <w:p w14:paraId="3F5A8323" w14:textId="77777777" w:rsidR="00C961E4" w:rsidRPr="00C961E4" w:rsidRDefault="00C961E4" w:rsidP="00C961E4">
            <w:pPr>
              <w:spacing w:line="240" w:lineRule="auto"/>
              <w:rPr>
                <w:rFonts w:ascii="Arial Narrow" w:hAnsi="Arial Narrow" w:cs="Calibri"/>
                <w:bCs/>
                <w:sz w:val="18"/>
                <w:szCs w:val="18"/>
              </w:rPr>
            </w:pPr>
            <w:r w:rsidRPr="00C961E4">
              <w:rPr>
                <w:rFonts w:ascii="Arial Narrow" w:hAnsi="Arial Narrow" w:cs="Calibri"/>
                <w:bCs/>
                <w:sz w:val="18"/>
                <w:szCs w:val="18"/>
              </w:rPr>
              <w:t>Gas Energy (MMTherm/year)</w:t>
            </w:r>
          </w:p>
        </w:tc>
      </w:tr>
      <w:tr w:rsidR="00C961E4" w:rsidRPr="00C961E4" w14:paraId="12951CF7"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6AD0D180"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Year</w:t>
            </w:r>
          </w:p>
        </w:tc>
        <w:tc>
          <w:tcPr>
            <w:tcW w:w="581" w:type="dxa"/>
            <w:noWrap/>
            <w:hideMark/>
          </w:tcPr>
          <w:p w14:paraId="680218DA"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2018</w:t>
            </w:r>
          </w:p>
        </w:tc>
        <w:tc>
          <w:tcPr>
            <w:tcW w:w="581" w:type="dxa"/>
            <w:noWrap/>
            <w:hideMark/>
          </w:tcPr>
          <w:p w14:paraId="33805F0E"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2019</w:t>
            </w:r>
          </w:p>
        </w:tc>
        <w:tc>
          <w:tcPr>
            <w:tcW w:w="642" w:type="dxa"/>
            <w:noWrap/>
            <w:hideMark/>
          </w:tcPr>
          <w:p w14:paraId="5ECB593A"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2020</w:t>
            </w:r>
          </w:p>
        </w:tc>
        <w:tc>
          <w:tcPr>
            <w:tcW w:w="642" w:type="dxa"/>
            <w:noWrap/>
            <w:hideMark/>
          </w:tcPr>
          <w:p w14:paraId="3A2AE84D"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2021</w:t>
            </w:r>
          </w:p>
        </w:tc>
        <w:tc>
          <w:tcPr>
            <w:tcW w:w="641" w:type="dxa"/>
            <w:noWrap/>
            <w:hideMark/>
          </w:tcPr>
          <w:p w14:paraId="1B1EB0D6"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2022</w:t>
            </w:r>
          </w:p>
        </w:tc>
        <w:tc>
          <w:tcPr>
            <w:tcW w:w="641" w:type="dxa"/>
            <w:noWrap/>
            <w:hideMark/>
          </w:tcPr>
          <w:p w14:paraId="0372B393"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2023</w:t>
            </w:r>
          </w:p>
        </w:tc>
        <w:tc>
          <w:tcPr>
            <w:tcW w:w="641" w:type="dxa"/>
            <w:noWrap/>
            <w:hideMark/>
          </w:tcPr>
          <w:p w14:paraId="625FB9DC"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2024</w:t>
            </w:r>
          </w:p>
        </w:tc>
        <w:tc>
          <w:tcPr>
            <w:tcW w:w="641" w:type="dxa"/>
            <w:noWrap/>
            <w:hideMark/>
          </w:tcPr>
          <w:p w14:paraId="0D6A1440"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2025</w:t>
            </w:r>
          </w:p>
        </w:tc>
        <w:tc>
          <w:tcPr>
            <w:tcW w:w="641" w:type="dxa"/>
            <w:noWrap/>
            <w:hideMark/>
          </w:tcPr>
          <w:p w14:paraId="3997A13C"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2026</w:t>
            </w:r>
          </w:p>
        </w:tc>
        <w:tc>
          <w:tcPr>
            <w:tcW w:w="641" w:type="dxa"/>
            <w:noWrap/>
            <w:hideMark/>
          </w:tcPr>
          <w:p w14:paraId="0911474D"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2027</w:t>
            </w:r>
          </w:p>
        </w:tc>
        <w:tc>
          <w:tcPr>
            <w:tcW w:w="641" w:type="dxa"/>
            <w:noWrap/>
            <w:hideMark/>
          </w:tcPr>
          <w:p w14:paraId="76E919E7"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2028</w:t>
            </w:r>
          </w:p>
        </w:tc>
        <w:tc>
          <w:tcPr>
            <w:tcW w:w="641" w:type="dxa"/>
            <w:noWrap/>
            <w:hideMark/>
          </w:tcPr>
          <w:p w14:paraId="6793B750"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2029</w:t>
            </w:r>
          </w:p>
        </w:tc>
        <w:tc>
          <w:tcPr>
            <w:tcW w:w="646" w:type="dxa"/>
            <w:noWrap/>
            <w:hideMark/>
          </w:tcPr>
          <w:p w14:paraId="28EC76C5" w14:textId="77777777" w:rsidR="00C961E4" w:rsidRPr="00C961E4" w:rsidRDefault="00C961E4" w:rsidP="00C961E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2030</w:t>
            </w:r>
          </w:p>
        </w:tc>
      </w:tr>
      <w:tr w:rsidR="00C961E4" w:rsidRPr="00C961E4" w14:paraId="6ED670DF" w14:textId="77777777" w:rsidTr="00C961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83" w:type="dxa"/>
            <w:gridSpan w:val="15"/>
            <w:shd w:val="clear" w:color="auto" w:fill="DADADA" w:themeFill="background2" w:themeFillShade="E6"/>
            <w:noWrap/>
            <w:hideMark/>
          </w:tcPr>
          <w:p w14:paraId="7D84E873"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TRC | Reference</w:t>
            </w:r>
          </w:p>
        </w:tc>
      </w:tr>
      <w:tr w:rsidR="00C961E4" w:rsidRPr="00C961E4" w14:paraId="32B0A603"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33B506D6"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Rebate Programs</w:t>
            </w:r>
          </w:p>
        </w:tc>
        <w:tc>
          <w:tcPr>
            <w:tcW w:w="581" w:type="dxa"/>
            <w:noWrap/>
            <w:hideMark/>
          </w:tcPr>
          <w:p w14:paraId="42D401E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19.8</w:t>
            </w:r>
          </w:p>
        </w:tc>
        <w:tc>
          <w:tcPr>
            <w:tcW w:w="581" w:type="dxa"/>
            <w:noWrap/>
            <w:hideMark/>
          </w:tcPr>
          <w:p w14:paraId="5A59E3A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20.2</w:t>
            </w:r>
          </w:p>
        </w:tc>
        <w:tc>
          <w:tcPr>
            <w:tcW w:w="642" w:type="dxa"/>
            <w:noWrap/>
            <w:hideMark/>
          </w:tcPr>
          <w:p w14:paraId="457FEE6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17.8</w:t>
            </w:r>
          </w:p>
        </w:tc>
        <w:tc>
          <w:tcPr>
            <w:tcW w:w="642" w:type="dxa"/>
            <w:noWrap/>
            <w:hideMark/>
          </w:tcPr>
          <w:p w14:paraId="57EA236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21.2</w:t>
            </w:r>
          </w:p>
        </w:tc>
        <w:tc>
          <w:tcPr>
            <w:tcW w:w="641" w:type="dxa"/>
            <w:noWrap/>
            <w:hideMark/>
          </w:tcPr>
          <w:p w14:paraId="4C5E4BB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22.5</w:t>
            </w:r>
          </w:p>
        </w:tc>
        <w:tc>
          <w:tcPr>
            <w:tcW w:w="641" w:type="dxa"/>
            <w:noWrap/>
            <w:hideMark/>
          </w:tcPr>
          <w:p w14:paraId="588C798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22.9</w:t>
            </w:r>
          </w:p>
        </w:tc>
        <w:tc>
          <w:tcPr>
            <w:tcW w:w="641" w:type="dxa"/>
            <w:noWrap/>
            <w:hideMark/>
          </w:tcPr>
          <w:p w14:paraId="201E66F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22.0</w:t>
            </w:r>
          </w:p>
        </w:tc>
        <w:tc>
          <w:tcPr>
            <w:tcW w:w="641" w:type="dxa"/>
            <w:noWrap/>
            <w:hideMark/>
          </w:tcPr>
          <w:p w14:paraId="4961CDE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23.2</w:t>
            </w:r>
          </w:p>
        </w:tc>
        <w:tc>
          <w:tcPr>
            <w:tcW w:w="641" w:type="dxa"/>
            <w:noWrap/>
            <w:hideMark/>
          </w:tcPr>
          <w:p w14:paraId="4825EB0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24.6</w:t>
            </w:r>
          </w:p>
        </w:tc>
        <w:tc>
          <w:tcPr>
            <w:tcW w:w="641" w:type="dxa"/>
            <w:noWrap/>
            <w:hideMark/>
          </w:tcPr>
          <w:p w14:paraId="71B5E43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24.4</w:t>
            </w:r>
          </w:p>
        </w:tc>
        <w:tc>
          <w:tcPr>
            <w:tcW w:w="641" w:type="dxa"/>
            <w:noWrap/>
            <w:hideMark/>
          </w:tcPr>
          <w:p w14:paraId="6A005A0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24.6</w:t>
            </w:r>
          </w:p>
        </w:tc>
        <w:tc>
          <w:tcPr>
            <w:tcW w:w="641" w:type="dxa"/>
            <w:noWrap/>
            <w:hideMark/>
          </w:tcPr>
          <w:p w14:paraId="2A89E4B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24.9</w:t>
            </w:r>
          </w:p>
        </w:tc>
        <w:tc>
          <w:tcPr>
            <w:tcW w:w="646" w:type="dxa"/>
            <w:noWrap/>
            <w:hideMark/>
          </w:tcPr>
          <w:p w14:paraId="0717AF6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25.8</w:t>
            </w:r>
          </w:p>
        </w:tc>
      </w:tr>
      <w:tr w:rsidR="00C961E4" w:rsidRPr="00C961E4" w14:paraId="31BB7930"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3DDD7F48"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C&amp;S*</w:t>
            </w:r>
          </w:p>
        </w:tc>
        <w:tc>
          <w:tcPr>
            <w:tcW w:w="581" w:type="dxa"/>
            <w:noWrap/>
            <w:hideMark/>
          </w:tcPr>
          <w:p w14:paraId="7568BDD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581" w:type="dxa"/>
            <w:noWrap/>
            <w:hideMark/>
          </w:tcPr>
          <w:p w14:paraId="4E48461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642" w:type="dxa"/>
            <w:noWrap/>
            <w:hideMark/>
          </w:tcPr>
          <w:p w14:paraId="45B5976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46.3</w:t>
            </w:r>
          </w:p>
        </w:tc>
        <w:tc>
          <w:tcPr>
            <w:tcW w:w="642" w:type="dxa"/>
            <w:noWrap/>
            <w:hideMark/>
          </w:tcPr>
          <w:p w14:paraId="627F1DD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54.0</w:t>
            </w:r>
          </w:p>
        </w:tc>
        <w:tc>
          <w:tcPr>
            <w:tcW w:w="641" w:type="dxa"/>
            <w:noWrap/>
            <w:hideMark/>
          </w:tcPr>
          <w:p w14:paraId="41A8BAD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54.2</w:t>
            </w:r>
          </w:p>
        </w:tc>
        <w:tc>
          <w:tcPr>
            <w:tcW w:w="641" w:type="dxa"/>
            <w:noWrap/>
            <w:hideMark/>
          </w:tcPr>
          <w:p w14:paraId="0115907F"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3355144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61F8C8B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54.5</w:t>
            </w:r>
          </w:p>
        </w:tc>
        <w:tc>
          <w:tcPr>
            <w:tcW w:w="641" w:type="dxa"/>
            <w:noWrap/>
            <w:hideMark/>
          </w:tcPr>
          <w:p w14:paraId="20389AF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41.5</w:t>
            </w:r>
          </w:p>
        </w:tc>
        <w:tc>
          <w:tcPr>
            <w:tcW w:w="641" w:type="dxa"/>
            <w:noWrap/>
            <w:hideMark/>
          </w:tcPr>
          <w:p w14:paraId="369DB160"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38.0</w:t>
            </w:r>
          </w:p>
        </w:tc>
        <w:tc>
          <w:tcPr>
            <w:tcW w:w="641" w:type="dxa"/>
            <w:noWrap/>
            <w:hideMark/>
          </w:tcPr>
          <w:p w14:paraId="5AAA79D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38.2</w:t>
            </w:r>
          </w:p>
        </w:tc>
        <w:tc>
          <w:tcPr>
            <w:tcW w:w="641" w:type="dxa"/>
            <w:noWrap/>
            <w:hideMark/>
          </w:tcPr>
          <w:p w14:paraId="59109E91"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38.7</w:t>
            </w:r>
          </w:p>
        </w:tc>
        <w:tc>
          <w:tcPr>
            <w:tcW w:w="646" w:type="dxa"/>
            <w:noWrap/>
            <w:hideMark/>
          </w:tcPr>
          <w:p w14:paraId="6DA017B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39.2</w:t>
            </w:r>
          </w:p>
        </w:tc>
      </w:tr>
      <w:tr w:rsidR="00C961E4" w:rsidRPr="00C961E4" w14:paraId="18C18FB8"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002503E1"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BROs</w:t>
            </w:r>
          </w:p>
        </w:tc>
        <w:tc>
          <w:tcPr>
            <w:tcW w:w="581" w:type="dxa"/>
            <w:noWrap/>
            <w:hideMark/>
          </w:tcPr>
          <w:p w14:paraId="27126F4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12.0</w:t>
            </w:r>
          </w:p>
        </w:tc>
        <w:tc>
          <w:tcPr>
            <w:tcW w:w="581" w:type="dxa"/>
            <w:noWrap/>
            <w:hideMark/>
          </w:tcPr>
          <w:p w14:paraId="09430A6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13.4</w:t>
            </w:r>
          </w:p>
        </w:tc>
        <w:tc>
          <w:tcPr>
            <w:tcW w:w="642" w:type="dxa"/>
            <w:noWrap/>
            <w:hideMark/>
          </w:tcPr>
          <w:p w14:paraId="6BF1CD1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14.4</w:t>
            </w:r>
          </w:p>
        </w:tc>
        <w:tc>
          <w:tcPr>
            <w:tcW w:w="642" w:type="dxa"/>
            <w:noWrap/>
            <w:hideMark/>
          </w:tcPr>
          <w:p w14:paraId="3656628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15.4</w:t>
            </w:r>
          </w:p>
        </w:tc>
        <w:tc>
          <w:tcPr>
            <w:tcW w:w="641" w:type="dxa"/>
            <w:noWrap/>
            <w:hideMark/>
          </w:tcPr>
          <w:p w14:paraId="2B0F515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16.2</w:t>
            </w:r>
          </w:p>
        </w:tc>
        <w:tc>
          <w:tcPr>
            <w:tcW w:w="641" w:type="dxa"/>
            <w:noWrap/>
            <w:hideMark/>
          </w:tcPr>
          <w:p w14:paraId="05AFCD6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16.9</w:t>
            </w:r>
          </w:p>
        </w:tc>
        <w:tc>
          <w:tcPr>
            <w:tcW w:w="641" w:type="dxa"/>
            <w:noWrap/>
            <w:hideMark/>
          </w:tcPr>
          <w:p w14:paraId="4467794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17.7</w:t>
            </w:r>
          </w:p>
        </w:tc>
        <w:tc>
          <w:tcPr>
            <w:tcW w:w="641" w:type="dxa"/>
            <w:noWrap/>
            <w:hideMark/>
          </w:tcPr>
          <w:p w14:paraId="50A46D9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18.5</w:t>
            </w:r>
          </w:p>
        </w:tc>
        <w:tc>
          <w:tcPr>
            <w:tcW w:w="641" w:type="dxa"/>
            <w:noWrap/>
            <w:hideMark/>
          </w:tcPr>
          <w:p w14:paraId="4F0DEB3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19.4</w:t>
            </w:r>
          </w:p>
        </w:tc>
        <w:tc>
          <w:tcPr>
            <w:tcW w:w="641" w:type="dxa"/>
            <w:noWrap/>
            <w:hideMark/>
          </w:tcPr>
          <w:p w14:paraId="6404716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20.3</w:t>
            </w:r>
          </w:p>
        </w:tc>
        <w:tc>
          <w:tcPr>
            <w:tcW w:w="641" w:type="dxa"/>
            <w:noWrap/>
            <w:hideMark/>
          </w:tcPr>
          <w:p w14:paraId="197F0B2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21.3</w:t>
            </w:r>
          </w:p>
        </w:tc>
        <w:tc>
          <w:tcPr>
            <w:tcW w:w="641" w:type="dxa"/>
            <w:noWrap/>
            <w:hideMark/>
          </w:tcPr>
          <w:p w14:paraId="39DCB53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22.3</w:t>
            </w:r>
          </w:p>
        </w:tc>
        <w:tc>
          <w:tcPr>
            <w:tcW w:w="646" w:type="dxa"/>
            <w:noWrap/>
            <w:hideMark/>
          </w:tcPr>
          <w:p w14:paraId="63218A3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23.4</w:t>
            </w:r>
          </w:p>
        </w:tc>
      </w:tr>
      <w:tr w:rsidR="00C961E4" w:rsidRPr="00C961E4" w14:paraId="175C5F27"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54B350D9"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Low Income</w:t>
            </w:r>
          </w:p>
        </w:tc>
        <w:tc>
          <w:tcPr>
            <w:tcW w:w="581" w:type="dxa"/>
            <w:noWrap/>
            <w:hideMark/>
          </w:tcPr>
          <w:p w14:paraId="7E3167D9"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5.7</w:t>
            </w:r>
          </w:p>
        </w:tc>
        <w:tc>
          <w:tcPr>
            <w:tcW w:w="581" w:type="dxa"/>
            <w:noWrap/>
            <w:hideMark/>
          </w:tcPr>
          <w:p w14:paraId="4869F9E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6.0</w:t>
            </w:r>
          </w:p>
        </w:tc>
        <w:tc>
          <w:tcPr>
            <w:tcW w:w="642" w:type="dxa"/>
            <w:noWrap/>
            <w:hideMark/>
          </w:tcPr>
          <w:p w14:paraId="24A5C9F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6.2</w:t>
            </w:r>
          </w:p>
        </w:tc>
        <w:tc>
          <w:tcPr>
            <w:tcW w:w="642" w:type="dxa"/>
            <w:noWrap/>
            <w:hideMark/>
          </w:tcPr>
          <w:p w14:paraId="0741226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8D0B86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2A4041F5"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7E2F205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70F9206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205D8F4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404F3C2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3AC2E94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27C051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6" w:type="dxa"/>
            <w:noWrap/>
            <w:hideMark/>
          </w:tcPr>
          <w:p w14:paraId="4ADCE57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r>
      <w:tr w:rsidR="00C961E4" w:rsidRPr="00C961E4" w14:paraId="10A3767D"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4DBB08E0"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Total</w:t>
            </w:r>
          </w:p>
        </w:tc>
        <w:tc>
          <w:tcPr>
            <w:tcW w:w="581" w:type="dxa"/>
            <w:noWrap/>
            <w:hideMark/>
          </w:tcPr>
          <w:p w14:paraId="1B504B9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73.8</w:t>
            </w:r>
          </w:p>
        </w:tc>
        <w:tc>
          <w:tcPr>
            <w:tcW w:w="581" w:type="dxa"/>
            <w:noWrap/>
            <w:hideMark/>
          </w:tcPr>
          <w:p w14:paraId="727003D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75.9</w:t>
            </w:r>
          </w:p>
        </w:tc>
        <w:tc>
          <w:tcPr>
            <w:tcW w:w="642" w:type="dxa"/>
            <w:noWrap/>
            <w:hideMark/>
          </w:tcPr>
          <w:p w14:paraId="4E504D3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84.6</w:t>
            </w:r>
          </w:p>
        </w:tc>
        <w:tc>
          <w:tcPr>
            <w:tcW w:w="642" w:type="dxa"/>
            <w:noWrap/>
            <w:hideMark/>
          </w:tcPr>
          <w:p w14:paraId="79AEDF1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95.5</w:t>
            </w:r>
          </w:p>
        </w:tc>
        <w:tc>
          <w:tcPr>
            <w:tcW w:w="641" w:type="dxa"/>
            <w:noWrap/>
            <w:hideMark/>
          </w:tcPr>
          <w:p w14:paraId="44B06FD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97.9</w:t>
            </w:r>
          </w:p>
        </w:tc>
        <w:tc>
          <w:tcPr>
            <w:tcW w:w="641" w:type="dxa"/>
            <w:noWrap/>
            <w:hideMark/>
          </w:tcPr>
          <w:p w14:paraId="3FBF248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99.5</w:t>
            </w:r>
          </w:p>
        </w:tc>
        <w:tc>
          <w:tcPr>
            <w:tcW w:w="641" w:type="dxa"/>
            <w:noWrap/>
            <w:hideMark/>
          </w:tcPr>
          <w:p w14:paraId="22E858C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99.4</w:t>
            </w:r>
          </w:p>
        </w:tc>
        <w:tc>
          <w:tcPr>
            <w:tcW w:w="641" w:type="dxa"/>
            <w:noWrap/>
            <w:hideMark/>
          </w:tcPr>
          <w:p w14:paraId="46A3BEE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101.3</w:t>
            </w:r>
          </w:p>
        </w:tc>
        <w:tc>
          <w:tcPr>
            <w:tcW w:w="641" w:type="dxa"/>
            <w:noWrap/>
            <w:hideMark/>
          </w:tcPr>
          <w:p w14:paraId="12DFD5F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90.5</w:t>
            </w:r>
          </w:p>
        </w:tc>
        <w:tc>
          <w:tcPr>
            <w:tcW w:w="641" w:type="dxa"/>
            <w:noWrap/>
            <w:hideMark/>
          </w:tcPr>
          <w:p w14:paraId="301F94E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87.8</w:t>
            </w:r>
          </w:p>
        </w:tc>
        <w:tc>
          <w:tcPr>
            <w:tcW w:w="641" w:type="dxa"/>
            <w:noWrap/>
            <w:hideMark/>
          </w:tcPr>
          <w:p w14:paraId="46A15D8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89.2</w:t>
            </w:r>
          </w:p>
        </w:tc>
        <w:tc>
          <w:tcPr>
            <w:tcW w:w="641" w:type="dxa"/>
            <w:noWrap/>
            <w:hideMark/>
          </w:tcPr>
          <w:p w14:paraId="378CFF0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91.0</w:t>
            </w:r>
          </w:p>
        </w:tc>
        <w:tc>
          <w:tcPr>
            <w:tcW w:w="646" w:type="dxa"/>
            <w:noWrap/>
            <w:hideMark/>
          </w:tcPr>
          <w:p w14:paraId="3721396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93.5</w:t>
            </w:r>
          </w:p>
        </w:tc>
      </w:tr>
      <w:tr w:rsidR="00C961E4" w:rsidRPr="00C961E4" w14:paraId="6C2666CF" w14:textId="77777777" w:rsidTr="00C961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83" w:type="dxa"/>
            <w:gridSpan w:val="15"/>
            <w:shd w:val="clear" w:color="auto" w:fill="DADADA" w:themeFill="background2" w:themeFillShade="E6"/>
            <w:noWrap/>
            <w:hideMark/>
          </w:tcPr>
          <w:p w14:paraId="6A0565FC"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 xml:space="preserve">mTRC (GHG </w:t>
            </w:r>
            <w:r w:rsidRPr="00C961E4">
              <w:rPr>
                <w:rFonts w:ascii="Arial Narrow" w:hAnsi="Arial Narrow" w:cs="Calibri"/>
                <w:b/>
                <w:bCs/>
                <w:sz w:val="18"/>
                <w:szCs w:val="18"/>
                <w:shd w:val="clear" w:color="auto" w:fill="DADADA" w:themeFill="background2" w:themeFillShade="E6"/>
              </w:rPr>
              <w:t>adder</w:t>
            </w:r>
            <w:r w:rsidRPr="00C961E4">
              <w:rPr>
                <w:rFonts w:ascii="Arial Narrow" w:hAnsi="Arial Narrow" w:cs="Calibri"/>
                <w:b/>
                <w:bCs/>
                <w:sz w:val="18"/>
                <w:szCs w:val="18"/>
              </w:rPr>
              <w:t xml:space="preserve"> 1) | Reference</w:t>
            </w:r>
          </w:p>
        </w:tc>
      </w:tr>
      <w:tr w:rsidR="00C961E4" w:rsidRPr="00C961E4" w14:paraId="4CB209C9"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1843137B"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Rebate Programs</w:t>
            </w:r>
          </w:p>
        </w:tc>
        <w:tc>
          <w:tcPr>
            <w:tcW w:w="581" w:type="dxa"/>
            <w:noWrap/>
            <w:hideMark/>
          </w:tcPr>
          <w:p w14:paraId="604F07F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25.4</w:t>
            </w:r>
          </w:p>
        </w:tc>
        <w:tc>
          <w:tcPr>
            <w:tcW w:w="581" w:type="dxa"/>
            <w:noWrap/>
            <w:hideMark/>
          </w:tcPr>
          <w:p w14:paraId="52F13DA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26.4</w:t>
            </w:r>
          </w:p>
        </w:tc>
        <w:tc>
          <w:tcPr>
            <w:tcW w:w="642" w:type="dxa"/>
            <w:noWrap/>
            <w:hideMark/>
          </w:tcPr>
          <w:p w14:paraId="0BD664D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23.9</w:t>
            </w:r>
          </w:p>
        </w:tc>
        <w:tc>
          <w:tcPr>
            <w:tcW w:w="642" w:type="dxa"/>
            <w:noWrap/>
            <w:hideMark/>
          </w:tcPr>
          <w:p w14:paraId="3AE66E2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27.2</w:t>
            </w:r>
          </w:p>
        </w:tc>
        <w:tc>
          <w:tcPr>
            <w:tcW w:w="641" w:type="dxa"/>
            <w:noWrap/>
            <w:hideMark/>
          </w:tcPr>
          <w:p w14:paraId="351CD24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29.5</w:t>
            </w:r>
          </w:p>
        </w:tc>
        <w:tc>
          <w:tcPr>
            <w:tcW w:w="641" w:type="dxa"/>
            <w:noWrap/>
            <w:hideMark/>
          </w:tcPr>
          <w:p w14:paraId="2DBB5D7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33.5</w:t>
            </w:r>
          </w:p>
        </w:tc>
        <w:tc>
          <w:tcPr>
            <w:tcW w:w="641" w:type="dxa"/>
            <w:noWrap/>
            <w:hideMark/>
          </w:tcPr>
          <w:p w14:paraId="07FD3AC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32.4</w:t>
            </w:r>
          </w:p>
        </w:tc>
        <w:tc>
          <w:tcPr>
            <w:tcW w:w="641" w:type="dxa"/>
            <w:noWrap/>
            <w:hideMark/>
          </w:tcPr>
          <w:p w14:paraId="18C4C60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31.2</w:t>
            </w:r>
          </w:p>
        </w:tc>
        <w:tc>
          <w:tcPr>
            <w:tcW w:w="641" w:type="dxa"/>
            <w:noWrap/>
            <w:hideMark/>
          </w:tcPr>
          <w:p w14:paraId="4FECC27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29.4</w:t>
            </w:r>
          </w:p>
        </w:tc>
        <w:tc>
          <w:tcPr>
            <w:tcW w:w="641" w:type="dxa"/>
            <w:noWrap/>
            <w:hideMark/>
          </w:tcPr>
          <w:p w14:paraId="48EC5E1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28.2</w:t>
            </w:r>
          </w:p>
        </w:tc>
        <w:tc>
          <w:tcPr>
            <w:tcW w:w="641" w:type="dxa"/>
            <w:noWrap/>
            <w:hideMark/>
          </w:tcPr>
          <w:p w14:paraId="2EE2678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27.6</w:t>
            </w:r>
          </w:p>
        </w:tc>
        <w:tc>
          <w:tcPr>
            <w:tcW w:w="641" w:type="dxa"/>
            <w:noWrap/>
            <w:hideMark/>
          </w:tcPr>
          <w:p w14:paraId="3EAB8C3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27.3</w:t>
            </w:r>
          </w:p>
        </w:tc>
        <w:tc>
          <w:tcPr>
            <w:tcW w:w="646" w:type="dxa"/>
            <w:noWrap/>
            <w:hideMark/>
          </w:tcPr>
          <w:p w14:paraId="562E63A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28.0</w:t>
            </w:r>
          </w:p>
        </w:tc>
      </w:tr>
      <w:tr w:rsidR="00C961E4" w:rsidRPr="00C961E4" w14:paraId="3FF28086"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652E311E"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C&amp;S*</w:t>
            </w:r>
          </w:p>
        </w:tc>
        <w:tc>
          <w:tcPr>
            <w:tcW w:w="581" w:type="dxa"/>
            <w:noWrap/>
            <w:hideMark/>
          </w:tcPr>
          <w:p w14:paraId="381F489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581" w:type="dxa"/>
            <w:noWrap/>
            <w:hideMark/>
          </w:tcPr>
          <w:p w14:paraId="2330393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642" w:type="dxa"/>
            <w:noWrap/>
            <w:hideMark/>
          </w:tcPr>
          <w:p w14:paraId="0C0F0E6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46.3</w:t>
            </w:r>
          </w:p>
        </w:tc>
        <w:tc>
          <w:tcPr>
            <w:tcW w:w="642" w:type="dxa"/>
            <w:noWrap/>
            <w:hideMark/>
          </w:tcPr>
          <w:p w14:paraId="38A94E9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54.0</w:t>
            </w:r>
          </w:p>
        </w:tc>
        <w:tc>
          <w:tcPr>
            <w:tcW w:w="641" w:type="dxa"/>
            <w:noWrap/>
            <w:hideMark/>
          </w:tcPr>
          <w:p w14:paraId="52385B95"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54.2</w:t>
            </w:r>
          </w:p>
        </w:tc>
        <w:tc>
          <w:tcPr>
            <w:tcW w:w="641" w:type="dxa"/>
            <w:noWrap/>
            <w:hideMark/>
          </w:tcPr>
          <w:p w14:paraId="571E3879"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3D694F8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0C1CB228"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54.5</w:t>
            </w:r>
          </w:p>
        </w:tc>
        <w:tc>
          <w:tcPr>
            <w:tcW w:w="641" w:type="dxa"/>
            <w:noWrap/>
            <w:hideMark/>
          </w:tcPr>
          <w:p w14:paraId="43EB604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41.5</w:t>
            </w:r>
          </w:p>
        </w:tc>
        <w:tc>
          <w:tcPr>
            <w:tcW w:w="641" w:type="dxa"/>
            <w:noWrap/>
            <w:hideMark/>
          </w:tcPr>
          <w:p w14:paraId="37D9630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38.0</w:t>
            </w:r>
          </w:p>
        </w:tc>
        <w:tc>
          <w:tcPr>
            <w:tcW w:w="641" w:type="dxa"/>
            <w:noWrap/>
            <w:hideMark/>
          </w:tcPr>
          <w:p w14:paraId="29B8D83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38.2</w:t>
            </w:r>
          </w:p>
        </w:tc>
        <w:tc>
          <w:tcPr>
            <w:tcW w:w="641" w:type="dxa"/>
            <w:noWrap/>
            <w:hideMark/>
          </w:tcPr>
          <w:p w14:paraId="334B733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38.7</w:t>
            </w:r>
          </w:p>
        </w:tc>
        <w:tc>
          <w:tcPr>
            <w:tcW w:w="646" w:type="dxa"/>
            <w:noWrap/>
            <w:hideMark/>
          </w:tcPr>
          <w:p w14:paraId="708F2E5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39.2</w:t>
            </w:r>
          </w:p>
        </w:tc>
      </w:tr>
      <w:tr w:rsidR="00C961E4" w:rsidRPr="00C961E4" w14:paraId="760E3714"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55396D52"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BROs</w:t>
            </w:r>
          </w:p>
        </w:tc>
        <w:tc>
          <w:tcPr>
            <w:tcW w:w="581" w:type="dxa"/>
            <w:noWrap/>
            <w:hideMark/>
          </w:tcPr>
          <w:p w14:paraId="1723B80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12.0</w:t>
            </w:r>
          </w:p>
        </w:tc>
        <w:tc>
          <w:tcPr>
            <w:tcW w:w="581" w:type="dxa"/>
            <w:noWrap/>
            <w:hideMark/>
          </w:tcPr>
          <w:p w14:paraId="5058E60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13.4</w:t>
            </w:r>
          </w:p>
        </w:tc>
        <w:tc>
          <w:tcPr>
            <w:tcW w:w="642" w:type="dxa"/>
            <w:noWrap/>
            <w:hideMark/>
          </w:tcPr>
          <w:p w14:paraId="7D7E48F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14.4</w:t>
            </w:r>
          </w:p>
        </w:tc>
        <w:tc>
          <w:tcPr>
            <w:tcW w:w="642" w:type="dxa"/>
            <w:noWrap/>
            <w:hideMark/>
          </w:tcPr>
          <w:p w14:paraId="70C1966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15.4</w:t>
            </w:r>
          </w:p>
        </w:tc>
        <w:tc>
          <w:tcPr>
            <w:tcW w:w="641" w:type="dxa"/>
            <w:noWrap/>
            <w:hideMark/>
          </w:tcPr>
          <w:p w14:paraId="4DB2C3B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16.2</w:t>
            </w:r>
          </w:p>
        </w:tc>
        <w:tc>
          <w:tcPr>
            <w:tcW w:w="641" w:type="dxa"/>
            <w:noWrap/>
            <w:hideMark/>
          </w:tcPr>
          <w:p w14:paraId="5E0AC0B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16.9</w:t>
            </w:r>
          </w:p>
        </w:tc>
        <w:tc>
          <w:tcPr>
            <w:tcW w:w="641" w:type="dxa"/>
            <w:noWrap/>
            <w:hideMark/>
          </w:tcPr>
          <w:p w14:paraId="5D8FC44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17.7</w:t>
            </w:r>
          </w:p>
        </w:tc>
        <w:tc>
          <w:tcPr>
            <w:tcW w:w="641" w:type="dxa"/>
            <w:noWrap/>
            <w:hideMark/>
          </w:tcPr>
          <w:p w14:paraId="6F6ADB6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18.5</w:t>
            </w:r>
          </w:p>
        </w:tc>
        <w:tc>
          <w:tcPr>
            <w:tcW w:w="641" w:type="dxa"/>
            <w:noWrap/>
            <w:hideMark/>
          </w:tcPr>
          <w:p w14:paraId="716FA39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19.4</w:t>
            </w:r>
          </w:p>
        </w:tc>
        <w:tc>
          <w:tcPr>
            <w:tcW w:w="641" w:type="dxa"/>
            <w:noWrap/>
            <w:hideMark/>
          </w:tcPr>
          <w:p w14:paraId="62E3689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20.3</w:t>
            </w:r>
          </w:p>
        </w:tc>
        <w:tc>
          <w:tcPr>
            <w:tcW w:w="641" w:type="dxa"/>
            <w:noWrap/>
            <w:hideMark/>
          </w:tcPr>
          <w:p w14:paraId="492F49A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21.3</w:t>
            </w:r>
          </w:p>
        </w:tc>
        <w:tc>
          <w:tcPr>
            <w:tcW w:w="641" w:type="dxa"/>
            <w:noWrap/>
            <w:hideMark/>
          </w:tcPr>
          <w:p w14:paraId="3628A63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22.3</w:t>
            </w:r>
          </w:p>
        </w:tc>
        <w:tc>
          <w:tcPr>
            <w:tcW w:w="646" w:type="dxa"/>
            <w:noWrap/>
            <w:hideMark/>
          </w:tcPr>
          <w:p w14:paraId="507D681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23.4</w:t>
            </w:r>
          </w:p>
        </w:tc>
      </w:tr>
      <w:tr w:rsidR="00C961E4" w:rsidRPr="00C961E4" w14:paraId="12110B98"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1A63F17B"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Low Income</w:t>
            </w:r>
          </w:p>
        </w:tc>
        <w:tc>
          <w:tcPr>
            <w:tcW w:w="581" w:type="dxa"/>
            <w:noWrap/>
            <w:hideMark/>
          </w:tcPr>
          <w:p w14:paraId="0733AED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5.7</w:t>
            </w:r>
          </w:p>
        </w:tc>
        <w:tc>
          <w:tcPr>
            <w:tcW w:w="581" w:type="dxa"/>
            <w:noWrap/>
            <w:hideMark/>
          </w:tcPr>
          <w:p w14:paraId="64C80A15"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6.0</w:t>
            </w:r>
          </w:p>
        </w:tc>
        <w:tc>
          <w:tcPr>
            <w:tcW w:w="642" w:type="dxa"/>
            <w:noWrap/>
            <w:hideMark/>
          </w:tcPr>
          <w:p w14:paraId="6937B180"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6.2</w:t>
            </w:r>
          </w:p>
        </w:tc>
        <w:tc>
          <w:tcPr>
            <w:tcW w:w="642" w:type="dxa"/>
            <w:noWrap/>
            <w:hideMark/>
          </w:tcPr>
          <w:p w14:paraId="18A16E98"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041C70B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21C2E5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1E2A72A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D7C7F1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0C23EE0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96F01C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12A4A9A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20C5A0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6" w:type="dxa"/>
            <w:noWrap/>
            <w:hideMark/>
          </w:tcPr>
          <w:p w14:paraId="3EE5D45F"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r>
      <w:tr w:rsidR="00C961E4" w:rsidRPr="00C961E4" w14:paraId="6211E138"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32F679D8"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Total</w:t>
            </w:r>
          </w:p>
        </w:tc>
        <w:tc>
          <w:tcPr>
            <w:tcW w:w="581" w:type="dxa"/>
            <w:noWrap/>
            <w:hideMark/>
          </w:tcPr>
          <w:p w14:paraId="34AD331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79.4</w:t>
            </w:r>
          </w:p>
        </w:tc>
        <w:tc>
          <w:tcPr>
            <w:tcW w:w="581" w:type="dxa"/>
            <w:noWrap/>
            <w:hideMark/>
          </w:tcPr>
          <w:p w14:paraId="738D576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82.1</w:t>
            </w:r>
          </w:p>
        </w:tc>
        <w:tc>
          <w:tcPr>
            <w:tcW w:w="642" w:type="dxa"/>
            <w:noWrap/>
            <w:hideMark/>
          </w:tcPr>
          <w:p w14:paraId="105F4C7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90.7</w:t>
            </w:r>
          </w:p>
        </w:tc>
        <w:tc>
          <w:tcPr>
            <w:tcW w:w="642" w:type="dxa"/>
            <w:noWrap/>
            <w:hideMark/>
          </w:tcPr>
          <w:p w14:paraId="3305F5E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101.6</w:t>
            </w:r>
          </w:p>
        </w:tc>
        <w:tc>
          <w:tcPr>
            <w:tcW w:w="641" w:type="dxa"/>
            <w:noWrap/>
            <w:hideMark/>
          </w:tcPr>
          <w:p w14:paraId="06B79C5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104.9</w:t>
            </w:r>
          </w:p>
        </w:tc>
        <w:tc>
          <w:tcPr>
            <w:tcW w:w="641" w:type="dxa"/>
            <w:noWrap/>
            <w:hideMark/>
          </w:tcPr>
          <w:p w14:paraId="4CF5DEB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110.1</w:t>
            </w:r>
          </w:p>
        </w:tc>
        <w:tc>
          <w:tcPr>
            <w:tcW w:w="641" w:type="dxa"/>
            <w:noWrap/>
            <w:hideMark/>
          </w:tcPr>
          <w:p w14:paraId="0F6E114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109.8</w:t>
            </w:r>
          </w:p>
        </w:tc>
        <w:tc>
          <w:tcPr>
            <w:tcW w:w="641" w:type="dxa"/>
            <w:noWrap/>
            <w:hideMark/>
          </w:tcPr>
          <w:p w14:paraId="0C98F7B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109.4</w:t>
            </w:r>
          </w:p>
        </w:tc>
        <w:tc>
          <w:tcPr>
            <w:tcW w:w="641" w:type="dxa"/>
            <w:noWrap/>
            <w:hideMark/>
          </w:tcPr>
          <w:p w14:paraId="63638F5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95.4</w:t>
            </w:r>
          </w:p>
        </w:tc>
        <w:tc>
          <w:tcPr>
            <w:tcW w:w="641" w:type="dxa"/>
            <w:noWrap/>
            <w:hideMark/>
          </w:tcPr>
          <w:p w14:paraId="7D7F5D2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91.6</w:t>
            </w:r>
          </w:p>
        </w:tc>
        <w:tc>
          <w:tcPr>
            <w:tcW w:w="641" w:type="dxa"/>
            <w:noWrap/>
            <w:hideMark/>
          </w:tcPr>
          <w:p w14:paraId="1A25FC9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92.2</w:t>
            </w:r>
          </w:p>
        </w:tc>
        <w:tc>
          <w:tcPr>
            <w:tcW w:w="641" w:type="dxa"/>
            <w:noWrap/>
            <w:hideMark/>
          </w:tcPr>
          <w:p w14:paraId="3E56CDC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93.3</w:t>
            </w:r>
          </w:p>
        </w:tc>
        <w:tc>
          <w:tcPr>
            <w:tcW w:w="646" w:type="dxa"/>
            <w:noWrap/>
            <w:hideMark/>
          </w:tcPr>
          <w:p w14:paraId="2321C86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95.7</w:t>
            </w:r>
          </w:p>
        </w:tc>
      </w:tr>
      <w:tr w:rsidR="00C961E4" w:rsidRPr="00C961E4" w14:paraId="306A2F18" w14:textId="77777777" w:rsidTr="00C961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83" w:type="dxa"/>
            <w:gridSpan w:val="15"/>
            <w:shd w:val="clear" w:color="auto" w:fill="DADADA" w:themeFill="background2" w:themeFillShade="E6"/>
            <w:noWrap/>
            <w:hideMark/>
          </w:tcPr>
          <w:p w14:paraId="62FA1E53"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 xml:space="preserve">mTRC (GHG adder 2) </w:t>
            </w:r>
            <w:r w:rsidRPr="00C961E4">
              <w:rPr>
                <w:rFonts w:ascii="Arial Narrow" w:hAnsi="Arial Narrow" w:cs="Calibri"/>
                <w:b/>
                <w:bCs/>
                <w:sz w:val="18"/>
                <w:szCs w:val="18"/>
                <w:shd w:val="clear" w:color="auto" w:fill="DADADA" w:themeFill="background2" w:themeFillShade="E6"/>
              </w:rPr>
              <w:t>|</w:t>
            </w:r>
            <w:r w:rsidRPr="00C961E4">
              <w:rPr>
                <w:rFonts w:ascii="Arial Narrow" w:hAnsi="Arial Narrow" w:cs="Calibri"/>
                <w:b/>
                <w:bCs/>
                <w:sz w:val="18"/>
                <w:szCs w:val="18"/>
              </w:rPr>
              <w:t xml:space="preserve"> Reference</w:t>
            </w:r>
          </w:p>
        </w:tc>
      </w:tr>
      <w:tr w:rsidR="00C961E4" w:rsidRPr="00C961E4" w14:paraId="042933E4"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749D767F"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Rebate Programs</w:t>
            </w:r>
          </w:p>
        </w:tc>
        <w:tc>
          <w:tcPr>
            <w:tcW w:w="581" w:type="dxa"/>
            <w:noWrap/>
            <w:hideMark/>
          </w:tcPr>
          <w:p w14:paraId="57D7CA9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29.2</w:t>
            </w:r>
          </w:p>
        </w:tc>
        <w:tc>
          <w:tcPr>
            <w:tcW w:w="581" w:type="dxa"/>
            <w:noWrap/>
            <w:hideMark/>
          </w:tcPr>
          <w:p w14:paraId="0C84D93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34.4</w:t>
            </w:r>
          </w:p>
        </w:tc>
        <w:tc>
          <w:tcPr>
            <w:tcW w:w="642" w:type="dxa"/>
            <w:noWrap/>
            <w:hideMark/>
          </w:tcPr>
          <w:p w14:paraId="5F8D768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35.9</w:t>
            </w:r>
          </w:p>
        </w:tc>
        <w:tc>
          <w:tcPr>
            <w:tcW w:w="642" w:type="dxa"/>
            <w:noWrap/>
            <w:hideMark/>
          </w:tcPr>
          <w:p w14:paraId="5108322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39.5</w:t>
            </w:r>
          </w:p>
        </w:tc>
        <w:tc>
          <w:tcPr>
            <w:tcW w:w="641" w:type="dxa"/>
            <w:noWrap/>
            <w:hideMark/>
          </w:tcPr>
          <w:p w14:paraId="4279666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39.3</w:t>
            </w:r>
          </w:p>
        </w:tc>
        <w:tc>
          <w:tcPr>
            <w:tcW w:w="641" w:type="dxa"/>
            <w:noWrap/>
            <w:hideMark/>
          </w:tcPr>
          <w:p w14:paraId="465A3B8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43.9</w:t>
            </w:r>
          </w:p>
        </w:tc>
        <w:tc>
          <w:tcPr>
            <w:tcW w:w="641" w:type="dxa"/>
            <w:noWrap/>
            <w:hideMark/>
          </w:tcPr>
          <w:p w14:paraId="0EAAC08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42.2</w:t>
            </w:r>
          </w:p>
        </w:tc>
        <w:tc>
          <w:tcPr>
            <w:tcW w:w="641" w:type="dxa"/>
            <w:noWrap/>
            <w:hideMark/>
          </w:tcPr>
          <w:p w14:paraId="47A7BE2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40.9</w:t>
            </w:r>
          </w:p>
        </w:tc>
        <w:tc>
          <w:tcPr>
            <w:tcW w:w="641" w:type="dxa"/>
            <w:noWrap/>
            <w:hideMark/>
          </w:tcPr>
          <w:p w14:paraId="093694D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39.5</w:t>
            </w:r>
          </w:p>
        </w:tc>
        <w:tc>
          <w:tcPr>
            <w:tcW w:w="641" w:type="dxa"/>
            <w:noWrap/>
            <w:hideMark/>
          </w:tcPr>
          <w:p w14:paraId="0DF9D30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37.6</w:t>
            </w:r>
          </w:p>
        </w:tc>
        <w:tc>
          <w:tcPr>
            <w:tcW w:w="641" w:type="dxa"/>
            <w:noWrap/>
            <w:hideMark/>
          </w:tcPr>
          <w:p w14:paraId="442281B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36.2</w:t>
            </w:r>
          </w:p>
        </w:tc>
        <w:tc>
          <w:tcPr>
            <w:tcW w:w="641" w:type="dxa"/>
            <w:noWrap/>
            <w:hideMark/>
          </w:tcPr>
          <w:p w14:paraId="7AD7748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35.0</w:t>
            </w:r>
          </w:p>
        </w:tc>
        <w:tc>
          <w:tcPr>
            <w:tcW w:w="646" w:type="dxa"/>
            <w:noWrap/>
            <w:hideMark/>
          </w:tcPr>
          <w:p w14:paraId="369EC64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34.5</w:t>
            </w:r>
          </w:p>
        </w:tc>
      </w:tr>
      <w:tr w:rsidR="00C961E4" w:rsidRPr="00C961E4" w14:paraId="2A32329F"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3BB857BE"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C&amp;S*</w:t>
            </w:r>
          </w:p>
        </w:tc>
        <w:tc>
          <w:tcPr>
            <w:tcW w:w="581" w:type="dxa"/>
            <w:noWrap/>
            <w:hideMark/>
          </w:tcPr>
          <w:p w14:paraId="2A0AEA6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581" w:type="dxa"/>
            <w:noWrap/>
            <w:hideMark/>
          </w:tcPr>
          <w:p w14:paraId="7FCFCEE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642" w:type="dxa"/>
            <w:noWrap/>
            <w:hideMark/>
          </w:tcPr>
          <w:p w14:paraId="6241716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46.3</w:t>
            </w:r>
          </w:p>
        </w:tc>
        <w:tc>
          <w:tcPr>
            <w:tcW w:w="642" w:type="dxa"/>
            <w:noWrap/>
            <w:hideMark/>
          </w:tcPr>
          <w:p w14:paraId="03A91FA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54.0</w:t>
            </w:r>
          </w:p>
        </w:tc>
        <w:tc>
          <w:tcPr>
            <w:tcW w:w="641" w:type="dxa"/>
            <w:noWrap/>
            <w:hideMark/>
          </w:tcPr>
          <w:p w14:paraId="0A30980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54.2</w:t>
            </w:r>
          </w:p>
        </w:tc>
        <w:tc>
          <w:tcPr>
            <w:tcW w:w="641" w:type="dxa"/>
            <w:noWrap/>
            <w:hideMark/>
          </w:tcPr>
          <w:p w14:paraId="0544DAC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3D8A9BE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098CA87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54.5</w:t>
            </w:r>
          </w:p>
        </w:tc>
        <w:tc>
          <w:tcPr>
            <w:tcW w:w="641" w:type="dxa"/>
            <w:noWrap/>
            <w:hideMark/>
          </w:tcPr>
          <w:p w14:paraId="7426CC9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41.5</w:t>
            </w:r>
          </w:p>
        </w:tc>
        <w:tc>
          <w:tcPr>
            <w:tcW w:w="641" w:type="dxa"/>
            <w:noWrap/>
            <w:hideMark/>
          </w:tcPr>
          <w:p w14:paraId="0F84B3E0"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38.0</w:t>
            </w:r>
          </w:p>
        </w:tc>
        <w:tc>
          <w:tcPr>
            <w:tcW w:w="641" w:type="dxa"/>
            <w:noWrap/>
            <w:hideMark/>
          </w:tcPr>
          <w:p w14:paraId="70F5503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38.2</w:t>
            </w:r>
          </w:p>
        </w:tc>
        <w:tc>
          <w:tcPr>
            <w:tcW w:w="641" w:type="dxa"/>
            <w:noWrap/>
            <w:hideMark/>
          </w:tcPr>
          <w:p w14:paraId="0E12745F"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38.7</w:t>
            </w:r>
          </w:p>
        </w:tc>
        <w:tc>
          <w:tcPr>
            <w:tcW w:w="646" w:type="dxa"/>
            <w:noWrap/>
            <w:hideMark/>
          </w:tcPr>
          <w:p w14:paraId="75070AB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39.2</w:t>
            </w:r>
          </w:p>
        </w:tc>
      </w:tr>
      <w:tr w:rsidR="00C961E4" w:rsidRPr="00C961E4" w14:paraId="4AF1DDBA"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62CCBD39"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BROs</w:t>
            </w:r>
          </w:p>
        </w:tc>
        <w:tc>
          <w:tcPr>
            <w:tcW w:w="581" w:type="dxa"/>
            <w:noWrap/>
            <w:hideMark/>
          </w:tcPr>
          <w:p w14:paraId="63842E2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12.0</w:t>
            </w:r>
          </w:p>
        </w:tc>
        <w:tc>
          <w:tcPr>
            <w:tcW w:w="581" w:type="dxa"/>
            <w:noWrap/>
            <w:hideMark/>
          </w:tcPr>
          <w:p w14:paraId="60EAED4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13.4</w:t>
            </w:r>
          </w:p>
        </w:tc>
        <w:tc>
          <w:tcPr>
            <w:tcW w:w="642" w:type="dxa"/>
            <w:noWrap/>
            <w:hideMark/>
          </w:tcPr>
          <w:p w14:paraId="2F9D7A3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14.4</w:t>
            </w:r>
          </w:p>
        </w:tc>
        <w:tc>
          <w:tcPr>
            <w:tcW w:w="642" w:type="dxa"/>
            <w:noWrap/>
            <w:hideMark/>
          </w:tcPr>
          <w:p w14:paraId="4767278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15.4</w:t>
            </w:r>
          </w:p>
        </w:tc>
        <w:tc>
          <w:tcPr>
            <w:tcW w:w="641" w:type="dxa"/>
            <w:noWrap/>
            <w:hideMark/>
          </w:tcPr>
          <w:p w14:paraId="5B64A78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16.2</w:t>
            </w:r>
          </w:p>
        </w:tc>
        <w:tc>
          <w:tcPr>
            <w:tcW w:w="641" w:type="dxa"/>
            <w:noWrap/>
            <w:hideMark/>
          </w:tcPr>
          <w:p w14:paraId="3F7AFFE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16.9</w:t>
            </w:r>
          </w:p>
        </w:tc>
        <w:tc>
          <w:tcPr>
            <w:tcW w:w="641" w:type="dxa"/>
            <w:noWrap/>
            <w:hideMark/>
          </w:tcPr>
          <w:p w14:paraId="6CB89E1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17.7</w:t>
            </w:r>
          </w:p>
        </w:tc>
        <w:tc>
          <w:tcPr>
            <w:tcW w:w="641" w:type="dxa"/>
            <w:noWrap/>
            <w:hideMark/>
          </w:tcPr>
          <w:p w14:paraId="0196537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18.5</w:t>
            </w:r>
          </w:p>
        </w:tc>
        <w:tc>
          <w:tcPr>
            <w:tcW w:w="641" w:type="dxa"/>
            <w:noWrap/>
            <w:hideMark/>
          </w:tcPr>
          <w:p w14:paraId="7F0BE39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19.4</w:t>
            </w:r>
          </w:p>
        </w:tc>
        <w:tc>
          <w:tcPr>
            <w:tcW w:w="641" w:type="dxa"/>
            <w:noWrap/>
            <w:hideMark/>
          </w:tcPr>
          <w:p w14:paraId="062764B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20.3</w:t>
            </w:r>
          </w:p>
        </w:tc>
        <w:tc>
          <w:tcPr>
            <w:tcW w:w="641" w:type="dxa"/>
            <w:noWrap/>
            <w:hideMark/>
          </w:tcPr>
          <w:p w14:paraId="304F705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21.3</w:t>
            </w:r>
          </w:p>
        </w:tc>
        <w:tc>
          <w:tcPr>
            <w:tcW w:w="641" w:type="dxa"/>
            <w:noWrap/>
            <w:hideMark/>
          </w:tcPr>
          <w:p w14:paraId="729655E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22.3</w:t>
            </w:r>
          </w:p>
        </w:tc>
        <w:tc>
          <w:tcPr>
            <w:tcW w:w="646" w:type="dxa"/>
            <w:noWrap/>
            <w:hideMark/>
          </w:tcPr>
          <w:p w14:paraId="0C699E7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23.4</w:t>
            </w:r>
          </w:p>
        </w:tc>
      </w:tr>
      <w:tr w:rsidR="00C961E4" w:rsidRPr="00C961E4" w14:paraId="2EA4B250"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3BD40AE0"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Low Income</w:t>
            </w:r>
          </w:p>
        </w:tc>
        <w:tc>
          <w:tcPr>
            <w:tcW w:w="581" w:type="dxa"/>
            <w:noWrap/>
            <w:hideMark/>
          </w:tcPr>
          <w:p w14:paraId="50B2193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5.7</w:t>
            </w:r>
          </w:p>
        </w:tc>
        <w:tc>
          <w:tcPr>
            <w:tcW w:w="581" w:type="dxa"/>
            <w:noWrap/>
            <w:hideMark/>
          </w:tcPr>
          <w:p w14:paraId="5B7DB3F5"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6.0</w:t>
            </w:r>
          </w:p>
        </w:tc>
        <w:tc>
          <w:tcPr>
            <w:tcW w:w="642" w:type="dxa"/>
            <w:noWrap/>
            <w:hideMark/>
          </w:tcPr>
          <w:p w14:paraId="006DB691"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6.2</w:t>
            </w:r>
          </w:p>
        </w:tc>
        <w:tc>
          <w:tcPr>
            <w:tcW w:w="642" w:type="dxa"/>
            <w:noWrap/>
            <w:hideMark/>
          </w:tcPr>
          <w:p w14:paraId="0C01961F"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33E8D4A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06327175"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837577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E23CDD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1E9C32C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953EFC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423759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F6243A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6" w:type="dxa"/>
            <w:noWrap/>
            <w:hideMark/>
          </w:tcPr>
          <w:p w14:paraId="27CAEAF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r>
      <w:tr w:rsidR="00C961E4" w:rsidRPr="00C961E4" w14:paraId="39AA34CD"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7F5983D2"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Total</w:t>
            </w:r>
          </w:p>
        </w:tc>
        <w:tc>
          <w:tcPr>
            <w:tcW w:w="581" w:type="dxa"/>
            <w:noWrap/>
            <w:hideMark/>
          </w:tcPr>
          <w:p w14:paraId="28230A8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83.3</w:t>
            </w:r>
          </w:p>
        </w:tc>
        <w:tc>
          <w:tcPr>
            <w:tcW w:w="581" w:type="dxa"/>
            <w:noWrap/>
            <w:hideMark/>
          </w:tcPr>
          <w:p w14:paraId="63586F0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90.1</w:t>
            </w:r>
          </w:p>
        </w:tc>
        <w:tc>
          <w:tcPr>
            <w:tcW w:w="642" w:type="dxa"/>
            <w:noWrap/>
            <w:hideMark/>
          </w:tcPr>
          <w:p w14:paraId="52A94FE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102.7</w:t>
            </w:r>
          </w:p>
        </w:tc>
        <w:tc>
          <w:tcPr>
            <w:tcW w:w="642" w:type="dxa"/>
            <w:noWrap/>
            <w:hideMark/>
          </w:tcPr>
          <w:p w14:paraId="446AB59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113.9</w:t>
            </w:r>
          </w:p>
        </w:tc>
        <w:tc>
          <w:tcPr>
            <w:tcW w:w="641" w:type="dxa"/>
            <w:noWrap/>
            <w:hideMark/>
          </w:tcPr>
          <w:p w14:paraId="4CC4706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114.7</w:t>
            </w:r>
          </w:p>
        </w:tc>
        <w:tc>
          <w:tcPr>
            <w:tcW w:w="641" w:type="dxa"/>
            <w:noWrap/>
            <w:hideMark/>
          </w:tcPr>
          <w:p w14:paraId="27196C3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120.6</w:t>
            </w:r>
          </w:p>
        </w:tc>
        <w:tc>
          <w:tcPr>
            <w:tcW w:w="641" w:type="dxa"/>
            <w:noWrap/>
            <w:hideMark/>
          </w:tcPr>
          <w:p w14:paraId="1558A44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119.7</w:t>
            </w:r>
          </w:p>
        </w:tc>
        <w:tc>
          <w:tcPr>
            <w:tcW w:w="641" w:type="dxa"/>
            <w:noWrap/>
            <w:hideMark/>
          </w:tcPr>
          <w:p w14:paraId="04A27FF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119.0</w:t>
            </w:r>
          </w:p>
        </w:tc>
        <w:tc>
          <w:tcPr>
            <w:tcW w:w="641" w:type="dxa"/>
            <w:noWrap/>
            <w:hideMark/>
          </w:tcPr>
          <w:p w14:paraId="691440E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105.5</w:t>
            </w:r>
          </w:p>
        </w:tc>
        <w:tc>
          <w:tcPr>
            <w:tcW w:w="641" w:type="dxa"/>
            <w:noWrap/>
            <w:hideMark/>
          </w:tcPr>
          <w:p w14:paraId="490BE39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101.0</w:t>
            </w:r>
          </w:p>
        </w:tc>
        <w:tc>
          <w:tcPr>
            <w:tcW w:w="641" w:type="dxa"/>
            <w:noWrap/>
            <w:hideMark/>
          </w:tcPr>
          <w:p w14:paraId="6828199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100.8</w:t>
            </w:r>
          </w:p>
        </w:tc>
        <w:tc>
          <w:tcPr>
            <w:tcW w:w="641" w:type="dxa"/>
            <w:noWrap/>
            <w:hideMark/>
          </w:tcPr>
          <w:p w14:paraId="656A6CA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101.1</w:t>
            </w:r>
          </w:p>
        </w:tc>
        <w:tc>
          <w:tcPr>
            <w:tcW w:w="646" w:type="dxa"/>
            <w:noWrap/>
            <w:hideMark/>
          </w:tcPr>
          <w:p w14:paraId="3ED62DD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102.2</w:t>
            </w:r>
          </w:p>
        </w:tc>
      </w:tr>
      <w:tr w:rsidR="00C961E4" w:rsidRPr="00C961E4" w14:paraId="2D5A8454" w14:textId="77777777" w:rsidTr="00C961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83" w:type="dxa"/>
            <w:gridSpan w:val="15"/>
            <w:shd w:val="clear" w:color="auto" w:fill="DADADA" w:themeFill="background2" w:themeFillShade="E6"/>
            <w:noWrap/>
            <w:hideMark/>
          </w:tcPr>
          <w:p w14:paraId="51B87B2E"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shd w:val="clear" w:color="auto" w:fill="DADADA" w:themeFill="background2" w:themeFillShade="E6"/>
              </w:rPr>
              <w:t>PAC | Reference</w:t>
            </w:r>
          </w:p>
        </w:tc>
      </w:tr>
      <w:tr w:rsidR="00C961E4" w:rsidRPr="00C961E4" w14:paraId="28FA2C27"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04936495"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Rebate Programs</w:t>
            </w:r>
          </w:p>
        </w:tc>
        <w:tc>
          <w:tcPr>
            <w:tcW w:w="581" w:type="dxa"/>
            <w:noWrap/>
            <w:hideMark/>
          </w:tcPr>
          <w:p w14:paraId="2586685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29.2</w:t>
            </w:r>
          </w:p>
        </w:tc>
        <w:tc>
          <w:tcPr>
            <w:tcW w:w="581" w:type="dxa"/>
            <w:noWrap/>
            <w:hideMark/>
          </w:tcPr>
          <w:p w14:paraId="305DC4F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31.4</w:t>
            </w:r>
          </w:p>
        </w:tc>
        <w:tc>
          <w:tcPr>
            <w:tcW w:w="642" w:type="dxa"/>
            <w:noWrap/>
            <w:hideMark/>
          </w:tcPr>
          <w:p w14:paraId="185B39F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30.4</w:t>
            </w:r>
          </w:p>
        </w:tc>
        <w:tc>
          <w:tcPr>
            <w:tcW w:w="642" w:type="dxa"/>
            <w:noWrap/>
            <w:hideMark/>
          </w:tcPr>
          <w:p w14:paraId="7ECC601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31.9</w:t>
            </w:r>
          </w:p>
        </w:tc>
        <w:tc>
          <w:tcPr>
            <w:tcW w:w="641" w:type="dxa"/>
            <w:noWrap/>
            <w:hideMark/>
          </w:tcPr>
          <w:p w14:paraId="018F79F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35.0</w:t>
            </w:r>
          </w:p>
        </w:tc>
        <w:tc>
          <w:tcPr>
            <w:tcW w:w="641" w:type="dxa"/>
            <w:noWrap/>
            <w:hideMark/>
          </w:tcPr>
          <w:p w14:paraId="784705A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37.6</w:t>
            </w:r>
          </w:p>
        </w:tc>
        <w:tc>
          <w:tcPr>
            <w:tcW w:w="641" w:type="dxa"/>
            <w:noWrap/>
            <w:hideMark/>
          </w:tcPr>
          <w:p w14:paraId="57B1648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641" w:type="dxa"/>
            <w:noWrap/>
            <w:hideMark/>
          </w:tcPr>
          <w:p w14:paraId="4B69D07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36.0</w:t>
            </w:r>
          </w:p>
        </w:tc>
        <w:tc>
          <w:tcPr>
            <w:tcW w:w="641" w:type="dxa"/>
            <w:noWrap/>
            <w:hideMark/>
          </w:tcPr>
          <w:p w14:paraId="356FBED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34.1</w:t>
            </w:r>
          </w:p>
        </w:tc>
        <w:tc>
          <w:tcPr>
            <w:tcW w:w="641" w:type="dxa"/>
            <w:noWrap/>
            <w:hideMark/>
          </w:tcPr>
          <w:p w14:paraId="1AF86AB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33.1</w:t>
            </w:r>
          </w:p>
        </w:tc>
        <w:tc>
          <w:tcPr>
            <w:tcW w:w="641" w:type="dxa"/>
            <w:noWrap/>
            <w:hideMark/>
          </w:tcPr>
          <w:p w14:paraId="47229B9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32.4</w:t>
            </w:r>
          </w:p>
        </w:tc>
        <w:tc>
          <w:tcPr>
            <w:tcW w:w="641" w:type="dxa"/>
            <w:noWrap/>
            <w:hideMark/>
          </w:tcPr>
          <w:p w14:paraId="15B7B0A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32.1</w:t>
            </w:r>
          </w:p>
        </w:tc>
        <w:tc>
          <w:tcPr>
            <w:tcW w:w="646" w:type="dxa"/>
            <w:noWrap/>
            <w:hideMark/>
          </w:tcPr>
          <w:p w14:paraId="43016E8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33.6</w:t>
            </w:r>
          </w:p>
        </w:tc>
      </w:tr>
      <w:tr w:rsidR="00C961E4" w:rsidRPr="00C961E4" w14:paraId="68DFD6F9"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207C985B"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C&amp;S*</w:t>
            </w:r>
          </w:p>
        </w:tc>
        <w:tc>
          <w:tcPr>
            <w:tcW w:w="581" w:type="dxa"/>
            <w:noWrap/>
            <w:hideMark/>
          </w:tcPr>
          <w:p w14:paraId="66ED99C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581" w:type="dxa"/>
            <w:noWrap/>
            <w:hideMark/>
          </w:tcPr>
          <w:p w14:paraId="44311C0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642" w:type="dxa"/>
            <w:noWrap/>
            <w:hideMark/>
          </w:tcPr>
          <w:p w14:paraId="2B0DA70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46.3</w:t>
            </w:r>
          </w:p>
        </w:tc>
        <w:tc>
          <w:tcPr>
            <w:tcW w:w="642" w:type="dxa"/>
            <w:noWrap/>
            <w:hideMark/>
          </w:tcPr>
          <w:p w14:paraId="45CE0AB1"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54.0</w:t>
            </w:r>
          </w:p>
        </w:tc>
        <w:tc>
          <w:tcPr>
            <w:tcW w:w="641" w:type="dxa"/>
            <w:noWrap/>
            <w:hideMark/>
          </w:tcPr>
          <w:p w14:paraId="0C7CFCE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54.2</w:t>
            </w:r>
          </w:p>
        </w:tc>
        <w:tc>
          <w:tcPr>
            <w:tcW w:w="641" w:type="dxa"/>
            <w:noWrap/>
            <w:hideMark/>
          </w:tcPr>
          <w:p w14:paraId="31FEB9C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142ADAC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4B18781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54.5</w:t>
            </w:r>
          </w:p>
        </w:tc>
        <w:tc>
          <w:tcPr>
            <w:tcW w:w="641" w:type="dxa"/>
            <w:noWrap/>
            <w:hideMark/>
          </w:tcPr>
          <w:p w14:paraId="04C4A64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41.5</w:t>
            </w:r>
          </w:p>
        </w:tc>
        <w:tc>
          <w:tcPr>
            <w:tcW w:w="641" w:type="dxa"/>
            <w:noWrap/>
            <w:hideMark/>
          </w:tcPr>
          <w:p w14:paraId="072B14E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38.0</w:t>
            </w:r>
          </w:p>
        </w:tc>
        <w:tc>
          <w:tcPr>
            <w:tcW w:w="641" w:type="dxa"/>
            <w:noWrap/>
            <w:hideMark/>
          </w:tcPr>
          <w:p w14:paraId="1ACCF2F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38.2</w:t>
            </w:r>
          </w:p>
        </w:tc>
        <w:tc>
          <w:tcPr>
            <w:tcW w:w="641" w:type="dxa"/>
            <w:noWrap/>
            <w:hideMark/>
          </w:tcPr>
          <w:p w14:paraId="43912DB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38.7</w:t>
            </w:r>
          </w:p>
        </w:tc>
        <w:tc>
          <w:tcPr>
            <w:tcW w:w="646" w:type="dxa"/>
            <w:noWrap/>
            <w:hideMark/>
          </w:tcPr>
          <w:p w14:paraId="3394A738"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39.2</w:t>
            </w:r>
          </w:p>
        </w:tc>
      </w:tr>
      <w:tr w:rsidR="00C961E4" w:rsidRPr="00C961E4" w14:paraId="38CF0DC6"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6E47012B"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BROs</w:t>
            </w:r>
          </w:p>
        </w:tc>
        <w:tc>
          <w:tcPr>
            <w:tcW w:w="581" w:type="dxa"/>
            <w:noWrap/>
            <w:hideMark/>
          </w:tcPr>
          <w:p w14:paraId="3504D25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12.0</w:t>
            </w:r>
          </w:p>
        </w:tc>
        <w:tc>
          <w:tcPr>
            <w:tcW w:w="581" w:type="dxa"/>
            <w:noWrap/>
            <w:hideMark/>
          </w:tcPr>
          <w:p w14:paraId="1506606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13.4</w:t>
            </w:r>
          </w:p>
        </w:tc>
        <w:tc>
          <w:tcPr>
            <w:tcW w:w="642" w:type="dxa"/>
            <w:noWrap/>
            <w:hideMark/>
          </w:tcPr>
          <w:p w14:paraId="30ACE82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14.4</w:t>
            </w:r>
          </w:p>
        </w:tc>
        <w:tc>
          <w:tcPr>
            <w:tcW w:w="642" w:type="dxa"/>
            <w:noWrap/>
            <w:hideMark/>
          </w:tcPr>
          <w:p w14:paraId="7452AB0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15.4</w:t>
            </w:r>
          </w:p>
        </w:tc>
        <w:tc>
          <w:tcPr>
            <w:tcW w:w="641" w:type="dxa"/>
            <w:noWrap/>
            <w:hideMark/>
          </w:tcPr>
          <w:p w14:paraId="227838B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16.2</w:t>
            </w:r>
          </w:p>
        </w:tc>
        <w:tc>
          <w:tcPr>
            <w:tcW w:w="641" w:type="dxa"/>
            <w:noWrap/>
            <w:hideMark/>
          </w:tcPr>
          <w:p w14:paraId="792459A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16.9</w:t>
            </w:r>
          </w:p>
        </w:tc>
        <w:tc>
          <w:tcPr>
            <w:tcW w:w="641" w:type="dxa"/>
            <w:noWrap/>
            <w:hideMark/>
          </w:tcPr>
          <w:p w14:paraId="029177E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17.7</w:t>
            </w:r>
          </w:p>
        </w:tc>
        <w:tc>
          <w:tcPr>
            <w:tcW w:w="641" w:type="dxa"/>
            <w:noWrap/>
            <w:hideMark/>
          </w:tcPr>
          <w:p w14:paraId="21B2819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18.5</w:t>
            </w:r>
          </w:p>
        </w:tc>
        <w:tc>
          <w:tcPr>
            <w:tcW w:w="641" w:type="dxa"/>
            <w:noWrap/>
            <w:hideMark/>
          </w:tcPr>
          <w:p w14:paraId="5821293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19.4</w:t>
            </w:r>
          </w:p>
        </w:tc>
        <w:tc>
          <w:tcPr>
            <w:tcW w:w="641" w:type="dxa"/>
            <w:noWrap/>
            <w:hideMark/>
          </w:tcPr>
          <w:p w14:paraId="0B36DA6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20.3</w:t>
            </w:r>
          </w:p>
        </w:tc>
        <w:tc>
          <w:tcPr>
            <w:tcW w:w="641" w:type="dxa"/>
            <w:noWrap/>
            <w:hideMark/>
          </w:tcPr>
          <w:p w14:paraId="5266715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21.3</w:t>
            </w:r>
          </w:p>
        </w:tc>
        <w:tc>
          <w:tcPr>
            <w:tcW w:w="641" w:type="dxa"/>
            <w:noWrap/>
            <w:hideMark/>
          </w:tcPr>
          <w:p w14:paraId="3F163BF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22.3</w:t>
            </w:r>
          </w:p>
        </w:tc>
        <w:tc>
          <w:tcPr>
            <w:tcW w:w="646" w:type="dxa"/>
            <w:noWrap/>
            <w:hideMark/>
          </w:tcPr>
          <w:p w14:paraId="53066EA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23.4</w:t>
            </w:r>
          </w:p>
        </w:tc>
      </w:tr>
      <w:tr w:rsidR="00C961E4" w:rsidRPr="00C961E4" w14:paraId="28A6B360"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7A50455C"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Low Income</w:t>
            </w:r>
          </w:p>
        </w:tc>
        <w:tc>
          <w:tcPr>
            <w:tcW w:w="581" w:type="dxa"/>
            <w:noWrap/>
            <w:hideMark/>
          </w:tcPr>
          <w:p w14:paraId="7481D1D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5.7</w:t>
            </w:r>
          </w:p>
        </w:tc>
        <w:tc>
          <w:tcPr>
            <w:tcW w:w="581" w:type="dxa"/>
            <w:noWrap/>
            <w:hideMark/>
          </w:tcPr>
          <w:p w14:paraId="335CAD1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6.0</w:t>
            </w:r>
          </w:p>
        </w:tc>
        <w:tc>
          <w:tcPr>
            <w:tcW w:w="642" w:type="dxa"/>
            <w:noWrap/>
            <w:hideMark/>
          </w:tcPr>
          <w:p w14:paraId="0568AF1D"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6.2</w:t>
            </w:r>
          </w:p>
        </w:tc>
        <w:tc>
          <w:tcPr>
            <w:tcW w:w="642" w:type="dxa"/>
            <w:noWrap/>
            <w:hideMark/>
          </w:tcPr>
          <w:p w14:paraId="1C128CA8"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0EAAC773"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48B2460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7A34ECF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5B7437BE"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148B56D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408FD970"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9957B45"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26A70140"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6" w:type="dxa"/>
            <w:noWrap/>
            <w:hideMark/>
          </w:tcPr>
          <w:p w14:paraId="6FE7BF6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r>
      <w:tr w:rsidR="00C961E4" w:rsidRPr="00C961E4" w14:paraId="1CFA63FB"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1E3C4584"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Total</w:t>
            </w:r>
          </w:p>
        </w:tc>
        <w:tc>
          <w:tcPr>
            <w:tcW w:w="581" w:type="dxa"/>
            <w:noWrap/>
            <w:hideMark/>
          </w:tcPr>
          <w:p w14:paraId="0943920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83.2</w:t>
            </w:r>
          </w:p>
        </w:tc>
        <w:tc>
          <w:tcPr>
            <w:tcW w:w="581" w:type="dxa"/>
            <w:noWrap/>
            <w:hideMark/>
          </w:tcPr>
          <w:p w14:paraId="0046BFF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87.0</w:t>
            </w:r>
          </w:p>
        </w:tc>
        <w:tc>
          <w:tcPr>
            <w:tcW w:w="642" w:type="dxa"/>
            <w:noWrap/>
            <w:hideMark/>
          </w:tcPr>
          <w:p w14:paraId="353E0B0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97.2</w:t>
            </w:r>
          </w:p>
        </w:tc>
        <w:tc>
          <w:tcPr>
            <w:tcW w:w="642" w:type="dxa"/>
            <w:noWrap/>
            <w:hideMark/>
          </w:tcPr>
          <w:p w14:paraId="283A68F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106.3</w:t>
            </w:r>
          </w:p>
        </w:tc>
        <w:tc>
          <w:tcPr>
            <w:tcW w:w="641" w:type="dxa"/>
            <w:noWrap/>
            <w:hideMark/>
          </w:tcPr>
          <w:p w14:paraId="63D95D9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110.4</w:t>
            </w:r>
          </w:p>
        </w:tc>
        <w:tc>
          <w:tcPr>
            <w:tcW w:w="641" w:type="dxa"/>
            <w:noWrap/>
            <w:hideMark/>
          </w:tcPr>
          <w:p w14:paraId="24E73FF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114.2</w:t>
            </w:r>
          </w:p>
        </w:tc>
        <w:tc>
          <w:tcPr>
            <w:tcW w:w="641" w:type="dxa"/>
            <w:noWrap/>
            <w:hideMark/>
          </w:tcPr>
          <w:p w14:paraId="568ED59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113.7</w:t>
            </w:r>
          </w:p>
        </w:tc>
        <w:tc>
          <w:tcPr>
            <w:tcW w:w="641" w:type="dxa"/>
            <w:noWrap/>
            <w:hideMark/>
          </w:tcPr>
          <w:p w14:paraId="40A47498"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114.1</w:t>
            </w:r>
          </w:p>
        </w:tc>
        <w:tc>
          <w:tcPr>
            <w:tcW w:w="641" w:type="dxa"/>
            <w:noWrap/>
            <w:hideMark/>
          </w:tcPr>
          <w:p w14:paraId="0019BF4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100.1</w:t>
            </w:r>
          </w:p>
        </w:tc>
        <w:tc>
          <w:tcPr>
            <w:tcW w:w="641" w:type="dxa"/>
            <w:noWrap/>
            <w:hideMark/>
          </w:tcPr>
          <w:p w14:paraId="76CC4C1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96.5</w:t>
            </w:r>
          </w:p>
        </w:tc>
        <w:tc>
          <w:tcPr>
            <w:tcW w:w="641" w:type="dxa"/>
            <w:noWrap/>
            <w:hideMark/>
          </w:tcPr>
          <w:p w14:paraId="168F7F1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97.0</w:t>
            </w:r>
          </w:p>
        </w:tc>
        <w:tc>
          <w:tcPr>
            <w:tcW w:w="641" w:type="dxa"/>
            <w:noWrap/>
            <w:hideMark/>
          </w:tcPr>
          <w:p w14:paraId="1A0ABB1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98.2</w:t>
            </w:r>
          </w:p>
        </w:tc>
        <w:tc>
          <w:tcPr>
            <w:tcW w:w="646" w:type="dxa"/>
            <w:noWrap/>
            <w:hideMark/>
          </w:tcPr>
          <w:p w14:paraId="28B759B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101.3</w:t>
            </w:r>
          </w:p>
        </w:tc>
      </w:tr>
      <w:tr w:rsidR="00C961E4" w:rsidRPr="00C961E4" w14:paraId="6E40C173" w14:textId="77777777" w:rsidTr="00C961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83" w:type="dxa"/>
            <w:gridSpan w:val="15"/>
            <w:shd w:val="clear" w:color="auto" w:fill="DADADA" w:themeFill="background2" w:themeFillShade="E6"/>
            <w:noWrap/>
            <w:hideMark/>
          </w:tcPr>
          <w:p w14:paraId="4CDA5020"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 xml:space="preserve">PAC | </w:t>
            </w:r>
            <w:r w:rsidRPr="00C961E4">
              <w:rPr>
                <w:rFonts w:ascii="Arial Narrow" w:hAnsi="Arial Narrow" w:cs="Calibri"/>
                <w:b/>
                <w:bCs/>
                <w:sz w:val="18"/>
                <w:szCs w:val="18"/>
                <w:shd w:val="clear" w:color="auto" w:fill="DADADA" w:themeFill="background2" w:themeFillShade="E6"/>
              </w:rPr>
              <w:t>Aggressive</w:t>
            </w:r>
          </w:p>
        </w:tc>
      </w:tr>
      <w:tr w:rsidR="00C961E4" w:rsidRPr="00C961E4" w14:paraId="5EF26E6F"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454A5336"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Rebate Programs</w:t>
            </w:r>
          </w:p>
        </w:tc>
        <w:tc>
          <w:tcPr>
            <w:tcW w:w="581" w:type="dxa"/>
            <w:noWrap/>
            <w:hideMark/>
          </w:tcPr>
          <w:p w14:paraId="4F6710F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30.3</w:t>
            </w:r>
          </w:p>
        </w:tc>
        <w:tc>
          <w:tcPr>
            <w:tcW w:w="581" w:type="dxa"/>
            <w:noWrap/>
            <w:hideMark/>
          </w:tcPr>
          <w:p w14:paraId="40029F1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32.6</w:t>
            </w:r>
          </w:p>
        </w:tc>
        <w:tc>
          <w:tcPr>
            <w:tcW w:w="642" w:type="dxa"/>
            <w:noWrap/>
            <w:hideMark/>
          </w:tcPr>
          <w:p w14:paraId="3F9EC4A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32.3</w:t>
            </w:r>
          </w:p>
        </w:tc>
        <w:tc>
          <w:tcPr>
            <w:tcW w:w="642" w:type="dxa"/>
            <w:noWrap/>
            <w:hideMark/>
          </w:tcPr>
          <w:p w14:paraId="48EBC99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33.9</w:t>
            </w:r>
          </w:p>
        </w:tc>
        <w:tc>
          <w:tcPr>
            <w:tcW w:w="641" w:type="dxa"/>
            <w:noWrap/>
            <w:hideMark/>
          </w:tcPr>
          <w:p w14:paraId="18A2385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37.2</w:t>
            </w:r>
          </w:p>
        </w:tc>
        <w:tc>
          <w:tcPr>
            <w:tcW w:w="641" w:type="dxa"/>
            <w:noWrap/>
            <w:hideMark/>
          </w:tcPr>
          <w:p w14:paraId="225762A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39.7</w:t>
            </w:r>
          </w:p>
        </w:tc>
        <w:tc>
          <w:tcPr>
            <w:tcW w:w="641" w:type="dxa"/>
            <w:noWrap/>
            <w:hideMark/>
          </w:tcPr>
          <w:p w14:paraId="0D716C3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38.2</w:t>
            </w:r>
          </w:p>
        </w:tc>
        <w:tc>
          <w:tcPr>
            <w:tcW w:w="641" w:type="dxa"/>
            <w:noWrap/>
            <w:hideMark/>
          </w:tcPr>
          <w:p w14:paraId="5351BDB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37.7</w:t>
            </w:r>
          </w:p>
        </w:tc>
        <w:tc>
          <w:tcPr>
            <w:tcW w:w="641" w:type="dxa"/>
            <w:noWrap/>
            <w:hideMark/>
          </w:tcPr>
          <w:p w14:paraId="01E71A3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36.1</w:t>
            </w:r>
          </w:p>
        </w:tc>
        <w:tc>
          <w:tcPr>
            <w:tcW w:w="641" w:type="dxa"/>
            <w:noWrap/>
            <w:hideMark/>
          </w:tcPr>
          <w:p w14:paraId="19E5DE4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35.6</w:t>
            </w:r>
          </w:p>
        </w:tc>
        <w:tc>
          <w:tcPr>
            <w:tcW w:w="641" w:type="dxa"/>
            <w:noWrap/>
            <w:hideMark/>
          </w:tcPr>
          <w:p w14:paraId="228C9D37"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35.8</w:t>
            </w:r>
          </w:p>
        </w:tc>
        <w:tc>
          <w:tcPr>
            <w:tcW w:w="641" w:type="dxa"/>
            <w:noWrap/>
            <w:hideMark/>
          </w:tcPr>
          <w:p w14:paraId="07780E8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37.0</w:t>
            </w:r>
          </w:p>
        </w:tc>
        <w:tc>
          <w:tcPr>
            <w:tcW w:w="646" w:type="dxa"/>
            <w:noWrap/>
            <w:hideMark/>
          </w:tcPr>
          <w:p w14:paraId="23D2898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40.4</w:t>
            </w:r>
          </w:p>
        </w:tc>
      </w:tr>
      <w:tr w:rsidR="00C961E4" w:rsidRPr="00C961E4" w14:paraId="64E83CDD"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15837E3B"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C&amp;S*</w:t>
            </w:r>
          </w:p>
        </w:tc>
        <w:tc>
          <w:tcPr>
            <w:tcW w:w="581" w:type="dxa"/>
            <w:noWrap/>
            <w:hideMark/>
          </w:tcPr>
          <w:p w14:paraId="708E521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581" w:type="dxa"/>
            <w:noWrap/>
            <w:hideMark/>
          </w:tcPr>
          <w:p w14:paraId="1EF0CA40"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36.3</w:t>
            </w:r>
          </w:p>
        </w:tc>
        <w:tc>
          <w:tcPr>
            <w:tcW w:w="642" w:type="dxa"/>
            <w:noWrap/>
            <w:hideMark/>
          </w:tcPr>
          <w:p w14:paraId="168BB738"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46.3</w:t>
            </w:r>
          </w:p>
        </w:tc>
        <w:tc>
          <w:tcPr>
            <w:tcW w:w="642" w:type="dxa"/>
            <w:noWrap/>
            <w:hideMark/>
          </w:tcPr>
          <w:p w14:paraId="09009B2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54.0</w:t>
            </w:r>
          </w:p>
        </w:tc>
        <w:tc>
          <w:tcPr>
            <w:tcW w:w="641" w:type="dxa"/>
            <w:noWrap/>
            <w:hideMark/>
          </w:tcPr>
          <w:p w14:paraId="774C659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54.2</w:t>
            </w:r>
          </w:p>
        </w:tc>
        <w:tc>
          <w:tcPr>
            <w:tcW w:w="641" w:type="dxa"/>
            <w:noWrap/>
            <w:hideMark/>
          </w:tcPr>
          <w:p w14:paraId="48E2C79F"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3F10F036"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54.7</w:t>
            </w:r>
          </w:p>
        </w:tc>
        <w:tc>
          <w:tcPr>
            <w:tcW w:w="641" w:type="dxa"/>
            <w:noWrap/>
            <w:hideMark/>
          </w:tcPr>
          <w:p w14:paraId="07DC0C1B"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54.5</w:t>
            </w:r>
          </w:p>
        </w:tc>
        <w:tc>
          <w:tcPr>
            <w:tcW w:w="641" w:type="dxa"/>
            <w:noWrap/>
            <w:hideMark/>
          </w:tcPr>
          <w:p w14:paraId="1FC91C09"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41.5</w:t>
            </w:r>
          </w:p>
        </w:tc>
        <w:tc>
          <w:tcPr>
            <w:tcW w:w="641" w:type="dxa"/>
            <w:noWrap/>
            <w:hideMark/>
          </w:tcPr>
          <w:p w14:paraId="01454FE7"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38.0</w:t>
            </w:r>
          </w:p>
        </w:tc>
        <w:tc>
          <w:tcPr>
            <w:tcW w:w="641" w:type="dxa"/>
            <w:noWrap/>
            <w:hideMark/>
          </w:tcPr>
          <w:p w14:paraId="5B170118"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38.2</w:t>
            </w:r>
          </w:p>
        </w:tc>
        <w:tc>
          <w:tcPr>
            <w:tcW w:w="641" w:type="dxa"/>
            <w:noWrap/>
            <w:hideMark/>
          </w:tcPr>
          <w:p w14:paraId="1C91EE0F"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38.7</w:t>
            </w:r>
          </w:p>
        </w:tc>
        <w:tc>
          <w:tcPr>
            <w:tcW w:w="646" w:type="dxa"/>
            <w:noWrap/>
            <w:hideMark/>
          </w:tcPr>
          <w:p w14:paraId="2566697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39.2</w:t>
            </w:r>
          </w:p>
        </w:tc>
      </w:tr>
      <w:tr w:rsidR="00C961E4" w:rsidRPr="00C961E4" w14:paraId="34663D73"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3C73CD31"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BROs</w:t>
            </w:r>
          </w:p>
        </w:tc>
        <w:tc>
          <w:tcPr>
            <w:tcW w:w="581" w:type="dxa"/>
            <w:noWrap/>
            <w:hideMark/>
          </w:tcPr>
          <w:p w14:paraId="4193A1A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13.0</w:t>
            </w:r>
          </w:p>
        </w:tc>
        <w:tc>
          <w:tcPr>
            <w:tcW w:w="581" w:type="dxa"/>
            <w:noWrap/>
            <w:hideMark/>
          </w:tcPr>
          <w:p w14:paraId="57AD36C5"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15.4</w:t>
            </w:r>
          </w:p>
        </w:tc>
        <w:tc>
          <w:tcPr>
            <w:tcW w:w="642" w:type="dxa"/>
            <w:noWrap/>
            <w:hideMark/>
          </w:tcPr>
          <w:p w14:paraId="2B1AF8C3"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17.1</w:t>
            </w:r>
          </w:p>
        </w:tc>
        <w:tc>
          <w:tcPr>
            <w:tcW w:w="642" w:type="dxa"/>
            <w:noWrap/>
            <w:hideMark/>
          </w:tcPr>
          <w:p w14:paraId="44C6187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18.6</w:t>
            </w:r>
          </w:p>
        </w:tc>
        <w:tc>
          <w:tcPr>
            <w:tcW w:w="641" w:type="dxa"/>
            <w:noWrap/>
            <w:hideMark/>
          </w:tcPr>
          <w:p w14:paraId="7EA5A64E"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20.3</w:t>
            </w:r>
          </w:p>
        </w:tc>
        <w:tc>
          <w:tcPr>
            <w:tcW w:w="641" w:type="dxa"/>
            <w:noWrap/>
            <w:hideMark/>
          </w:tcPr>
          <w:p w14:paraId="33EA0210"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21.9</w:t>
            </w:r>
          </w:p>
        </w:tc>
        <w:tc>
          <w:tcPr>
            <w:tcW w:w="641" w:type="dxa"/>
            <w:noWrap/>
            <w:hideMark/>
          </w:tcPr>
          <w:p w14:paraId="335DDFE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24.1</w:t>
            </w:r>
          </w:p>
        </w:tc>
        <w:tc>
          <w:tcPr>
            <w:tcW w:w="641" w:type="dxa"/>
            <w:noWrap/>
            <w:hideMark/>
          </w:tcPr>
          <w:p w14:paraId="336279D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26.5</w:t>
            </w:r>
          </w:p>
        </w:tc>
        <w:tc>
          <w:tcPr>
            <w:tcW w:w="641" w:type="dxa"/>
            <w:noWrap/>
            <w:hideMark/>
          </w:tcPr>
          <w:p w14:paraId="63E8919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28.7</w:t>
            </w:r>
          </w:p>
        </w:tc>
        <w:tc>
          <w:tcPr>
            <w:tcW w:w="641" w:type="dxa"/>
            <w:noWrap/>
            <w:hideMark/>
          </w:tcPr>
          <w:p w14:paraId="6C26CE1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31.1</w:t>
            </w:r>
          </w:p>
        </w:tc>
        <w:tc>
          <w:tcPr>
            <w:tcW w:w="641" w:type="dxa"/>
            <w:noWrap/>
            <w:hideMark/>
          </w:tcPr>
          <w:p w14:paraId="27BDEA1B"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33.8</w:t>
            </w:r>
          </w:p>
        </w:tc>
        <w:tc>
          <w:tcPr>
            <w:tcW w:w="641" w:type="dxa"/>
            <w:noWrap/>
            <w:hideMark/>
          </w:tcPr>
          <w:p w14:paraId="3BCAD0DF"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36.7</w:t>
            </w:r>
          </w:p>
        </w:tc>
        <w:tc>
          <w:tcPr>
            <w:tcW w:w="646" w:type="dxa"/>
            <w:noWrap/>
            <w:hideMark/>
          </w:tcPr>
          <w:p w14:paraId="6EBBC44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39.9</w:t>
            </w:r>
          </w:p>
        </w:tc>
      </w:tr>
      <w:tr w:rsidR="00C961E4" w:rsidRPr="00C961E4" w14:paraId="729C04E3" w14:textId="77777777" w:rsidTr="00C961E4">
        <w:trPr>
          <w:gridAfter w:val="1"/>
          <w:cnfStyle w:val="000000010000" w:firstRow="0" w:lastRow="0" w:firstColumn="0" w:lastColumn="0" w:oddVBand="0" w:evenVBand="0" w:oddHBand="0" w:evenHBand="1" w:firstRowFirstColumn="0" w:firstRowLastColumn="0" w:lastRowFirstColumn="0" w:lastRowLastColumn="0"/>
          <w:wAfter w:w="11" w:type="dxa"/>
          <w:trHeight w:val="461"/>
        </w:trPr>
        <w:tc>
          <w:tcPr>
            <w:cnfStyle w:val="001000000000" w:firstRow="0" w:lastRow="0" w:firstColumn="1" w:lastColumn="0" w:oddVBand="0" w:evenVBand="0" w:oddHBand="0" w:evenHBand="0" w:firstRowFirstColumn="0" w:firstRowLastColumn="0" w:lastRowFirstColumn="0" w:lastRowLastColumn="0"/>
            <w:tcW w:w="1252" w:type="dxa"/>
            <w:hideMark/>
          </w:tcPr>
          <w:p w14:paraId="51503447"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Low Income</w:t>
            </w:r>
          </w:p>
        </w:tc>
        <w:tc>
          <w:tcPr>
            <w:tcW w:w="581" w:type="dxa"/>
            <w:noWrap/>
            <w:hideMark/>
          </w:tcPr>
          <w:p w14:paraId="0CF256E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5.7</w:t>
            </w:r>
          </w:p>
        </w:tc>
        <w:tc>
          <w:tcPr>
            <w:tcW w:w="581" w:type="dxa"/>
            <w:noWrap/>
            <w:hideMark/>
          </w:tcPr>
          <w:p w14:paraId="47FD480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6.0</w:t>
            </w:r>
          </w:p>
        </w:tc>
        <w:tc>
          <w:tcPr>
            <w:tcW w:w="642" w:type="dxa"/>
            <w:noWrap/>
            <w:hideMark/>
          </w:tcPr>
          <w:p w14:paraId="5AC0A8B4"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6.2</w:t>
            </w:r>
          </w:p>
        </w:tc>
        <w:tc>
          <w:tcPr>
            <w:tcW w:w="642" w:type="dxa"/>
            <w:noWrap/>
            <w:hideMark/>
          </w:tcPr>
          <w:p w14:paraId="2C14E6C5"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38E5E431"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66FF05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F64DAF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0B3195B2"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08487E4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6021D8AA"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0D81CE4C"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1" w:type="dxa"/>
            <w:noWrap/>
            <w:hideMark/>
          </w:tcPr>
          <w:p w14:paraId="47D3F999"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c>
          <w:tcPr>
            <w:tcW w:w="646" w:type="dxa"/>
            <w:noWrap/>
            <w:hideMark/>
          </w:tcPr>
          <w:p w14:paraId="2A1B4111" w14:textId="77777777" w:rsidR="00C961E4" w:rsidRPr="00C961E4" w:rsidRDefault="00C961E4" w:rsidP="00C961E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961E4">
              <w:rPr>
                <w:rFonts w:ascii="Arial Narrow" w:hAnsi="Arial Narrow" w:cs="Calibri"/>
                <w:sz w:val="18"/>
                <w:szCs w:val="18"/>
              </w:rPr>
              <w:t>5.1</w:t>
            </w:r>
          </w:p>
        </w:tc>
      </w:tr>
      <w:tr w:rsidR="00C961E4" w:rsidRPr="00C961E4" w14:paraId="0A38C68A" w14:textId="77777777" w:rsidTr="00C961E4">
        <w:trPr>
          <w:gridAfter w:val="1"/>
          <w:cnfStyle w:val="000000100000" w:firstRow="0" w:lastRow="0" w:firstColumn="0" w:lastColumn="0" w:oddVBand="0" w:evenVBand="0" w:oddHBand="1" w:evenHBand="0" w:firstRowFirstColumn="0" w:firstRowLastColumn="0" w:lastRowFirstColumn="0" w:lastRowLastColumn="0"/>
          <w:wAfter w:w="11" w:type="dxa"/>
          <w:trHeight w:val="255"/>
        </w:trPr>
        <w:tc>
          <w:tcPr>
            <w:cnfStyle w:val="001000000000" w:firstRow="0" w:lastRow="0" w:firstColumn="1" w:lastColumn="0" w:oddVBand="0" w:evenVBand="0" w:oddHBand="0" w:evenHBand="0" w:firstRowFirstColumn="0" w:firstRowLastColumn="0" w:lastRowFirstColumn="0" w:lastRowLastColumn="0"/>
            <w:tcW w:w="1252" w:type="dxa"/>
            <w:hideMark/>
          </w:tcPr>
          <w:p w14:paraId="66745EE4" w14:textId="77777777" w:rsidR="00C961E4" w:rsidRPr="00C961E4" w:rsidRDefault="00C961E4" w:rsidP="00C961E4">
            <w:pPr>
              <w:spacing w:line="240" w:lineRule="auto"/>
              <w:rPr>
                <w:rFonts w:ascii="Arial Narrow" w:hAnsi="Arial Narrow" w:cs="Calibri"/>
                <w:b/>
                <w:bCs/>
                <w:sz w:val="18"/>
                <w:szCs w:val="18"/>
              </w:rPr>
            </w:pPr>
            <w:r w:rsidRPr="00C961E4">
              <w:rPr>
                <w:rFonts w:ascii="Arial Narrow" w:hAnsi="Arial Narrow" w:cs="Calibri"/>
                <w:b/>
                <w:bCs/>
                <w:sz w:val="18"/>
                <w:szCs w:val="18"/>
              </w:rPr>
              <w:t>Total</w:t>
            </w:r>
          </w:p>
        </w:tc>
        <w:tc>
          <w:tcPr>
            <w:tcW w:w="581" w:type="dxa"/>
            <w:noWrap/>
            <w:hideMark/>
          </w:tcPr>
          <w:p w14:paraId="1969365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85.4</w:t>
            </w:r>
          </w:p>
        </w:tc>
        <w:tc>
          <w:tcPr>
            <w:tcW w:w="581" w:type="dxa"/>
            <w:noWrap/>
            <w:hideMark/>
          </w:tcPr>
          <w:p w14:paraId="74571F9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90.3</w:t>
            </w:r>
          </w:p>
        </w:tc>
        <w:tc>
          <w:tcPr>
            <w:tcW w:w="642" w:type="dxa"/>
            <w:noWrap/>
            <w:hideMark/>
          </w:tcPr>
          <w:p w14:paraId="4D64D31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101.8</w:t>
            </w:r>
          </w:p>
        </w:tc>
        <w:tc>
          <w:tcPr>
            <w:tcW w:w="642" w:type="dxa"/>
            <w:noWrap/>
            <w:hideMark/>
          </w:tcPr>
          <w:p w14:paraId="300288A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111.6</w:t>
            </w:r>
          </w:p>
        </w:tc>
        <w:tc>
          <w:tcPr>
            <w:tcW w:w="641" w:type="dxa"/>
            <w:noWrap/>
            <w:hideMark/>
          </w:tcPr>
          <w:p w14:paraId="6C410EBC"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116.8</w:t>
            </w:r>
          </w:p>
        </w:tc>
        <w:tc>
          <w:tcPr>
            <w:tcW w:w="641" w:type="dxa"/>
            <w:noWrap/>
            <w:hideMark/>
          </w:tcPr>
          <w:p w14:paraId="16DF389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121.4</w:t>
            </w:r>
          </w:p>
        </w:tc>
        <w:tc>
          <w:tcPr>
            <w:tcW w:w="641" w:type="dxa"/>
            <w:noWrap/>
            <w:hideMark/>
          </w:tcPr>
          <w:p w14:paraId="0C8B8B52"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122.0</w:t>
            </w:r>
          </w:p>
        </w:tc>
        <w:tc>
          <w:tcPr>
            <w:tcW w:w="641" w:type="dxa"/>
            <w:noWrap/>
            <w:hideMark/>
          </w:tcPr>
          <w:p w14:paraId="606C89AD"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123.8</w:t>
            </w:r>
          </w:p>
        </w:tc>
        <w:tc>
          <w:tcPr>
            <w:tcW w:w="641" w:type="dxa"/>
            <w:noWrap/>
            <w:hideMark/>
          </w:tcPr>
          <w:p w14:paraId="3EEA973A"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111.4</w:t>
            </w:r>
          </w:p>
        </w:tc>
        <w:tc>
          <w:tcPr>
            <w:tcW w:w="641" w:type="dxa"/>
            <w:noWrap/>
            <w:hideMark/>
          </w:tcPr>
          <w:p w14:paraId="48B85CB1"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109.7</w:t>
            </w:r>
          </w:p>
        </w:tc>
        <w:tc>
          <w:tcPr>
            <w:tcW w:w="641" w:type="dxa"/>
            <w:noWrap/>
            <w:hideMark/>
          </w:tcPr>
          <w:p w14:paraId="63C8DD39"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112.8</w:t>
            </w:r>
          </w:p>
        </w:tc>
        <w:tc>
          <w:tcPr>
            <w:tcW w:w="641" w:type="dxa"/>
            <w:noWrap/>
            <w:hideMark/>
          </w:tcPr>
          <w:p w14:paraId="2BDBB544"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117.4</w:t>
            </w:r>
          </w:p>
        </w:tc>
        <w:tc>
          <w:tcPr>
            <w:tcW w:w="646" w:type="dxa"/>
            <w:noWrap/>
            <w:hideMark/>
          </w:tcPr>
          <w:p w14:paraId="26C5B836" w14:textId="77777777" w:rsidR="00C961E4" w:rsidRPr="00C961E4" w:rsidRDefault="00C961E4" w:rsidP="00C961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C961E4">
              <w:rPr>
                <w:rFonts w:ascii="Arial Narrow" w:hAnsi="Arial Narrow" w:cs="Calibri"/>
                <w:b/>
                <w:bCs/>
                <w:sz w:val="18"/>
                <w:szCs w:val="18"/>
              </w:rPr>
              <w:t>124.7</w:t>
            </w:r>
          </w:p>
        </w:tc>
      </w:tr>
    </w:tbl>
    <w:p w14:paraId="3F254438" w14:textId="50EA8B60" w:rsidR="00C25BCB" w:rsidRDefault="00A25F1A" w:rsidP="00A25F1A">
      <w:pPr>
        <w:spacing w:line="240" w:lineRule="auto"/>
        <w:jc w:val="center"/>
      </w:pPr>
      <w:r>
        <w:t>*includes interactive effects</w:t>
      </w:r>
    </w:p>
    <w:p w14:paraId="13B6F901" w14:textId="77777777" w:rsidR="00C25BCB" w:rsidRDefault="00C25BCB" w:rsidP="00C25BCB"/>
    <w:p w14:paraId="6D7B5AFA" w14:textId="315F4164" w:rsidR="00502AC0" w:rsidRDefault="00A47C15" w:rsidP="00502AC0">
      <w:r>
        <w:lastRenderedPageBreak/>
        <w:fldChar w:fldCharType="begin"/>
      </w:r>
      <w:r>
        <w:instrText xml:space="preserve"> REF _Ref484779750 \h </w:instrText>
      </w:r>
      <w:r>
        <w:fldChar w:fldCharType="separate"/>
      </w:r>
      <w:r w:rsidR="00C407F4" w:rsidRPr="00F123A3">
        <w:t xml:space="preserve">Figure </w:t>
      </w:r>
      <w:r w:rsidR="00C407F4">
        <w:rPr>
          <w:noProof/>
        </w:rPr>
        <w:t>4</w:t>
      </w:r>
      <w:r w:rsidR="00C407F4" w:rsidRPr="00F123A3">
        <w:noBreakHyphen/>
      </w:r>
      <w:r w:rsidR="00C407F4">
        <w:rPr>
          <w:noProof/>
        </w:rPr>
        <w:t>1</w:t>
      </w:r>
      <w:r>
        <w:fldChar w:fldCharType="end"/>
      </w:r>
      <w:r>
        <w:t xml:space="preserve"> and </w:t>
      </w:r>
      <w:r>
        <w:fldChar w:fldCharType="begin"/>
      </w:r>
      <w:r>
        <w:instrText xml:space="preserve"> REF _Ref484779752 \h </w:instrText>
      </w:r>
      <w:r>
        <w:fldChar w:fldCharType="separate"/>
      </w:r>
      <w:r w:rsidR="00C407F4" w:rsidRPr="00F123A3">
        <w:t xml:space="preserve">Figure </w:t>
      </w:r>
      <w:r w:rsidR="00C407F4">
        <w:rPr>
          <w:noProof/>
        </w:rPr>
        <w:t>4</w:t>
      </w:r>
      <w:r w:rsidR="00C407F4" w:rsidRPr="00F123A3">
        <w:noBreakHyphen/>
      </w:r>
      <w:r w:rsidR="00C407F4">
        <w:rPr>
          <w:noProof/>
        </w:rPr>
        <w:t>2</w:t>
      </w:r>
      <w:r>
        <w:fldChar w:fldCharType="end"/>
      </w:r>
      <w:r>
        <w:t xml:space="preserve"> </w:t>
      </w:r>
      <w:r w:rsidR="00502AC0">
        <w:t xml:space="preserve">compares the savings from Rebate Programs </w:t>
      </w:r>
      <w:r w:rsidR="006B0582">
        <w:t>plus</w:t>
      </w:r>
      <w:r w:rsidR="00502AC0">
        <w:t xml:space="preserve"> BROs interventions as a percent of IOU sales. Savings as a percent of sales is a common metric provided in other potentials studies and industry standard practice is to exclude savings from C&amp;S from such calculations.</w:t>
      </w:r>
      <w:r w:rsidR="006B0582">
        <w:t xml:space="preserve">  Energy sales are sourced</w:t>
      </w:r>
      <w:r>
        <w:t xml:space="preserve"> from the CEC’s IEPR Mid-Case. </w:t>
      </w:r>
    </w:p>
    <w:p w14:paraId="305E0AD4" w14:textId="77777777" w:rsidR="00502AC0" w:rsidRDefault="00502AC0" w:rsidP="00502AC0"/>
    <w:p w14:paraId="22D230F9" w14:textId="77777777" w:rsidR="00A47C15" w:rsidRPr="00F123A3" w:rsidRDefault="00A47C15" w:rsidP="00A47C15">
      <w:pPr>
        <w:pStyle w:val="Caption"/>
      </w:pPr>
      <w:bookmarkStart w:id="751" w:name="_Ref484779750"/>
      <w:bookmarkStart w:id="752" w:name="_Toc485125518"/>
      <w:r w:rsidRPr="00F123A3">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F123A3">
        <w:noBreakHyphen/>
      </w:r>
      <w:r w:rsidR="00272F76">
        <w:fldChar w:fldCharType="begin"/>
      </w:r>
      <w:r w:rsidR="00272F76">
        <w:instrText xml:space="preserve"> SEQ Figure \* ARABIC \s 1 </w:instrText>
      </w:r>
      <w:r w:rsidR="00272F76">
        <w:fldChar w:fldCharType="separate"/>
      </w:r>
      <w:r w:rsidR="00C407F4">
        <w:rPr>
          <w:noProof/>
        </w:rPr>
        <w:t>1</w:t>
      </w:r>
      <w:r w:rsidR="00272F76">
        <w:rPr>
          <w:noProof/>
        </w:rPr>
        <w:fldChar w:fldCharType="end"/>
      </w:r>
      <w:bookmarkEnd w:id="751"/>
      <w:r w:rsidRPr="00F123A3">
        <w:t>.</w:t>
      </w:r>
      <w:r>
        <w:t xml:space="preserve"> Incremental Electric</w:t>
      </w:r>
      <w:r w:rsidRPr="00F123A3">
        <w:t xml:space="preserve"> Potential </w:t>
      </w:r>
      <w:r>
        <w:t>Percent Savings</w:t>
      </w:r>
      <w:bookmarkEnd w:id="752"/>
    </w:p>
    <w:p w14:paraId="74AD7EA5" w14:textId="77777777" w:rsidR="00502AC0" w:rsidRDefault="00A47C15" w:rsidP="00502AC0">
      <w:pPr>
        <w:jc w:val="center"/>
      </w:pPr>
      <w:r>
        <w:rPr>
          <w:noProof/>
        </w:rPr>
        <w:drawing>
          <wp:inline distT="0" distB="0" distL="0" distR="0" wp14:anchorId="165C2920" wp14:editId="68A276FB">
            <wp:extent cx="5411299" cy="275854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2890" cy="2764453"/>
                    </a:xfrm>
                    <a:prstGeom prst="rect">
                      <a:avLst/>
                    </a:prstGeom>
                    <a:noFill/>
                  </pic:spPr>
                </pic:pic>
              </a:graphicData>
            </a:graphic>
          </wp:inline>
        </w:drawing>
      </w:r>
    </w:p>
    <w:p w14:paraId="3EE07701" w14:textId="77777777" w:rsidR="00A47C15" w:rsidRDefault="00A47C15" w:rsidP="00502AC0">
      <w:pPr>
        <w:jc w:val="center"/>
        <w:rPr>
          <w:sz w:val="16"/>
        </w:rPr>
      </w:pPr>
      <w:r w:rsidRPr="00A47C15">
        <w:rPr>
          <w:sz w:val="16"/>
        </w:rPr>
        <w:t>Note: Excludes C&amp;S and Low Income</w:t>
      </w:r>
    </w:p>
    <w:p w14:paraId="44422CF7" w14:textId="77777777" w:rsidR="00A47C15" w:rsidRDefault="00A47C15" w:rsidP="00502AC0">
      <w:pPr>
        <w:jc w:val="center"/>
        <w:rPr>
          <w:sz w:val="16"/>
        </w:rPr>
      </w:pPr>
    </w:p>
    <w:p w14:paraId="39C3E423" w14:textId="77777777" w:rsidR="00A47C15" w:rsidRPr="00F123A3" w:rsidRDefault="00A47C15" w:rsidP="00A47C15">
      <w:pPr>
        <w:pStyle w:val="Caption"/>
      </w:pPr>
      <w:bookmarkStart w:id="753" w:name="_Ref484779752"/>
      <w:bookmarkStart w:id="754" w:name="_Toc485125519"/>
      <w:r w:rsidRPr="00F123A3">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F123A3">
        <w:noBreakHyphen/>
      </w:r>
      <w:r w:rsidR="00272F76">
        <w:fldChar w:fldCharType="begin"/>
      </w:r>
      <w:r w:rsidR="00272F76">
        <w:instrText xml:space="preserve"> SEQ Figure \* ARABIC \s 1 </w:instrText>
      </w:r>
      <w:r w:rsidR="00272F76">
        <w:fldChar w:fldCharType="separate"/>
      </w:r>
      <w:r w:rsidR="00C407F4">
        <w:rPr>
          <w:noProof/>
        </w:rPr>
        <w:t>2</w:t>
      </w:r>
      <w:r w:rsidR="00272F76">
        <w:rPr>
          <w:noProof/>
        </w:rPr>
        <w:fldChar w:fldCharType="end"/>
      </w:r>
      <w:bookmarkEnd w:id="753"/>
      <w:r w:rsidRPr="00F123A3">
        <w:t>.</w:t>
      </w:r>
      <w:r>
        <w:t xml:space="preserve"> Incremental Gas</w:t>
      </w:r>
      <w:r w:rsidRPr="00F123A3">
        <w:t xml:space="preserve"> Potential </w:t>
      </w:r>
      <w:r>
        <w:t>Percent Savings</w:t>
      </w:r>
      <w:bookmarkEnd w:id="754"/>
    </w:p>
    <w:p w14:paraId="2B13D57A" w14:textId="77777777" w:rsidR="00A47C15" w:rsidRDefault="00A47C15" w:rsidP="00502AC0">
      <w:pPr>
        <w:jc w:val="center"/>
      </w:pPr>
      <w:r>
        <w:rPr>
          <w:noProof/>
        </w:rPr>
        <w:drawing>
          <wp:inline distT="0" distB="0" distL="0" distR="0" wp14:anchorId="3BBB6A87" wp14:editId="1FF293BD">
            <wp:extent cx="5322589" cy="27133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4301" cy="2724390"/>
                    </a:xfrm>
                    <a:prstGeom prst="rect">
                      <a:avLst/>
                    </a:prstGeom>
                    <a:noFill/>
                  </pic:spPr>
                </pic:pic>
              </a:graphicData>
            </a:graphic>
          </wp:inline>
        </w:drawing>
      </w:r>
    </w:p>
    <w:p w14:paraId="32F17D17" w14:textId="77777777" w:rsidR="00A47C15" w:rsidRDefault="00A47C15" w:rsidP="00A47C15">
      <w:pPr>
        <w:jc w:val="center"/>
        <w:rPr>
          <w:sz w:val="16"/>
        </w:rPr>
      </w:pPr>
      <w:r w:rsidRPr="00A47C15">
        <w:rPr>
          <w:sz w:val="16"/>
        </w:rPr>
        <w:t>Note: Excludes C&amp;S and Low Income</w:t>
      </w:r>
    </w:p>
    <w:p w14:paraId="7558B80A" w14:textId="77777777" w:rsidR="00C961E4" w:rsidRDefault="00C961E4" w:rsidP="00C961E4">
      <w:pPr>
        <w:pStyle w:val="Heading4"/>
      </w:pPr>
      <w:bookmarkStart w:id="755" w:name="_Ref484595952"/>
      <w:r>
        <w:lastRenderedPageBreak/>
        <w:t>Rebate Program Scenario Results</w:t>
      </w:r>
      <w:bookmarkEnd w:id="755"/>
    </w:p>
    <w:p w14:paraId="67994BEB" w14:textId="6928AFCC" w:rsidR="008453C4" w:rsidRDefault="00442652" w:rsidP="008453C4">
      <w:pPr>
        <w:jc w:val="both"/>
      </w:pPr>
      <w:r w:rsidRPr="00F123A3">
        <w:fldChar w:fldCharType="begin"/>
      </w:r>
      <w:r w:rsidRPr="00F123A3">
        <w:instrText xml:space="preserve"> REF _Ref484532541 \h </w:instrText>
      </w:r>
      <w:r w:rsidRPr="00F123A3">
        <w:fldChar w:fldCharType="separate"/>
      </w:r>
      <w:r w:rsidR="00C407F4" w:rsidRPr="00F123A3">
        <w:t xml:space="preserve">Figure </w:t>
      </w:r>
      <w:r w:rsidR="00C407F4">
        <w:rPr>
          <w:noProof/>
        </w:rPr>
        <w:t>4</w:t>
      </w:r>
      <w:r w:rsidR="00C407F4" w:rsidRPr="00F123A3">
        <w:noBreakHyphen/>
      </w:r>
      <w:r w:rsidR="00C407F4">
        <w:rPr>
          <w:noProof/>
        </w:rPr>
        <w:t>3</w:t>
      </w:r>
      <w:r w:rsidRPr="00F123A3">
        <w:fldChar w:fldCharType="end"/>
      </w:r>
      <w:r w:rsidRPr="00F123A3">
        <w:t xml:space="preserve"> and </w:t>
      </w:r>
      <w:r w:rsidRPr="00F123A3">
        <w:fldChar w:fldCharType="begin"/>
      </w:r>
      <w:r w:rsidRPr="00F123A3">
        <w:instrText xml:space="preserve"> REF _Ref484532542 \h </w:instrText>
      </w:r>
      <w:r w:rsidRPr="00F123A3">
        <w:fldChar w:fldCharType="separate"/>
      </w:r>
      <w:r w:rsidR="00C407F4" w:rsidRPr="00F123A3">
        <w:t xml:space="preserve">Figure </w:t>
      </w:r>
      <w:r w:rsidR="00C407F4">
        <w:rPr>
          <w:noProof/>
        </w:rPr>
        <w:t>4</w:t>
      </w:r>
      <w:r w:rsidR="00C407F4" w:rsidRPr="00F123A3">
        <w:noBreakHyphen/>
      </w:r>
      <w:r w:rsidR="00C407F4">
        <w:rPr>
          <w:noProof/>
        </w:rPr>
        <w:t>4</w:t>
      </w:r>
      <w:r w:rsidRPr="00F123A3">
        <w:fldChar w:fldCharType="end"/>
      </w:r>
      <w:r w:rsidR="008453C4">
        <w:t xml:space="preserve"> illustrate the statewide incremental market potential from equipment savings in IOU rebate programs by scenario for electric (GWh) and gas (MMTherms) respectively. These graphs exclude IOU claimable sav</w:t>
      </w:r>
      <w:r w:rsidR="00595F4B">
        <w:t xml:space="preserve">ings from C&amp;S advocacy programs, </w:t>
      </w:r>
      <w:r w:rsidR="008453C4">
        <w:t>behavior programs</w:t>
      </w:r>
      <w:r w:rsidR="00595F4B">
        <w:t xml:space="preserve"> and low income programs</w:t>
      </w:r>
      <w:r w:rsidR="008453C4">
        <w:t>. They also exclude savings from re-participants, as we were tasked to assess</w:t>
      </w:r>
      <w:r w:rsidR="0073422A">
        <w:t xml:space="preserve"> incremental</w:t>
      </w:r>
      <w:r w:rsidR="008453C4">
        <w:t xml:space="preserve"> potential from first-time adopters in the market.  </w:t>
      </w:r>
      <w:r w:rsidR="004E04E7" w:rsidRPr="004E04E7">
        <w:t>Cumulative savings are discussed in section 4.1.2 for the TRC I Reference Scenario and presented in more detail for the additional scenarios in the results viewer</w:t>
      </w:r>
      <w:r w:rsidR="004E04E7">
        <w:t xml:space="preserve">. </w:t>
      </w:r>
      <w:r w:rsidR="008453C4">
        <w:t>Per the scenarios framework</w:t>
      </w:r>
      <w:r w:rsidR="00595F4B">
        <w:t xml:space="preserve"> discussed earlier in section </w:t>
      </w:r>
      <w:r w:rsidR="00595F4B">
        <w:fldChar w:fldCharType="begin"/>
      </w:r>
      <w:r w:rsidR="00595F4B">
        <w:instrText xml:space="preserve"> REF _Ref484547475 \n \h </w:instrText>
      </w:r>
      <w:r w:rsidR="00595F4B">
        <w:fldChar w:fldCharType="separate"/>
      </w:r>
      <w:r w:rsidR="00C407F4">
        <w:t>2.3</w:t>
      </w:r>
      <w:r w:rsidR="00595F4B">
        <w:fldChar w:fldCharType="end"/>
      </w:r>
      <w:r w:rsidR="008453C4">
        <w:t xml:space="preserve">, only the PAC | Aggressive scenario includes the effects of energy efficiency financing.  </w:t>
      </w:r>
    </w:p>
    <w:p w14:paraId="7F0272F9" w14:textId="77777777" w:rsidR="008453C4" w:rsidRDefault="008453C4" w:rsidP="008453C4">
      <w:pPr>
        <w:jc w:val="both"/>
      </w:pPr>
    </w:p>
    <w:p w14:paraId="1C01BD49" w14:textId="2D5669AA" w:rsidR="008453C4" w:rsidRPr="000F51B9" w:rsidRDefault="00F123A3" w:rsidP="008453C4">
      <w:pPr>
        <w:jc w:val="both"/>
      </w:pPr>
      <w:r w:rsidRPr="00F123A3">
        <w:fldChar w:fldCharType="begin"/>
      </w:r>
      <w:r w:rsidRPr="00F123A3">
        <w:instrText xml:space="preserve"> REF _Ref484532541 \h </w:instrText>
      </w:r>
      <w:r w:rsidRPr="00F123A3">
        <w:fldChar w:fldCharType="separate"/>
      </w:r>
      <w:r w:rsidR="00C407F4" w:rsidRPr="00F123A3">
        <w:t xml:space="preserve">Figure </w:t>
      </w:r>
      <w:r w:rsidR="00C407F4">
        <w:rPr>
          <w:noProof/>
        </w:rPr>
        <w:t>4</w:t>
      </w:r>
      <w:r w:rsidR="00C407F4" w:rsidRPr="00F123A3">
        <w:noBreakHyphen/>
      </w:r>
      <w:r w:rsidR="00C407F4">
        <w:rPr>
          <w:noProof/>
        </w:rPr>
        <w:t>3</w:t>
      </w:r>
      <w:r w:rsidRPr="00F123A3">
        <w:fldChar w:fldCharType="end"/>
      </w:r>
      <w:r w:rsidRPr="00F123A3">
        <w:t xml:space="preserve"> </w:t>
      </w:r>
      <w:r w:rsidR="008453C4">
        <w:t xml:space="preserve">shows that electric potential increases as the cost test used to screen measures becomes less stringent, with the TRC test yielding the least potential and the PAC test yielding the most potential. By 2030, the PAC | Reference scenario produces </w:t>
      </w:r>
      <w:r w:rsidR="008453C4" w:rsidRPr="004B242C">
        <w:t>about 1</w:t>
      </w:r>
      <w:r w:rsidR="00B84B6E" w:rsidRPr="004B242C">
        <w:t>6</w:t>
      </w:r>
      <w:r w:rsidR="008453C4" w:rsidRPr="004B242C">
        <w:t>% more electric savings than the TRC | Reference scenario. The figure also shows that aggressive program engagement in the form of financing as well as increased marketing and incentives can yield additional savings beyond business-as-usual program engagement as illustrated by the PAC | Aggressive scenario, which produces about 6% more electric savings than the PAC | Reference scenario. Overall, the PAC | Aggressive scenario produces about 2</w:t>
      </w:r>
      <w:r w:rsidR="00B84B6E" w:rsidRPr="004B242C">
        <w:t>3</w:t>
      </w:r>
      <w:r w:rsidR="008453C4" w:rsidRPr="004B242C">
        <w:t>%</w:t>
      </w:r>
      <w:r w:rsidR="008453C4">
        <w:t xml:space="preserve"> more electric savings than the TRC | Reference scenario. </w:t>
      </w:r>
      <w:r w:rsidR="00595F4B">
        <w:t xml:space="preserve"> </w:t>
      </w:r>
    </w:p>
    <w:p w14:paraId="09C752B2" w14:textId="77777777" w:rsidR="008453C4" w:rsidRDefault="008453C4" w:rsidP="008453C4"/>
    <w:p w14:paraId="3EBC1A7B" w14:textId="77777777" w:rsidR="008453C4" w:rsidRPr="00F123A3" w:rsidRDefault="00642996" w:rsidP="00F123A3">
      <w:pPr>
        <w:pStyle w:val="Caption"/>
      </w:pPr>
      <w:bookmarkStart w:id="756" w:name="_Ref484532541"/>
      <w:bookmarkStart w:id="757" w:name="_Toc485125520"/>
      <w:r w:rsidRPr="00F123A3">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F123A3">
        <w:noBreakHyphen/>
      </w:r>
      <w:r w:rsidR="00272F76">
        <w:fldChar w:fldCharType="begin"/>
      </w:r>
      <w:r w:rsidR="00272F76">
        <w:instrText xml:space="preserve"> SEQ Figure \* ARABIC \s 1 </w:instrText>
      </w:r>
      <w:r w:rsidR="00272F76">
        <w:fldChar w:fldCharType="separate"/>
      </w:r>
      <w:r w:rsidR="00C407F4">
        <w:rPr>
          <w:noProof/>
        </w:rPr>
        <w:t>3</w:t>
      </w:r>
      <w:r w:rsidR="00272F76">
        <w:rPr>
          <w:noProof/>
        </w:rPr>
        <w:fldChar w:fldCharType="end"/>
      </w:r>
      <w:bookmarkEnd w:id="756"/>
      <w:r w:rsidRPr="00F123A3">
        <w:t>.</w:t>
      </w:r>
      <w:r w:rsidR="008453C4" w:rsidRPr="00F123A3">
        <w:t>Statewide Incremental Electric Market Potential by Scenario</w:t>
      </w:r>
      <w:bookmarkEnd w:id="757"/>
    </w:p>
    <w:p w14:paraId="5150B3C7" w14:textId="77777777" w:rsidR="008453C4" w:rsidRDefault="004B242C" w:rsidP="008453C4">
      <w:pPr>
        <w:jc w:val="center"/>
      </w:pPr>
      <w:r>
        <w:rPr>
          <w:noProof/>
        </w:rPr>
        <w:drawing>
          <wp:inline distT="0" distB="0" distL="0" distR="0" wp14:anchorId="381A7335" wp14:editId="69C27EE9">
            <wp:extent cx="6208776" cy="266940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8776" cy="2669400"/>
                    </a:xfrm>
                    <a:prstGeom prst="rect">
                      <a:avLst/>
                    </a:prstGeom>
                    <a:noFill/>
                  </pic:spPr>
                </pic:pic>
              </a:graphicData>
            </a:graphic>
          </wp:inline>
        </w:drawing>
      </w:r>
    </w:p>
    <w:p w14:paraId="200DC3FE" w14:textId="77777777" w:rsidR="00642996" w:rsidRDefault="00642996" w:rsidP="008453C4">
      <w:pPr>
        <w:jc w:val="both"/>
      </w:pPr>
    </w:p>
    <w:p w14:paraId="4B24B3ED" w14:textId="0C30FFE1" w:rsidR="00595F4B" w:rsidRDefault="008453C4" w:rsidP="008453C4">
      <w:pPr>
        <w:jc w:val="both"/>
      </w:pPr>
      <w:r>
        <w:t xml:space="preserve">Like </w:t>
      </w:r>
      <w:r w:rsidR="00F123A3" w:rsidRPr="00F123A3">
        <w:fldChar w:fldCharType="begin"/>
      </w:r>
      <w:r w:rsidR="00F123A3" w:rsidRPr="00F123A3">
        <w:instrText xml:space="preserve"> REF _Ref484532541 \h </w:instrText>
      </w:r>
      <w:r w:rsidR="00F123A3" w:rsidRPr="00F123A3">
        <w:fldChar w:fldCharType="separate"/>
      </w:r>
      <w:r w:rsidR="00C407F4" w:rsidRPr="00F123A3">
        <w:t xml:space="preserve">Figure </w:t>
      </w:r>
      <w:r w:rsidR="00C407F4">
        <w:rPr>
          <w:noProof/>
        </w:rPr>
        <w:t>4</w:t>
      </w:r>
      <w:r w:rsidR="00C407F4" w:rsidRPr="00F123A3">
        <w:noBreakHyphen/>
      </w:r>
      <w:r w:rsidR="00C407F4">
        <w:rPr>
          <w:noProof/>
        </w:rPr>
        <w:t>3</w:t>
      </w:r>
      <w:r w:rsidR="00F123A3" w:rsidRPr="00F123A3">
        <w:fldChar w:fldCharType="end"/>
      </w:r>
      <w:r w:rsidR="00F123A3">
        <w:t xml:space="preserve">, </w:t>
      </w:r>
      <w:r w:rsidR="00F123A3" w:rsidRPr="00F123A3">
        <w:fldChar w:fldCharType="begin"/>
      </w:r>
      <w:r w:rsidR="00F123A3" w:rsidRPr="00F123A3">
        <w:instrText xml:space="preserve"> REF _Ref484532542 \h </w:instrText>
      </w:r>
      <w:r w:rsidR="00F123A3" w:rsidRPr="00F123A3">
        <w:fldChar w:fldCharType="separate"/>
      </w:r>
      <w:r w:rsidR="00C407F4" w:rsidRPr="00F123A3">
        <w:t xml:space="preserve">Figure </w:t>
      </w:r>
      <w:r w:rsidR="00C407F4">
        <w:rPr>
          <w:noProof/>
        </w:rPr>
        <w:t>4</w:t>
      </w:r>
      <w:r w:rsidR="00C407F4" w:rsidRPr="00F123A3">
        <w:noBreakHyphen/>
      </w:r>
      <w:r w:rsidR="00C407F4">
        <w:rPr>
          <w:noProof/>
        </w:rPr>
        <w:t>4</w:t>
      </w:r>
      <w:r w:rsidR="00F123A3" w:rsidRPr="00F123A3">
        <w:fldChar w:fldCharType="end"/>
      </w:r>
      <w:r w:rsidR="00F123A3">
        <w:t xml:space="preserve"> </w:t>
      </w:r>
      <w:r>
        <w:t xml:space="preserve">shows that gas potential generally increases as the cost test used to screen measures becomes less stringent. The only exception to this trend is the mTRC (GHG adder 2) | Reference scenario. While </w:t>
      </w:r>
      <w:r w:rsidR="00595F4B">
        <w:t>one might</w:t>
      </w:r>
      <w:r>
        <w:t xml:space="preserve"> expect to see the PAC scenarios to yield the highest potential, the mTRC (GHG adder 2) | Reference scenario yields the most gas savings during most of the forecast period. The reason for this is twofold. First, the GHG adder in the mTRC scenarios is applied differently to electric versus gas measures. The Cost-effectiveness Tool (CET), commissioned by the CPUC, produces avoided electric costs that are vary by loadshape. The GHG adder is incremental to the base GHG cost that is already embedded in these avoided electric costs, resulting in modified avoided costs that also vary by loadshape. This means that the GHG adder yields more benefits for some electric measures </w:t>
      </w:r>
      <w:r>
        <w:lastRenderedPageBreak/>
        <w:t xml:space="preserve">versus others. On the other hand, the CET produces a single time-series of avoided costs that do not vary by loadshape for gas measures. This allows the GHG adder to yield the same benefits across the board for gas measures. Second, the GHG adder in the mTRC (GHG adder 2) | Reference, based on </w:t>
      </w:r>
      <w:r w:rsidR="000A3F3A">
        <w:t>Commission staff</w:t>
      </w:r>
      <w:r>
        <w:t xml:space="preserve">’s proposal, ramps up to $250 by 2030. Since the benefits from this high GHG adder is applied uniformly to gas measures, the mTRC (GHG adder 2) | Reference scenario produces the highest gas potential. </w:t>
      </w:r>
    </w:p>
    <w:p w14:paraId="5A175DF8" w14:textId="77777777" w:rsidR="00595F4B" w:rsidRDefault="00595F4B" w:rsidP="008453C4">
      <w:pPr>
        <w:jc w:val="both"/>
      </w:pPr>
    </w:p>
    <w:p w14:paraId="4D7CC8E3" w14:textId="420F5D90" w:rsidR="008453C4" w:rsidRDefault="008453C4" w:rsidP="008453C4">
      <w:pPr>
        <w:jc w:val="both"/>
      </w:pPr>
      <w:r>
        <w:t>Note that the gap between the mTRC (GHG adder 1) | Reference and the TRC | Reference scenario for gas savings is larger than that for electric savings</w:t>
      </w:r>
      <w:r w:rsidR="00595F4B">
        <w:t xml:space="preserve">. This is </w:t>
      </w:r>
      <w:r>
        <w:t xml:space="preserve">due to the way the GHG adder is applied. However, the mTRC (GHG adder 1) | Reference scenario produces less potential than the PAC scenarios as the adder, which is based on the </w:t>
      </w:r>
      <w:r w:rsidR="004C13B8">
        <w:t>draft ARB APCR</w:t>
      </w:r>
      <w:r>
        <w:t xml:space="preserve">, only ramps up to $54 by 2030 (see section </w:t>
      </w:r>
      <w:r w:rsidR="00156E54">
        <w:rPr>
          <w:highlight w:val="green"/>
        </w:rPr>
        <w:fldChar w:fldCharType="begin"/>
      </w:r>
      <w:r w:rsidR="00156E54">
        <w:instrText xml:space="preserve"> REF _Ref484533065 \r \h </w:instrText>
      </w:r>
      <w:r w:rsidR="00156E54">
        <w:rPr>
          <w:highlight w:val="green"/>
        </w:rPr>
      </w:r>
      <w:r w:rsidR="00156E54">
        <w:rPr>
          <w:highlight w:val="green"/>
        </w:rPr>
        <w:fldChar w:fldCharType="separate"/>
      </w:r>
      <w:r w:rsidR="00C407F4">
        <w:t>3.1.5</w:t>
      </w:r>
      <w:r w:rsidR="00156E54">
        <w:rPr>
          <w:highlight w:val="green"/>
        </w:rPr>
        <w:fldChar w:fldCharType="end"/>
      </w:r>
      <w:r w:rsidR="00156E54">
        <w:t xml:space="preserve"> </w:t>
      </w:r>
      <w:r>
        <w:t xml:space="preserve">for more details). </w:t>
      </w:r>
    </w:p>
    <w:p w14:paraId="4733857B" w14:textId="77777777" w:rsidR="008453C4" w:rsidRDefault="008453C4" w:rsidP="008453C4">
      <w:pPr>
        <w:jc w:val="both"/>
      </w:pPr>
    </w:p>
    <w:p w14:paraId="1E94916F" w14:textId="77777777" w:rsidR="008453C4" w:rsidRPr="000F51B9" w:rsidRDefault="008453C4" w:rsidP="008453C4">
      <w:pPr>
        <w:jc w:val="both"/>
      </w:pPr>
      <w:r w:rsidRPr="0040478E">
        <w:t>By 2030, the mTRC (GHG adder 2) | Reference scenario produces about 34% more gas savings than the TRC | Reference scenario. Another noteworthy trend is that the PAC | Aggressive scenario surpasses the mTRC (GHG adder 2) | Reference scenario by about 17% at the end of the forecast period. This is attributable to aggressive program engagement. Overall, the PAC | Aggressive scenario produces about 5</w:t>
      </w:r>
      <w:r w:rsidR="0040478E" w:rsidRPr="0040478E">
        <w:t>7</w:t>
      </w:r>
      <w:r w:rsidRPr="0040478E">
        <w:t xml:space="preserve">% more </w:t>
      </w:r>
      <w:r w:rsidR="00595F4B" w:rsidRPr="0040478E">
        <w:t>gas</w:t>
      </w:r>
      <w:r w:rsidRPr="0040478E">
        <w:t xml:space="preserve"> savings than the TRC | Reference scenario by 2030.</w:t>
      </w:r>
    </w:p>
    <w:p w14:paraId="449C0952" w14:textId="77777777" w:rsidR="008453C4" w:rsidRDefault="008453C4" w:rsidP="008453C4"/>
    <w:p w14:paraId="311E58E5" w14:textId="77777777" w:rsidR="008453C4" w:rsidRDefault="008453C4" w:rsidP="00F123A3">
      <w:pPr>
        <w:pStyle w:val="Caption"/>
      </w:pPr>
      <w:bookmarkStart w:id="758" w:name="_Ref484532542"/>
      <w:bookmarkStart w:id="759" w:name="_Toc485125521"/>
      <w:r w:rsidRPr="00F123A3">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4</w:t>
      </w:r>
      <w:r w:rsidR="00272F76">
        <w:rPr>
          <w:noProof/>
        </w:rPr>
        <w:fldChar w:fldCharType="end"/>
      </w:r>
      <w:bookmarkEnd w:id="758"/>
      <w:r w:rsidRPr="00F123A3">
        <w:t>. Statewide Incremental Gas Market Potential by Scenario</w:t>
      </w:r>
      <w:bookmarkEnd w:id="759"/>
    </w:p>
    <w:p w14:paraId="74451551" w14:textId="77777777" w:rsidR="008453C4" w:rsidRDefault="0040478E" w:rsidP="008453C4">
      <w:pPr>
        <w:jc w:val="center"/>
      </w:pPr>
      <w:r>
        <w:rPr>
          <w:noProof/>
        </w:rPr>
        <w:drawing>
          <wp:inline distT="0" distB="0" distL="0" distR="0" wp14:anchorId="658B957F" wp14:editId="36F315B5">
            <wp:extent cx="5861304" cy="2520007"/>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1304" cy="2520007"/>
                    </a:xfrm>
                    <a:prstGeom prst="rect">
                      <a:avLst/>
                    </a:prstGeom>
                    <a:noFill/>
                  </pic:spPr>
                </pic:pic>
              </a:graphicData>
            </a:graphic>
          </wp:inline>
        </w:drawing>
      </w:r>
    </w:p>
    <w:p w14:paraId="194FB33F" w14:textId="77777777" w:rsidR="008453C4" w:rsidRDefault="008453C4" w:rsidP="008453C4"/>
    <w:p w14:paraId="219C443E" w14:textId="33132CA0" w:rsidR="008453C4" w:rsidRDefault="00F123A3" w:rsidP="008453C4">
      <w:pPr>
        <w:jc w:val="both"/>
      </w:pPr>
      <w:r>
        <w:fldChar w:fldCharType="begin"/>
      </w:r>
      <w:r>
        <w:instrText xml:space="preserve"> REF _Ref484532621 \h </w:instrText>
      </w:r>
      <w:r>
        <w:fldChar w:fldCharType="separate"/>
      </w:r>
      <w:r w:rsidR="00C407F4" w:rsidRPr="00F123A3">
        <w:t xml:space="preserve">Figure </w:t>
      </w:r>
      <w:r w:rsidR="00C407F4">
        <w:rPr>
          <w:noProof/>
        </w:rPr>
        <w:t>4</w:t>
      </w:r>
      <w:r w:rsidR="00C407F4" w:rsidRPr="00F123A3">
        <w:noBreakHyphen/>
      </w:r>
      <w:r w:rsidR="00C407F4">
        <w:rPr>
          <w:noProof/>
        </w:rPr>
        <w:t>5</w:t>
      </w:r>
      <w:r>
        <w:fldChar w:fldCharType="end"/>
      </w:r>
      <w:r>
        <w:t xml:space="preserve"> </w:t>
      </w:r>
      <w:r w:rsidR="008453C4">
        <w:t>shows projected statewide spending by scenario. Spending includes both incentive and non-incentive program costs, which were approximated from historic program activity spending data from the</w:t>
      </w:r>
      <w:r w:rsidR="009265B9">
        <w:t xml:space="preserve"> IOUs. </w:t>
      </w:r>
      <w:r w:rsidR="008453C4">
        <w:t xml:space="preserve">Since overall potential is driven by electric savings, the trend generally follows that of electric potential whereby the PAC | Aggressive scenario produces the most expensive portfolio for equipment savings, and the TRC | Reference, the least. By 2030, the PAC | Reference scenario is expected to cost </w:t>
      </w:r>
      <w:r w:rsidR="008453C4" w:rsidRPr="000837A7">
        <w:t>about 4</w:t>
      </w:r>
      <w:r w:rsidR="000837A7" w:rsidRPr="000837A7">
        <w:t>5</w:t>
      </w:r>
      <w:r w:rsidR="008453C4" w:rsidRPr="000837A7">
        <w:t>% more than the TRC | Reference scenario. Aggressive program engagement further increases spending as illustrated by the PAC | Aggressive scenario, which costs about 3</w:t>
      </w:r>
      <w:r w:rsidR="000837A7" w:rsidRPr="000837A7">
        <w:t>2</w:t>
      </w:r>
      <w:r w:rsidR="008453C4" w:rsidRPr="000837A7">
        <w:t>% more than the PAC | Reference</w:t>
      </w:r>
      <w:r w:rsidR="008453C4">
        <w:t xml:space="preserve"> scenario. </w:t>
      </w:r>
    </w:p>
    <w:p w14:paraId="02F2B586" w14:textId="77777777" w:rsidR="008453C4" w:rsidRDefault="008453C4" w:rsidP="008453C4"/>
    <w:p w14:paraId="342A9598" w14:textId="77777777" w:rsidR="008453C4" w:rsidRPr="00F123A3" w:rsidRDefault="008453C4" w:rsidP="00F123A3">
      <w:pPr>
        <w:pStyle w:val="Caption"/>
      </w:pPr>
      <w:bookmarkStart w:id="760" w:name="_Ref484532621"/>
      <w:bookmarkStart w:id="761" w:name="_Toc485125522"/>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5</w:t>
      </w:r>
      <w:r w:rsidR="00272F76">
        <w:rPr>
          <w:noProof/>
        </w:rPr>
        <w:fldChar w:fldCharType="end"/>
      </w:r>
      <w:bookmarkEnd w:id="760"/>
      <w:r w:rsidRPr="00F123A3">
        <w:t>. Statewide Spending by Scenario for IOU Rebate Programs</w:t>
      </w:r>
      <w:bookmarkEnd w:id="761"/>
    </w:p>
    <w:p w14:paraId="60B9BFBC" w14:textId="77777777" w:rsidR="008453C4" w:rsidRDefault="00E32B0C" w:rsidP="008453C4">
      <w:r>
        <w:rPr>
          <w:noProof/>
        </w:rPr>
        <w:drawing>
          <wp:inline distT="0" distB="0" distL="0" distR="0" wp14:anchorId="2694A22A" wp14:editId="2F1DDDD4">
            <wp:extent cx="5943600" cy="2645181"/>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45181"/>
                    </a:xfrm>
                    <a:prstGeom prst="rect">
                      <a:avLst/>
                    </a:prstGeom>
                    <a:noFill/>
                  </pic:spPr>
                </pic:pic>
              </a:graphicData>
            </a:graphic>
          </wp:inline>
        </w:drawing>
      </w:r>
    </w:p>
    <w:p w14:paraId="50FD8622" w14:textId="77777777" w:rsidR="008453C4" w:rsidRDefault="008453C4" w:rsidP="008453C4"/>
    <w:p w14:paraId="290FA357" w14:textId="1CE85482" w:rsidR="00595F4B" w:rsidRDefault="00595F4B" w:rsidP="008453C4">
      <w:r>
        <w:t xml:space="preserve">Additional versions of </w:t>
      </w:r>
      <w:r w:rsidRPr="00F123A3">
        <w:fldChar w:fldCharType="begin"/>
      </w:r>
      <w:r w:rsidRPr="00F123A3">
        <w:instrText xml:space="preserve"> REF _Ref484532541 \h </w:instrText>
      </w:r>
      <w:r w:rsidRPr="00F123A3">
        <w:fldChar w:fldCharType="separate"/>
      </w:r>
      <w:r w:rsidR="00C407F4" w:rsidRPr="00F123A3">
        <w:t xml:space="preserve">Figure </w:t>
      </w:r>
      <w:r w:rsidR="00C407F4">
        <w:rPr>
          <w:noProof/>
        </w:rPr>
        <w:t>4</w:t>
      </w:r>
      <w:r w:rsidR="00C407F4" w:rsidRPr="00F123A3">
        <w:noBreakHyphen/>
      </w:r>
      <w:r w:rsidR="00C407F4">
        <w:rPr>
          <w:noProof/>
        </w:rPr>
        <w:t>3</w:t>
      </w:r>
      <w:r w:rsidRPr="00F123A3">
        <w:fldChar w:fldCharType="end"/>
      </w:r>
      <w:r>
        <w:t xml:space="preserve"> through </w:t>
      </w:r>
      <w:r>
        <w:fldChar w:fldCharType="begin"/>
      </w:r>
      <w:r>
        <w:instrText xml:space="preserve"> REF _Ref484532621 \h </w:instrText>
      </w:r>
      <w:r>
        <w:fldChar w:fldCharType="separate"/>
      </w:r>
      <w:r w:rsidR="00C407F4" w:rsidRPr="00F123A3">
        <w:t xml:space="preserve">Figure </w:t>
      </w:r>
      <w:r w:rsidR="00C407F4">
        <w:rPr>
          <w:noProof/>
        </w:rPr>
        <w:t>4</w:t>
      </w:r>
      <w:r w:rsidR="00C407F4" w:rsidRPr="00F123A3">
        <w:noBreakHyphen/>
      </w:r>
      <w:r w:rsidR="00C407F4">
        <w:rPr>
          <w:noProof/>
        </w:rPr>
        <w:t>5</w:t>
      </w:r>
      <w:r>
        <w:fldChar w:fldCharType="end"/>
      </w:r>
      <w:r>
        <w:t xml:space="preserve"> for each IOU and including peak demand savings can be found in the results viewer under the tabs “</w:t>
      </w:r>
      <w:r w:rsidRPr="00595F4B">
        <w:t xml:space="preserve">Scenario Pivot </w:t>
      </w:r>
      <w:r>
        <w:t>–</w:t>
      </w:r>
      <w:r w:rsidRPr="00595F4B">
        <w:t xml:space="preserve"> Incremental</w:t>
      </w:r>
      <w:r>
        <w:t>” and “</w:t>
      </w:r>
      <w:r w:rsidRPr="00595F4B">
        <w:t xml:space="preserve">Scenario Pivot </w:t>
      </w:r>
      <w:r>
        <w:t>–</w:t>
      </w:r>
      <w:r w:rsidRPr="00595F4B">
        <w:t xml:space="preserve"> Spending</w:t>
      </w:r>
      <w:r>
        <w:t>”</w:t>
      </w:r>
    </w:p>
    <w:p w14:paraId="57FA040A" w14:textId="77777777" w:rsidR="00C961E4" w:rsidRDefault="00C961E4" w:rsidP="005C58F8">
      <w:pPr>
        <w:pStyle w:val="Heading4"/>
      </w:pPr>
      <w:bookmarkStart w:id="762" w:name="_Ref484595975"/>
      <w:r>
        <w:t>BROS Scenario Results</w:t>
      </w:r>
      <w:bookmarkEnd w:id="762"/>
    </w:p>
    <w:p w14:paraId="2D79DFC1" w14:textId="77777777" w:rsidR="00C961E4" w:rsidRDefault="00C961E4" w:rsidP="00C961E4">
      <w:r>
        <w:t>This section presents incremental savings and program spending on BROs interventions under the Reference and Aggressive scenarios. BROs savings do not vary by cost effectiveness screen in our model. Additional versions of graphs appearing in this section for each IOU and including peak demand savings can be found in the results viewer under the tabs “</w:t>
      </w:r>
      <w:r w:rsidRPr="00184B08">
        <w:t>Incremental Behavior</w:t>
      </w:r>
      <w:r>
        <w:t>” and “Behavior Spending”.</w:t>
      </w:r>
    </w:p>
    <w:p w14:paraId="3789CD13" w14:textId="77777777" w:rsidR="00C961E4" w:rsidRPr="000F51B9" w:rsidRDefault="00C961E4" w:rsidP="00C961E4"/>
    <w:p w14:paraId="3C8D2333" w14:textId="0DFAB7CB" w:rsidR="00C961E4" w:rsidRDefault="00C961E4" w:rsidP="00C961E4">
      <w:r>
        <w:t xml:space="preserve">The </w:t>
      </w:r>
      <w:r w:rsidRPr="005260A8">
        <w:t xml:space="preserve">reference scenario is dominated by savings from residential home energy reports (HERs) as illustrated in </w:t>
      </w:r>
      <w:r w:rsidRPr="005260A8">
        <w:fldChar w:fldCharType="begin"/>
      </w:r>
      <w:r w:rsidRPr="005260A8">
        <w:instrText xml:space="preserve"> REF _Ref484531722 \h  \* MERGEFORMAT </w:instrText>
      </w:r>
      <w:r w:rsidRPr="005260A8">
        <w:fldChar w:fldCharType="separate"/>
      </w:r>
      <w:r w:rsidR="00C407F4" w:rsidRPr="005260A8">
        <w:t>Figure 4</w:t>
      </w:r>
      <w:r w:rsidR="00C407F4" w:rsidRPr="005260A8">
        <w:noBreakHyphen/>
        <w:t>6</w:t>
      </w:r>
      <w:r w:rsidRPr="005260A8">
        <w:fldChar w:fldCharType="end"/>
      </w:r>
      <w:r w:rsidRPr="005260A8">
        <w:t xml:space="preserve"> and </w:t>
      </w:r>
      <w:r w:rsidRPr="005260A8">
        <w:fldChar w:fldCharType="begin"/>
      </w:r>
      <w:r w:rsidRPr="005260A8">
        <w:instrText xml:space="preserve"> REF _Ref484531723 \h  \* MERGEFORMAT </w:instrText>
      </w:r>
      <w:r w:rsidRPr="005260A8">
        <w:fldChar w:fldCharType="separate"/>
      </w:r>
      <w:r w:rsidR="00C407F4" w:rsidRPr="005260A8">
        <w:t>Figure 4</w:t>
      </w:r>
      <w:r w:rsidR="00C407F4" w:rsidRPr="005260A8">
        <w:noBreakHyphen/>
        <w:t>7</w:t>
      </w:r>
      <w:r w:rsidRPr="005260A8">
        <w:fldChar w:fldCharType="end"/>
      </w:r>
      <w:r w:rsidRPr="005260A8">
        <w:t>. As such program spending is also estimated to be dominated by HERs (</w:t>
      </w:r>
      <w:r w:rsidRPr="005260A8">
        <w:fldChar w:fldCharType="begin"/>
      </w:r>
      <w:r w:rsidRPr="005260A8">
        <w:instrText xml:space="preserve"> REF _Ref484531814 \h  \* MERGEFORMAT </w:instrText>
      </w:r>
      <w:r w:rsidRPr="005260A8">
        <w:fldChar w:fldCharType="separate"/>
      </w:r>
      <w:r w:rsidR="00C407F4" w:rsidRPr="005260A8">
        <w:t>Figure 4</w:t>
      </w:r>
      <w:r w:rsidR="00C407F4" w:rsidRPr="005260A8">
        <w:noBreakHyphen/>
        <w:t>8</w:t>
      </w:r>
      <w:r w:rsidRPr="005260A8">
        <w:fldChar w:fldCharType="end"/>
      </w:r>
      <w:r w:rsidRPr="005260A8">
        <w:t>). Additional high impact interventions after HERS include web-based real time feedback, strategic energy</w:t>
      </w:r>
      <w:r>
        <w:t xml:space="preserve"> management, retrocommissioning, and BEIMs. HERS dominates savings as it is one of the largest, most well-studied existing interventions with reliable data upon which to base a forecast. Savings from all interventions increase over time as we expect enrollment to in programs to gradually increase. Additional details about penetration rates can be found in </w:t>
      </w:r>
      <w:r>
        <w:fldChar w:fldCharType="begin"/>
      </w:r>
      <w:r>
        <w:instrText xml:space="preserve"> REF _Ref484532064 \n \h  \* MERGEFORMAT </w:instrText>
      </w:r>
      <w:r>
        <w:fldChar w:fldCharType="separate"/>
      </w:r>
      <w:r w:rsidR="00C407F4">
        <w:t>Appendix B</w:t>
      </w:r>
      <w:r>
        <w:fldChar w:fldCharType="end"/>
      </w:r>
      <w:r>
        <w:t>.</w:t>
      </w:r>
    </w:p>
    <w:p w14:paraId="0D8C3871" w14:textId="77777777" w:rsidR="00C961E4" w:rsidRPr="00A9675F" w:rsidRDefault="00C961E4" w:rsidP="00C961E4"/>
    <w:p w14:paraId="575E0384" w14:textId="77777777" w:rsidR="00C961E4" w:rsidRPr="00A9675F" w:rsidRDefault="00C961E4" w:rsidP="00C961E4">
      <w:pPr>
        <w:pStyle w:val="Caption"/>
      </w:pPr>
      <w:bookmarkStart w:id="763" w:name="_Ref484531722"/>
      <w:bookmarkStart w:id="764" w:name="_Toc484437022"/>
      <w:bookmarkStart w:id="765" w:name="_Ref484531716"/>
      <w:bookmarkStart w:id="766" w:name="_Toc485125523"/>
      <w:r w:rsidRPr="00A9675F">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A9675F">
        <w:noBreakHyphen/>
      </w:r>
      <w:r w:rsidR="00272F76">
        <w:fldChar w:fldCharType="begin"/>
      </w:r>
      <w:r w:rsidR="00272F76">
        <w:instrText xml:space="preserve"> SEQ Figure \* ARABIC \s 1 </w:instrText>
      </w:r>
      <w:r w:rsidR="00272F76">
        <w:fldChar w:fldCharType="separate"/>
      </w:r>
      <w:r w:rsidR="00C407F4">
        <w:rPr>
          <w:noProof/>
        </w:rPr>
        <w:t>6</w:t>
      </w:r>
      <w:r w:rsidR="00272F76">
        <w:rPr>
          <w:noProof/>
        </w:rPr>
        <w:fldChar w:fldCharType="end"/>
      </w:r>
      <w:bookmarkEnd w:id="763"/>
      <w:r w:rsidRPr="00A9675F">
        <w:t>. BROs Electric Savings – Reference Scenario</w:t>
      </w:r>
      <w:bookmarkEnd w:id="764"/>
      <w:bookmarkEnd w:id="765"/>
      <w:bookmarkEnd w:id="766"/>
    </w:p>
    <w:p w14:paraId="4CB9CF32" w14:textId="77777777" w:rsidR="00C961E4" w:rsidRDefault="00C961E4" w:rsidP="00C961E4">
      <w:r>
        <w:rPr>
          <w:noProof/>
        </w:rPr>
        <w:drawing>
          <wp:inline distT="0" distB="0" distL="0" distR="0" wp14:anchorId="27D3ED2D" wp14:editId="083EA50D">
            <wp:extent cx="5886620" cy="300924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6552" cy="3014317"/>
                    </a:xfrm>
                    <a:prstGeom prst="rect">
                      <a:avLst/>
                    </a:prstGeom>
                    <a:noFill/>
                  </pic:spPr>
                </pic:pic>
              </a:graphicData>
            </a:graphic>
          </wp:inline>
        </w:drawing>
      </w:r>
    </w:p>
    <w:p w14:paraId="0F4E8EC1" w14:textId="77777777" w:rsidR="00C961E4" w:rsidRDefault="00C961E4" w:rsidP="00C961E4"/>
    <w:p w14:paraId="53C73091" w14:textId="77777777" w:rsidR="00C961E4" w:rsidRDefault="00C961E4" w:rsidP="00C961E4"/>
    <w:p w14:paraId="1B9F1C32" w14:textId="77777777" w:rsidR="00C961E4" w:rsidRDefault="00C961E4" w:rsidP="00C961E4"/>
    <w:p w14:paraId="420964C2" w14:textId="77777777" w:rsidR="00C961E4" w:rsidRDefault="00C961E4" w:rsidP="00C961E4">
      <w:pPr>
        <w:pStyle w:val="Caption"/>
      </w:pPr>
      <w:bookmarkStart w:id="767" w:name="_Ref484531723"/>
      <w:bookmarkStart w:id="768" w:name="_Toc484437023"/>
      <w:bookmarkStart w:id="769" w:name="_Ref484531719"/>
      <w:bookmarkStart w:id="770" w:name="_Toc485125524"/>
      <w:r w:rsidRPr="00A9675F">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A9675F">
        <w:noBreakHyphen/>
      </w:r>
      <w:r w:rsidR="00272F76">
        <w:fldChar w:fldCharType="begin"/>
      </w:r>
      <w:r w:rsidR="00272F76">
        <w:instrText xml:space="preserve"> SEQ Figure \* ARABIC \s 1 </w:instrText>
      </w:r>
      <w:r w:rsidR="00272F76">
        <w:fldChar w:fldCharType="separate"/>
      </w:r>
      <w:r w:rsidR="00C407F4">
        <w:rPr>
          <w:noProof/>
        </w:rPr>
        <w:t>7</w:t>
      </w:r>
      <w:r w:rsidR="00272F76">
        <w:rPr>
          <w:noProof/>
        </w:rPr>
        <w:fldChar w:fldCharType="end"/>
      </w:r>
      <w:bookmarkEnd w:id="767"/>
      <w:r w:rsidRPr="00A9675F">
        <w:t>. BROs Gas Savings – Reference Scenario</w:t>
      </w:r>
      <w:bookmarkEnd w:id="768"/>
      <w:bookmarkEnd w:id="769"/>
      <w:bookmarkEnd w:id="770"/>
    </w:p>
    <w:p w14:paraId="7D6B41F6" w14:textId="77777777" w:rsidR="00C961E4" w:rsidRDefault="00C961E4" w:rsidP="00C961E4">
      <w:r>
        <w:rPr>
          <w:noProof/>
        </w:rPr>
        <w:drawing>
          <wp:inline distT="0" distB="0" distL="0" distR="0" wp14:anchorId="664EA50F" wp14:editId="721F1945">
            <wp:extent cx="5972479" cy="3053131"/>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5909" cy="3054885"/>
                    </a:xfrm>
                    <a:prstGeom prst="rect">
                      <a:avLst/>
                    </a:prstGeom>
                    <a:noFill/>
                  </pic:spPr>
                </pic:pic>
              </a:graphicData>
            </a:graphic>
          </wp:inline>
        </w:drawing>
      </w:r>
    </w:p>
    <w:p w14:paraId="16CE7241" w14:textId="77777777" w:rsidR="00C961E4" w:rsidRDefault="00C961E4" w:rsidP="00C961E4"/>
    <w:p w14:paraId="0901F312" w14:textId="77777777" w:rsidR="00C961E4" w:rsidRDefault="00C961E4" w:rsidP="00C961E4"/>
    <w:p w14:paraId="2AD6A9A5" w14:textId="77777777" w:rsidR="00C961E4" w:rsidRDefault="00C961E4" w:rsidP="00C961E4">
      <w:pPr>
        <w:pStyle w:val="Caption"/>
      </w:pPr>
      <w:bookmarkStart w:id="771" w:name="_Ref484531814"/>
      <w:bookmarkStart w:id="772" w:name="_Toc484437024"/>
      <w:bookmarkStart w:id="773" w:name="_Toc485125525"/>
      <w:r w:rsidRPr="00A9675F">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A9675F">
        <w:noBreakHyphen/>
      </w:r>
      <w:r w:rsidR="00272F76">
        <w:fldChar w:fldCharType="begin"/>
      </w:r>
      <w:r w:rsidR="00272F76">
        <w:instrText xml:space="preserve"> SEQ Figure \* ARABIC \s 1 </w:instrText>
      </w:r>
      <w:r w:rsidR="00272F76">
        <w:fldChar w:fldCharType="separate"/>
      </w:r>
      <w:r w:rsidR="00C407F4">
        <w:rPr>
          <w:noProof/>
        </w:rPr>
        <w:t>8</w:t>
      </w:r>
      <w:r w:rsidR="00272F76">
        <w:rPr>
          <w:noProof/>
        </w:rPr>
        <w:fldChar w:fldCharType="end"/>
      </w:r>
      <w:bookmarkEnd w:id="771"/>
      <w:r w:rsidRPr="00A9675F">
        <w:t>. BROs Program Spending – Reference Scenario</w:t>
      </w:r>
      <w:bookmarkEnd w:id="772"/>
      <w:bookmarkEnd w:id="773"/>
    </w:p>
    <w:p w14:paraId="0836E9F3" w14:textId="77777777" w:rsidR="00C961E4" w:rsidRDefault="00C961E4" w:rsidP="00C961E4">
      <w:r>
        <w:rPr>
          <w:noProof/>
        </w:rPr>
        <w:drawing>
          <wp:inline distT="0" distB="0" distL="0" distR="0" wp14:anchorId="2E1970B1" wp14:editId="2104FD43">
            <wp:extent cx="5897076" cy="2826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9147" cy="2832145"/>
                    </a:xfrm>
                    <a:prstGeom prst="rect">
                      <a:avLst/>
                    </a:prstGeom>
                    <a:noFill/>
                  </pic:spPr>
                </pic:pic>
              </a:graphicData>
            </a:graphic>
          </wp:inline>
        </w:drawing>
      </w:r>
    </w:p>
    <w:p w14:paraId="3DB9BBEF" w14:textId="77777777" w:rsidR="00C961E4" w:rsidRDefault="00C961E4" w:rsidP="00C961E4"/>
    <w:p w14:paraId="196BA38E" w14:textId="14F08753" w:rsidR="00C961E4" w:rsidRDefault="00C961E4" w:rsidP="00C961E4">
      <w:r>
        <w:t>The aggressive scenario still shows a large portion or savings originating from HERs (</w:t>
      </w:r>
      <w:r>
        <w:fldChar w:fldCharType="begin"/>
      </w:r>
      <w:r>
        <w:instrText xml:space="preserve"> REF _Ref484532356 \h </w:instrText>
      </w:r>
      <w:r>
        <w:fldChar w:fldCharType="separate"/>
      </w:r>
      <w:r w:rsidR="00C407F4" w:rsidRPr="00442652">
        <w:t xml:space="preserve">Figure </w:t>
      </w:r>
      <w:r w:rsidR="00C407F4">
        <w:rPr>
          <w:noProof/>
        </w:rPr>
        <w:t>4</w:t>
      </w:r>
      <w:r w:rsidR="00C407F4" w:rsidRPr="00442652">
        <w:noBreakHyphen/>
      </w:r>
      <w:r w:rsidR="00C407F4">
        <w:rPr>
          <w:noProof/>
        </w:rPr>
        <w:t>9</w:t>
      </w:r>
      <w:r>
        <w:fldChar w:fldCharType="end"/>
      </w:r>
      <w:r>
        <w:t xml:space="preserve"> and </w:t>
      </w:r>
      <w:r>
        <w:fldChar w:fldCharType="begin"/>
      </w:r>
      <w:r>
        <w:instrText xml:space="preserve"> REF _Ref484532357 \h </w:instrText>
      </w:r>
      <w:r>
        <w:fldChar w:fldCharType="separate"/>
      </w:r>
      <w:r w:rsidR="00C407F4" w:rsidRPr="00442652">
        <w:t xml:space="preserve">Figure </w:t>
      </w:r>
      <w:r w:rsidR="00C407F4">
        <w:rPr>
          <w:noProof/>
        </w:rPr>
        <w:t>4</w:t>
      </w:r>
      <w:r w:rsidR="00C407F4" w:rsidRPr="00442652">
        <w:noBreakHyphen/>
      </w:r>
      <w:r w:rsidR="00C407F4">
        <w:rPr>
          <w:noProof/>
        </w:rPr>
        <w:t>10</w:t>
      </w:r>
      <w:r>
        <w:fldChar w:fldCharType="end"/>
      </w:r>
      <w:r>
        <w:t xml:space="preserve">. However, web-based real time feedback, strategic energy management, retrocommissioning, building benchmarking, and BEIMs combined offer more electric savings than HERs in this scenario.  The aggressive scenario </w:t>
      </w:r>
      <w:r w:rsidRPr="00442652">
        <w:t xml:space="preserve">contains savings from in home displays and building benchmarking while the Reference scenario left these out. </w:t>
      </w:r>
      <w:r>
        <w:t>Savings and spending (</w:t>
      </w:r>
      <w:r w:rsidR="00A949E2">
        <w:fldChar w:fldCharType="begin"/>
      </w:r>
      <w:r w:rsidR="00A949E2">
        <w:instrText xml:space="preserve"> REF _Ref484636154 \h </w:instrText>
      </w:r>
      <w:r w:rsidR="00A949E2">
        <w:fldChar w:fldCharType="separate"/>
      </w:r>
      <w:r w:rsidR="00C407F4">
        <w:t xml:space="preserve">Figure ES- </w:t>
      </w:r>
      <w:r w:rsidR="00C407F4">
        <w:rPr>
          <w:noProof/>
        </w:rPr>
        <w:t>13</w:t>
      </w:r>
      <w:r w:rsidR="00A949E2">
        <w:fldChar w:fldCharType="end"/>
      </w:r>
      <w:r>
        <w:t xml:space="preserve">) in the aggressive scenario is just short of a doubling of the reference scenario. </w:t>
      </w:r>
    </w:p>
    <w:p w14:paraId="516E4F5C" w14:textId="77777777" w:rsidR="00C961E4" w:rsidRPr="00442652" w:rsidRDefault="00C961E4" w:rsidP="00C961E4"/>
    <w:p w14:paraId="0FE74EEC" w14:textId="77777777" w:rsidR="00C961E4" w:rsidRPr="00442652" w:rsidRDefault="00C961E4" w:rsidP="00C961E4">
      <w:pPr>
        <w:pStyle w:val="Caption"/>
      </w:pPr>
      <w:bookmarkStart w:id="774" w:name="_Ref484532356"/>
      <w:bookmarkStart w:id="775" w:name="_Toc484437025"/>
      <w:bookmarkStart w:id="776" w:name="_Toc485125526"/>
      <w:r w:rsidRPr="00442652">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442652">
        <w:noBreakHyphen/>
      </w:r>
      <w:r w:rsidR="00272F76">
        <w:fldChar w:fldCharType="begin"/>
      </w:r>
      <w:r w:rsidR="00272F76">
        <w:instrText xml:space="preserve"> SEQ Figure \* ARABIC \s 1 </w:instrText>
      </w:r>
      <w:r w:rsidR="00272F76">
        <w:fldChar w:fldCharType="separate"/>
      </w:r>
      <w:r w:rsidR="00C407F4">
        <w:rPr>
          <w:noProof/>
        </w:rPr>
        <w:t>9</w:t>
      </w:r>
      <w:r w:rsidR="00272F76">
        <w:rPr>
          <w:noProof/>
        </w:rPr>
        <w:fldChar w:fldCharType="end"/>
      </w:r>
      <w:bookmarkEnd w:id="774"/>
      <w:r w:rsidRPr="00442652">
        <w:t>. BROs Electric Savings – Aggressive Scenario</w:t>
      </w:r>
      <w:bookmarkEnd w:id="775"/>
      <w:bookmarkEnd w:id="776"/>
    </w:p>
    <w:p w14:paraId="37CB66B0" w14:textId="77777777" w:rsidR="00C961E4" w:rsidRPr="00442652" w:rsidRDefault="00C961E4" w:rsidP="00C961E4"/>
    <w:p w14:paraId="112F3533" w14:textId="77777777" w:rsidR="00C961E4" w:rsidRPr="00442652" w:rsidRDefault="00C961E4" w:rsidP="00C961E4">
      <w:r w:rsidRPr="00442652">
        <w:rPr>
          <w:noProof/>
        </w:rPr>
        <w:drawing>
          <wp:inline distT="0" distB="0" distL="0" distR="0" wp14:anchorId="5774A757" wp14:editId="314490B2">
            <wp:extent cx="5886620" cy="300924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95432" cy="3013745"/>
                    </a:xfrm>
                    <a:prstGeom prst="rect">
                      <a:avLst/>
                    </a:prstGeom>
                    <a:noFill/>
                  </pic:spPr>
                </pic:pic>
              </a:graphicData>
            </a:graphic>
          </wp:inline>
        </w:drawing>
      </w:r>
    </w:p>
    <w:p w14:paraId="5B188F09" w14:textId="77777777" w:rsidR="00C961E4" w:rsidRPr="00442652" w:rsidRDefault="00C961E4" w:rsidP="00C961E4"/>
    <w:p w14:paraId="58343E3C" w14:textId="77777777" w:rsidR="00C961E4" w:rsidRPr="00442652" w:rsidRDefault="00C961E4" w:rsidP="00C961E4"/>
    <w:p w14:paraId="67446833" w14:textId="77777777" w:rsidR="00C961E4" w:rsidRPr="00442652" w:rsidRDefault="00C961E4" w:rsidP="00C961E4">
      <w:pPr>
        <w:pStyle w:val="Caption"/>
      </w:pPr>
      <w:bookmarkStart w:id="777" w:name="_Ref484532357"/>
      <w:bookmarkStart w:id="778" w:name="_Toc484437026"/>
      <w:bookmarkStart w:id="779" w:name="_Toc485125527"/>
      <w:r w:rsidRPr="00442652">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442652">
        <w:noBreakHyphen/>
      </w:r>
      <w:r w:rsidR="00272F76">
        <w:fldChar w:fldCharType="begin"/>
      </w:r>
      <w:r w:rsidR="00272F76">
        <w:instrText xml:space="preserve"> SEQ Figure \* ARABIC \s 1 </w:instrText>
      </w:r>
      <w:r w:rsidR="00272F76">
        <w:fldChar w:fldCharType="separate"/>
      </w:r>
      <w:r w:rsidR="00C407F4">
        <w:rPr>
          <w:noProof/>
        </w:rPr>
        <w:t>10</w:t>
      </w:r>
      <w:r w:rsidR="00272F76">
        <w:rPr>
          <w:noProof/>
        </w:rPr>
        <w:fldChar w:fldCharType="end"/>
      </w:r>
      <w:bookmarkEnd w:id="777"/>
      <w:r w:rsidRPr="00442652">
        <w:t>. BROs Gas Savings – Aggressive Scenario</w:t>
      </w:r>
      <w:bookmarkEnd w:id="778"/>
      <w:bookmarkEnd w:id="779"/>
    </w:p>
    <w:p w14:paraId="465E55A7" w14:textId="77777777" w:rsidR="00C961E4" w:rsidRPr="00442652" w:rsidRDefault="00C961E4" w:rsidP="00C961E4">
      <w:r w:rsidRPr="00442652">
        <w:rPr>
          <w:noProof/>
        </w:rPr>
        <w:drawing>
          <wp:inline distT="0" distB="0" distL="0" distR="0" wp14:anchorId="2E6FB935" wp14:editId="0F20F71B">
            <wp:extent cx="5872309" cy="3001924"/>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3220" cy="3007502"/>
                    </a:xfrm>
                    <a:prstGeom prst="rect">
                      <a:avLst/>
                    </a:prstGeom>
                    <a:noFill/>
                  </pic:spPr>
                </pic:pic>
              </a:graphicData>
            </a:graphic>
          </wp:inline>
        </w:drawing>
      </w:r>
    </w:p>
    <w:p w14:paraId="2C08BB70" w14:textId="77777777" w:rsidR="00C961E4" w:rsidRPr="00442652" w:rsidRDefault="00C961E4" w:rsidP="00C961E4"/>
    <w:p w14:paraId="660B945F" w14:textId="77777777" w:rsidR="00C961E4" w:rsidRPr="00442652" w:rsidRDefault="00C961E4" w:rsidP="00C961E4"/>
    <w:p w14:paraId="6547F4CC" w14:textId="77777777" w:rsidR="00C961E4" w:rsidRPr="00442652" w:rsidRDefault="00C961E4" w:rsidP="00C961E4">
      <w:pPr>
        <w:pStyle w:val="Caption"/>
      </w:pPr>
      <w:bookmarkStart w:id="780" w:name="_Toc484437027"/>
      <w:bookmarkStart w:id="781" w:name="_Toc485125528"/>
      <w:r w:rsidRPr="00442652">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442652">
        <w:noBreakHyphen/>
      </w:r>
      <w:r w:rsidR="00272F76">
        <w:fldChar w:fldCharType="begin"/>
      </w:r>
      <w:r w:rsidR="00272F76">
        <w:instrText xml:space="preserve"> SEQ Figure \* ARABIC \s 1 </w:instrText>
      </w:r>
      <w:r w:rsidR="00272F76">
        <w:fldChar w:fldCharType="separate"/>
      </w:r>
      <w:r w:rsidR="00C407F4">
        <w:rPr>
          <w:noProof/>
        </w:rPr>
        <w:t>11</w:t>
      </w:r>
      <w:r w:rsidR="00272F76">
        <w:rPr>
          <w:noProof/>
        </w:rPr>
        <w:fldChar w:fldCharType="end"/>
      </w:r>
      <w:r w:rsidRPr="00442652">
        <w:t>. BROs Program Spending – Aggressive Scenario</w:t>
      </w:r>
      <w:bookmarkEnd w:id="780"/>
      <w:bookmarkEnd w:id="781"/>
    </w:p>
    <w:p w14:paraId="148732B8" w14:textId="77777777" w:rsidR="00C961E4" w:rsidRDefault="00C961E4" w:rsidP="008453C4">
      <w:r>
        <w:rPr>
          <w:noProof/>
        </w:rPr>
        <w:drawing>
          <wp:inline distT="0" distB="0" distL="0" distR="0" wp14:anchorId="7EB479E8" wp14:editId="6CB5B4D6">
            <wp:extent cx="5881814" cy="2819045"/>
            <wp:effectExtent l="0" t="0" r="508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96423" cy="2826047"/>
                    </a:xfrm>
                    <a:prstGeom prst="rect">
                      <a:avLst/>
                    </a:prstGeom>
                    <a:noFill/>
                  </pic:spPr>
                </pic:pic>
              </a:graphicData>
            </a:graphic>
          </wp:inline>
        </w:drawing>
      </w:r>
    </w:p>
    <w:p w14:paraId="21B172F2" w14:textId="77777777" w:rsidR="008453C4" w:rsidRDefault="008453C4" w:rsidP="008453C4">
      <w:pPr>
        <w:pStyle w:val="Heading3"/>
        <w:ind w:left="720" w:hanging="720"/>
      </w:pPr>
      <w:bookmarkStart w:id="782" w:name="_Toc484183053"/>
      <w:bookmarkStart w:id="783" w:name="_Toc485126574"/>
      <w:r>
        <w:t>TRC Reference Scenario Details</w:t>
      </w:r>
      <w:bookmarkEnd w:id="782"/>
      <w:bookmarkEnd w:id="783"/>
    </w:p>
    <w:p w14:paraId="2F9366F0" w14:textId="77777777" w:rsidR="008453C4" w:rsidRDefault="008453C4" w:rsidP="008453C4">
      <w:pPr>
        <w:jc w:val="both"/>
      </w:pPr>
      <w:r w:rsidRPr="00156E54">
        <w:t xml:space="preserve">This subsection discusses the results of the TRC | Reference scenario in greater detail. </w:t>
      </w:r>
    </w:p>
    <w:p w14:paraId="44E0C16E" w14:textId="48F6E35C" w:rsidR="008B6027" w:rsidRPr="008B6027" w:rsidRDefault="008B6027" w:rsidP="008B6027">
      <w:pPr>
        <w:jc w:val="both"/>
      </w:pPr>
      <w:r>
        <w:lastRenderedPageBreak/>
        <w:fldChar w:fldCharType="begin"/>
      </w:r>
      <w:r>
        <w:instrText xml:space="preserve"> REF _Ref484720084 \h </w:instrText>
      </w:r>
      <w:r>
        <w:fldChar w:fldCharType="separate"/>
      </w:r>
      <w:r w:rsidR="00C407F4" w:rsidRPr="008B6027">
        <w:t xml:space="preserve">Figure </w:t>
      </w:r>
      <w:r w:rsidR="00C407F4">
        <w:rPr>
          <w:noProof/>
        </w:rPr>
        <w:t>4</w:t>
      </w:r>
      <w:r w:rsidR="00C407F4" w:rsidRPr="008B6027">
        <w:noBreakHyphen/>
      </w:r>
      <w:r w:rsidR="00C407F4">
        <w:rPr>
          <w:noProof/>
        </w:rPr>
        <w:t>12</w:t>
      </w:r>
      <w:r>
        <w:fldChar w:fldCharType="end"/>
      </w:r>
      <w:r>
        <w:t xml:space="preserve"> </w:t>
      </w:r>
      <w:r w:rsidRPr="008B6027">
        <w:t xml:space="preserve">and </w:t>
      </w:r>
      <w:r>
        <w:fldChar w:fldCharType="begin"/>
      </w:r>
      <w:r>
        <w:instrText xml:space="preserve"> REF _Ref484720105 \h </w:instrText>
      </w:r>
      <w:r>
        <w:fldChar w:fldCharType="separate"/>
      </w:r>
      <w:r w:rsidR="00C407F4" w:rsidRPr="008B6027">
        <w:t xml:space="preserve">Figure </w:t>
      </w:r>
      <w:r w:rsidR="00C407F4">
        <w:rPr>
          <w:noProof/>
        </w:rPr>
        <w:t>4</w:t>
      </w:r>
      <w:r w:rsidR="00C407F4" w:rsidRPr="008B6027">
        <w:noBreakHyphen/>
      </w:r>
      <w:r w:rsidR="00C407F4">
        <w:rPr>
          <w:noProof/>
        </w:rPr>
        <w:t>13</w:t>
      </w:r>
      <w:r>
        <w:fldChar w:fldCharType="end"/>
      </w:r>
      <w:r>
        <w:t xml:space="preserve"> </w:t>
      </w:r>
      <w:r w:rsidRPr="008B6027">
        <w:t xml:space="preserve">illustrate the statewide technical, economic and cumulative market potential from IOU equipment rebates for electric (GWh) and gas (MMTherms) respectively. These graphs do not show IOU claimable savings from behavior, low income or C&amp;S </w:t>
      </w:r>
      <w:r w:rsidR="00701124" w:rsidRPr="008B6027">
        <w:t>advocacy</w:t>
      </w:r>
      <w:r w:rsidRPr="008B6027">
        <w:t xml:space="preserve"> programs, nor do they include the effects of energy efficiency financing. </w:t>
      </w:r>
      <w:r w:rsidR="00701124">
        <w:t xml:space="preserve">The technical and economic potential for these sources are undefined. </w:t>
      </w:r>
      <w:r w:rsidRPr="008B6027">
        <w:t>The cumulative market potential line is based on an a</w:t>
      </w:r>
      <w:r w:rsidR="00701124">
        <w:t>ccumulation start year of 2015 to match the needs of tracking towards SB350.</w:t>
      </w:r>
    </w:p>
    <w:p w14:paraId="7D69744C" w14:textId="77777777" w:rsidR="008B6027" w:rsidRPr="008B6027" w:rsidRDefault="008B6027" w:rsidP="008B6027">
      <w:pPr>
        <w:jc w:val="both"/>
      </w:pPr>
    </w:p>
    <w:p w14:paraId="519F718F" w14:textId="77777777" w:rsidR="00701124" w:rsidRDefault="008B6027" w:rsidP="008B6027">
      <w:pPr>
        <w:jc w:val="both"/>
      </w:pPr>
      <w:r w:rsidRPr="008B6027">
        <w:t xml:space="preserve">The technical potential is based on instantaneous potential, which is defined as the amount of energy savings that would be possible if the highest level of efficiency for all technically applicable opportunities to improve energy efficiency were taken. It does not account for equipment stock turnover. The economic potential shown in the graph is a subset of technical potential that is cost-effective under the TRC test. Both the technical and economic potential lines grow steadily over time to reflect stock growth. </w:t>
      </w:r>
    </w:p>
    <w:p w14:paraId="6CD44ECB" w14:textId="77777777" w:rsidR="00701124" w:rsidRDefault="00701124" w:rsidP="008B6027">
      <w:pPr>
        <w:jc w:val="both"/>
      </w:pPr>
    </w:p>
    <w:p w14:paraId="27DFA567" w14:textId="2B8AA3E4" w:rsidR="008B6027" w:rsidRPr="008B6027" w:rsidRDefault="008B6027" w:rsidP="008B6027">
      <w:pPr>
        <w:jc w:val="both"/>
      </w:pPr>
      <w:r w:rsidRPr="008B6027">
        <w:t>The large gap between the economic and technical potential on both graphs re</w:t>
      </w:r>
      <w:r w:rsidR="00D61850">
        <w:t>flects that a significant number</w:t>
      </w:r>
      <w:r w:rsidRPr="008B6027">
        <w:t xml:space="preserve"> of measures are not cost-effective</w:t>
      </w:r>
      <w:r w:rsidR="00701124">
        <w:t xml:space="preserve"> under the TRC | Refe</w:t>
      </w:r>
      <w:r w:rsidR="007E4961">
        <w:t>re</w:t>
      </w:r>
      <w:r w:rsidR="00701124">
        <w:t>nce scenario</w:t>
      </w:r>
      <w:r w:rsidRPr="008B6027">
        <w:t xml:space="preserve">. A key driver for this is the 2016 avoided cost update, which produced avoided costs that are lower than in previous studies. </w:t>
      </w:r>
      <w:r>
        <w:t>Net electric t</w:t>
      </w:r>
      <w:r w:rsidRPr="008B6027">
        <w:t>echnical and economic potential are expected to account for approximately 1</w:t>
      </w:r>
      <w:r>
        <w:t>5</w:t>
      </w:r>
      <w:r w:rsidRPr="008B6027">
        <w:t xml:space="preserve">% and 9% of </w:t>
      </w:r>
      <w:r>
        <w:t xml:space="preserve">electric </w:t>
      </w:r>
      <w:r w:rsidRPr="008B6027">
        <w:t>sales across all sectors and end uses by 2030.</w:t>
      </w:r>
      <w:r w:rsidRPr="008B6027">
        <w:rPr>
          <w:rStyle w:val="FootnoteReference"/>
        </w:rPr>
        <w:footnoteReference w:id="92"/>
      </w:r>
      <w:r w:rsidRPr="008B6027">
        <w:t xml:space="preserve"> </w:t>
      </w:r>
      <w:r>
        <w:t>Net gas t</w:t>
      </w:r>
      <w:r w:rsidRPr="008B6027">
        <w:t>echnical and economic potential are expected to account for approximately 1</w:t>
      </w:r>
      <w:r>
        <w:t>3</w:t>
      </w:r>
      <w:r w:rsidRPr="008B6027">
        <w:t xml:space="preserve">% and </w:t>
      </w:r>
      <w:r>
        <w:t>5</w:t>
      </w:r>
      <w:r w:rsidRPr="008B6027">
        <w:t xml:space="preserve">% of </w:t>
      </w:r>
      <w:r>
        <w:t xml:space="preserve">gas </w:t>
      </w:r>
      <w:r w:rsidRPr="008B6027">
        <w:t>sales across all sectors and end uses by 2030.</w:t>
      </w:r>
    </w:p>
    <w:p w14:paraId="49D92A5F" w14:textId="77777777" w:rsidR="008B6027" w:rsidRPr="008B6027" w:rsidRDefault="008B6027" w:rsidP="008B6027">
      <w:pPr>
        <w:jc w:val="both"/>
      </w:pPr>
    </w:p>
    <w:p w14:paraId="2B3B6311" w14:textId="77777777" w:rsidR="008B6027" w:rsidRDefault="008B6027" w:rsidP="008B6027">
      <w:pPr>
        <w:jc w:val="both"/>
      </w:pPr>
      <w:r w:rsidRPr="008B6027">
        <w:t xml:space="preserve">The </w:t>
      </w:r>
      <w:r>
        <w:t xml:space="preserve">electric </w:t>
      </w:r>
      <w:r w:rsidRPr="008B6027">
        <w:t>cumulative market potential grows at a steady pace between 2018 and 2021, after which it ramps up significantly out to 20</w:t>
      </w:r>
      <w:r w:rsidR="00701124">
        <w:t>30</w:t>
      </w:r>
      <w:r w:rsidRPr="008B6027">
        <w:t xml:space="preserve">. Savings from LEDs are expected to grow significantly during this time. Since overall potential is generally dominated by lighting measures, the growth in the LED market drives the cumulative market potential. </w:t>
      </w:r>
      <w:r>
        <w:t>Net electric c</w:t>
      </w:r>
      <w:r w:rsidRPr="008B6027">
        <w:t>umulative market potential is expected to account for approximately 6% of sales across all sectors and end uses by 2030.</w:t>
      </w:r>
      <w:r>
        <w:t xml:space="preserve"> The gas cumulative market potential line grows at a steady pace throughout the forecast period. Net gas cumulative market potential is expected to account for approximately 2% of gas sales across all sectors and end uses by 2030. </w:t>
      </w:r>
    </w:p>
    <w:p w14:paraId="205453E0" w14:textId="77777777" w:rsidR="00701124" w:rsidRDefault="00701124" w:rsidP="008B6027">
      <w:pPr>
        <w:jc w:val="both"/>
      </w:pPr>
    </w:p>
    <w:p w14:paraId="5E2283E7" w14:textId="4B8F46C6" w:rsidR="00701124" w:rsidRDefault="00701124" w:rsidP="008B6027">
      <w:pPr>
        <w:jc w:val="both"/>
      </w:pPr>
      <w:r>
        <w:t xml:space="preserve">Additional versions of </w:t>
      </w:r>
      <w:r>
        <w:fldChar w:fldCharType="begin"/>
      </w:r>
      <w:r>
        <w:instrText xml:space="preserve"> REF _Ref484720084 \h </w:instrText>
      </w:r>
      <w:r>
        <w:fldChar w:fldCharType="separate"/>
      </w:r>
      <w:r w:rsidR="00C407F4" w:rsidRPr="008B6027">
        <w:t xml:space="preserve">Figure </w:t>
      </w:r>
      <w:r w:rsidR="00C407F4">
        <w:rPr>
          <w:noProof/>
        </w:rPr>
        <w:t>4</w:t>
      </w:r>
      <w:r w:rsidR="00C407F4" w:rsidRPr="008B6027">
        <w:noBreakHyphen/>
      </w:r>
      <w:r w:rsidR="00C407F4">
        <w:rPr>
          <w:noProof/>
        </w:rPr>
        <w:t>12</w:t>
      </w:r>
      <w:r>
        <w:fldChar w:fldCharType="end"/>
      </w:r>
      <w:r>
        <w:t xml:space="preserve"> </w:t>
      </w:r>
      <w:r w:rsidRPr="008B6027">
        <w:t xml:space="preserve">and </w:t>
      </w:r>
      <w:r>
        <w:fldChar w:fldCharType="begin"/>
      </w:r>
      <w:r>
        <w:instrText xml:space="preserve"> REF _Ref484720105 \h </w:instrText>
      </w:r>
      <w:r>
        <w:fldChar w:fldCharType="separate"/>
      </w:r>
      <w:r w:rsidR="00C407F4" w:rsidRPr="008B6027">
        <w:t xml:space="preserve">Figure </w:t>
      </w:r>
      <w:r w:rsidR="00C407F4">
        <w:rPr>
          <w:noProof/>
        </w:rPr>
        <w:t>4</w:t>
      </w:r>
      <w:r w:rsidR="00C407F4" w:rsidRPr="008B6027">
        <w:noBreakHyphen/>
      </w:r>
      <w:r w:rsidR="00C407F4">
        <w:rPr>
          <w:noProof/>
        </w:rPr>
        <w:t>13</w:t>
      </w:r>
      <w:r>
        <w:fldChar w:fldCharType="end"/>
      </w:r>
      <w:r>
        <w:t xml:space="preserve"> including demand savings and savings as a percent of consumption are available for each utility and all scenarios in the results viewer under the tab “</w:t>
      </w:r>
      <w:r w:rsidRPr="00701124">
        <w:t>Tech, Econ and Market Potential</w:t>
      </w:r>
      <w:r>
        <w:t>”</w:t>
      </w:r>
    </w:p>
    <w:p w14:paraId="6D2B125A" w14:textId="77777777" w:rsidR="00FB5111" w:rsidRDefault="00FB5111" w:rsidP="008453C4">
      <w:pPr>
        <w:jc w:val="both"/>
      </w:pPr>
    </w:p>
    <w:p w14:paraId="286BF3F1" w14:textId="77777777" w:rsidR="00FB5111" w:rsidRDefault="00FB5111" w:rsidP="008B6027">
      <w:pPr>
        <w:pStyle w:val="Caption"/>
      </w:pPr>
      <w:bookmarkStart w:id="784" w:name="_Ref484720084"/>
      <w:bookmarkStart w:id="785" w:name="_Toc485125529"/>
      <w:r w:rsidRPr="008B6027">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8B6027">
        <w:noBreakHyphen/>
      </w:r>
      <w:r w:rsidR="00272F76">
        <w:fldChar w:fldCharType="begin"/>
      </w:r>
      <w:r w:rsidR="00272F76">
        <w:instrText xml:space="preserve"> SEQ Figure \* ARABIC \s 1 </w:instrText>
      </w:r>
      <w:r w:rsidR="00272F76">
        <w:fldChar w:fldCharType="separate"/>
      </w:r>
      <w:r w:rsidR="00C407F4">
        <w:rPr>
          <w:noProof/>
        </w:rPr>
        <w:t>12</w:t>
      </w:r>
      <w:r w:rsidR="00272F76">
        <w:rPr>
          <w:noProof/>
        </w:rPr>
        <w:fldChar w:fldCharType="end"/>
      </w:r>
      <w:bookmarkEnd w:id="784"/>
      <w:r w:rsidRPr="008B6027">
        <w:t xml:space="preserve">. Statewide </w:t>
      </w:r>
      <w:r w:rsidR="008B6027" w:rsidRPr="008B6027">
        <w:t>Technical, Economic and Cumulative Electric Market Potential</w:t>
      </w:r>
      <w:bookmarkEnd w:id="785"/>
    </w:p>
    <w:p w14:paraId="507A3818" w14:textId="77777777" w:rsidR="00FB5111" w:rsidRDefault="00FB5111" w:rsidP="00FB5111">
      <w:pPr>
        <w:jc w:val="center"/>
      </w:pPr>
      <w:r>
        <w:rPr>
          <w:noProof/>
        </w:rPr>
        <w:drawing>
          <wp:inline distT="0" distB="0" distL="0" distR="0" wp14:anchorId="11E763D1" wp14:editId="74ECF5F4">
            <wp:extent cx="4218909" cy="378600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6523" cy="3792841"/>
                    </a:xfrm>
                    <a:prstGeom prst="rect">
                      <a:avLst/>
                    </a:prstGeom>
                    <a:noFill/>
                  </pic:spPr>
                </pic:pic>
              </a:graphicData>
            </a:graphic>
          </wp:inline>
        </w:drawing>
      </w:r>
    </w:p>
    <w:p w14:paraId="7BC6DEDC" w14:textId="77777777" w:rsidR="008B6027" w:rsidRDefault="008B6027" w:rsidP="00FB5111">
      <w:pPr>
        <w:jc w:val="center"/>
      </w:pPr>
    </w:p>
    <w:p w14:paraId="17609E94" w14:textId="77777777" w:rsidR="00FB5111" w:rsidRPr="00F123A3" w:rsidRDefault="00FB5111" w:rsidP="008B6027">
      <w:pPr>
        <w:pStyle w:val="Caption"/>
      </w:pPr>
      <w:bookmarkStart w:id="786" w:name="_Ref484720105"/>
      <w:bookmarkStart w:id="787" w:name="_Toc485125530"/>
      <w:r w:rsidRPr="008B6027">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8B6027">
        <w:noBreakHyphen/>
      </w:r>
      <w:r w:rsidR="00272F76">
        <w:fldChar w:fldCharType="begin"/>
      </w:r>
      <w:r w:rsidR="00272F76">
        <w:instrText xml:space="preserve"> SEQ Figure \* ARABIC \s 1 </w:instrText>
      </w:r>
      <w:r w:rsidR="00272F76">
        <w:fldChar w:fldCharType="separate"/>
      </w:r>
      <w:r w:rsidR="00C407F4">
        <w:rPr>
          <w:noProof/>
        </w:rPr>
        <w:t>13</w:t>
      </w:r>
      <w:r w:rsidR="00272F76">
        <w:rPr>
          <w:noProof/>
        </w:rPr>
        <w:fldChar w:fldCharType="end"/>
      </w:r>
      <w:bookmarkEnd w:id="786"/>
      <w:r w:rsidRPr="008B6027">
        <w:t xml:space="preserve">. </w:t>
      </w:r>
      <w:r w:rsidR="008B6027" w:rsidRPr="008B6027">
        <w:t xml:space="preserve">Statewide Technical, Economic and Cumulative </w:t>
      </w:r>
      <w:r w:rsidR="008B6027">
        <w:t>Gas</w:t>
      </w:r>
      <w:r w:rsidR="008B6027" w:rsidRPr="008B6027">
        <w:t xml:space="preserve"> Market Potential</w:t>
      </w:r>
      <w:bookmarkEnd w:id="787"/>
    </w:p>
    <w:p w14:paraId="70B04298" w14:textId="77777777" w:rsidR="00FB5111" w:rsidRDefault="00FB5111" w:rsidP="00FB5111">
      <w:pPr>
        <w:jc w:val="center"/>
      </w:pPr>
      <w:r>
        <w:rPr>
          <w:noProof/>
        </w:rPr>
        <w:drawing>
          <wp:inline distT="0" distB="0" distL="0" distR="0" wp14:anchorId="41A49836" wp14:editId="62703225">
            <wp:extent cx="4208163" cy="3482257"/>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4908" cy="3487839"/>
                    </a:xfrm>
                    <a:prstGeom prst="rect">
                      <a:avLst/>
                    </a:prstGeom>
                    <a:noFill/>
                  </pic:spPr>
                </pic:pic>
              </a:graphicData>
            </a:graphic>
          </wp:inline>
        </w:drawing>
      </w:r>
    </w:p>
    <w:p w14:paraId="34F7AF37" w14:textId="77777777" w:rsidR="008453C4" w:rsidRDefault="008453C4" w:rsidP="008453C4">
      <w:pPr>
        <w:jc w:val="both"/>
      </w:pPr>
    </w:p>
    <w:p w14:paraId="1D099D56" w14:textId="33E482EF" w:rsidR="00AF6191" w:rsidRDefault="00AF6191" w:rsidP="00AF6191">
      <w:pPr>
        <w:jc w:val="both"/>
      </w:pPr>
      <w:r w:rsidRPr="00156E54">
        <w:fldChar w:fldCharType="begin"/>
      </w:r>
      <w:r w:rsidRPr="00156E54">
        <w:instrText xml:space="preserve"> REF _Ref484532670 \h </w:instrText>
      </w:r>
      <w:r>
        <w:instrText xml:space="preserve"> \* MERGEFORMAT </w:instrText>
      </w:r>
      <w:r w:rsidRPr="00156E54">
        <w:fldChar w:fldCharType="separate"/>
      </w:r>
      <w:r w:rsidR="00C407F4" w:rsidRPr="00F123A3">
        <w:t xml:space="preserve">Figure </w:t>
      </w:r>
      <w:r w:rsidR="00C407F4">
        <w:rPr>
          <w:noProof/>
        </w:rPr>
        <w:t>4</w:t>
      </w:r>
      <w:r w:rsidR="00C407F4" w:rsidRPr="00F123A3">
        <w:rPr>
          <w:noProof/>
        </w:rPr>
        <w:noBreakHyphen/>
      </w:r>
      <w:r w:rsidR="00C407F4">
        <w:rPr>
          <w:noProof/>
        </w:rPr>
        <w:t>14</w:t>
      </w:r>
      <w:r w:rsidRPr="00156E54">
        <w:fldChar w:fldCharType="end"/>
      </w:r>
      <w:r w:rsidRPr="00156E54">
        <w:t xml:space="preserve"> through </w:t>
      </w:r>
      <w:r w:rsidRPr="00156E54">
        <w:fldChar w:fldCharType="begin"/>
      </w:r>
      <w:r w:rsidRPr="00156E54">
        <w:instrText xml:space="preserve"> REF _Ref484532672 \h </w:instrText>
      </w:r>
      <w:r>
        <w:instrText xml:space="preserve"> \* MERGEFORMAT </w:instrText>
      </w:r>
      <w:r w:rsidRPr="00156E54">
        <w:fldChar w:fldCharType="separate"/>
      </w:r>
      <w:r w:rsidR="00C407F4" w:rsidRPr="00F123A3">
        <w:t xml:space="preserve">Figure </w:t>
      </w:r>
      <w:r w:rsidR="00C407F4">
        <w:rPr>
          <w:noProof/>
        </w:rPr>
        <w:t>4</w:t>
      </w:r>
      <w:r w:rsidR="00C407F4" w:rsidRPr="00F123A3">
        <w:rPr>
          <w:noProof/>
        </w:rPr>
        <w:noBreakHyphen/>
      </w:r>
      <w:r w:rsidR="00C407F4">
        <w:rPr>
          <w:noProof/>
        </w:rPr>
        <w:t>22</w:t>
      </w:r>
      <w:r w:rsidRPr="00156E54">
        <w:fldChar w:fldCharType="end"/>
      </w:r>
      <w:r w:rsidRPr="00156E54">
        <w:t xml:space="preserve"> illustrate the statewide incremental market potential from IOU rebate programs by scenario for electric (GWh) and gas (MMTherms) respectively. </w:t>
      </w:r>
      <w:r w:rsidRPr="00156E54">
        <w:fldChar w:fldCharType="begin"/>
      </w:r>
      <w:r w:rsidRPr="00156E54">
        <w:instrText xml:space="preserve"> REF _Ref484532670 \h </w:instrText>
      </w:r>
      <w:r>
        <w:instrText xml:space="preserve"> \* MERGEFORMAT </w:instrText>
      </w:r>
      <w:r w:rsidRPr="00156E54">
        <w:fldChar w:fldCharType="separate"/>
      </w:r>
      <w:r w:rsidR="00C407F4" w:rsidRPr="00F123A3">
        <w:t xml:space="preserve">Figure </w:t>
      </w:r>
      <w:r w:rsidR="00C407F4">
        <w:rPr>
          <w:noProof/>
        </w:rPr>
        <w:t>4</w:t>
      </w:r>
      <w:r w:rsidR="00C407F4" w:rsidRPr="00F123A3">
        <w:rPr>
          <w:noProof/>
        </w:rPr>
        <w:noBreakHyphen/>
      </w:r>
      <w:r w:rsidR="00C407F4">
        <w:rPr>
          <w:noProof/>
        </w:rPr>
        <w:t>14</w:t>
      </w:r>
      <w:r w:rsidRPr="00156E54">
        <w:fldChar w:fldCharType="end"/>
      </w:r>
      <w:r w:rsidRPr="00156E54">
        <w:t xml:space="preserve"> through </w:t>
      </w:r>
      <w:r w:rsidRPr="00156E54">
        <w:fldChar w:fldCharType="begin"/>
      </w:r>
      <w:r w:rsidRPr="00156E54">
        <w:instrText xml:space="preserve"> REF _Ref484532698 \h </w:instrText>
      </w:r>
      <w:r>
        <w:instrText xml:space="preserve"> \* MERGEFORMAT </w:instrText>
      </w:r>
      <w:r w:rsidRPr="00156E54">
        <w:fldChar w:fldCharType="separate"/>
      </w:r>
      <w:r w:rsidR="00C407F4" w:rsidRPr="00F123A3">
        <w:t xml:space="preserve">Figure </w:t>
      </w:r>
      <w:r w:rsidR="00C407F4">
        <w:rPr>
          <w:noProof/>
        </w:rPr>
        <w:t>4</w:t>
      </w:r>
      <w:r w:rsidR="00C407F4" w:rsidRPr="00F123A3">
        <w:rPr>
          <w:noProof/>
        </w:rPr>
        <w:noBreakHyphen/>
      </w:r>
      <w:r w:rsidR="00C407F4">
        <w:rPr>
          <w:noProof/>
        </w:rPr>
        <w:t>16</w:t>
      </w:r>
      <w:r w:rsidRPr="00156E54">
        <w:fldChar w:fldCharType="end"/>
      </w:r>
      <w:r w:rsidRPr="00156E54">
        <w:t xml:space="preserve"> include IOU claimable savings from C&amp;S advocacy and behavior programs. All graphs exclude savings from re-participants and effects of energy efficiency financing. </w:t>
      </w:r>
    </w:p>
    <w:p w14:paraId="14E5A33E" w14:textId="77777777" w:rsidR="00AF6191" w:rsidRDefault="00AF6191" w:rsidP="008453C4">
      <w:pPr>
        <w:jc w:val="both"/>
        <w:rPr>
          <w:highlight w:val="green"/>
        </w:rPr>
      </w:pPr>
    </w:p>
    <w:p w14:paraId="48B44170" w14:textId="7AA2378F" w:rsidR="008453C4" w:rsidRDefault="00F123A3" w:rsidP="008453C4">
      <w:pPr>
        <w:jc w:val="both"/>
      </w:pPr>
      <w:r>
        <w:rPr>
          <w:highlight w:val="green"/>
        </w:rPr>
        <w:fldChar w:fldCharType="begin"/>
      </w:r>
      <w:r>
        <w:instrText xml:space="preserve"> REF _Ref484532670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14</w:t>
      </w:r>
      <w:r>
        <w:rPr>
          <w:highlight w:val="green"/>
        </w:rPr>
        <w:fldChar w:fldCharType="end"/>
      </w:r>
      <w:r>
        <w:t xml:space="preserve"> and </w:t>
      </w:r>
      <w:r>
        <w:rPr>
          <w:highlight w:val="green"/>
        </w:rPr>
        <w:fldChar w:fldCharType="begin"/>
      </w:r>
      <w:r>
        <w:instrText xml:space="preserve"> REF _Ref484532726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15</w:t>
      </w:r>
      <w:r>
        <w:rPr>
          <w:highlight w:val="green"/>
        </w:rPr>
        <w:fldChar w:fldCharType="end"/>
      </w:r>
      <w:r>
        <w:t xml:space="preserve"> </w:t>
      </w:r>
      <w:r w:rsidR="008453C4">
        <w:t xml:space="preserve">show the breakdown of electric and gas savings respectively by sector and/or program type. Key observations from these graphs are: </w:t>
      </w:r>
    </w:p>
    <w:p w14:paraId="463F3D34" w14:textId="77777777" w:rsidR="008453C4" w:rsidRDefault="008453C4" w:rsidP="004E4E36">
      <w:pPr>
        <w:pStyle w:val="ListParagraph"/>
        <w:numPr>
          <w:ilvl w:val="0"/>
          <w:numId w:val="70"/>
        </w:numPr>
        <w:jc w:val="both"/>
      </w:pPr>
      <w:r>
        <w:t xml:space="preserve">C&amp;S advocacy dominates market potential for both electric and gas savings. </w:t>
      </w:r>
      <w:r w:rsidR="00F6067E">
        <w:t xml:space="preserve">See additional discussion in section </w:t>
      </w:r>
      <w:r w:rsidR="00F6067E">
        <w:fldChar w:fldCharType="begin"/>
      </w:r>
      <w:r w:rsidR="00F6067E">
        <w:instrText xml:space="preserve"> REF _Ref484547969 \n \h </w:instrText>
      </w:r>
      <w:r w:rsidR="00F6067E">
        <w:fldChar w:fldCharType="separate"/>
      </w:r>
      <w:r w:rsidR="00C407F4">
        <w:t>4.1.3</w:t>
      </w:r>
      <w:r w:rsidR="00F6067E">
        <w:fldChar w:fldCharType="end"/>
      </w:r>
      <w:r w:rsidR="00F6067E">
        <w:t>.</w:t>
      </w:r>
    </w:p>
    <w:p w14:paraId="031BD3BA" w14:textId="77777777" w:rsidR="008453C4" w:rsidRDefault="008453C4" w:rsidP="004E4E36">
      <w:pPr>
        <w:pStyle w:val="ListParagraph"/>
        <w:numPr>
          <w:ilvl w:val="0"/>
          <w:numId w:val="70"/>
        </w:numPr>
        <w:jc w:val="both"/>
      </w:pPr>
      <w:r>
        <w:t xml:space="preserve">Behavior programs contribute significantly to market potential for both electric and gas savings. </w:t>
      </w:r>
      <w:r w:rsidR="00F6067E">
        <w:t>See additional discussion in section</w:t>
      </w:r>
      <w:r w:rsidR="00A93CE5">
        <w:t xml:space="preserve"> </w:t>
      </w:r>
      <w:r w:rsidR="00A93CE5">
        <w:fldChar w:fldCharType="begin"/>
      </w:r>
      <w:r w:rsidR="00A93CE5">
        <w:instrText xml:space="preserve"> REF _Ref484595975 \n \h </w:instrText>
      </w:r>
      <w:r w:rsidR="00A93CE5">
        <w:fldChar w:fldCharType="separate"/>
      </w:r>
      <w:r w:rsidR="00C407F4">
        <w:t>4.1.1.3</w:t>
      </w:r>
      <w:r w:rsidR="00A93CE5">
        <w:fldChar w:fldCharType="end"/>
      </w:r>
      <w:r w:rsidR="00F6067E">
        <w:t>.</w:t>
      </w:r>
    </w:p>
    <w:p w14:paraId="5D964642" w14:textId="77777777" w:rsidR="008453C4" w:rsidRDefault="008453C4" w:rsidP="004E4E36">
      <w:pPr>
        <w:pStyle w:val="ListParagraph"/>
        <w:numPr>
          <w:ilvl w:val="0"/>
          <w:numId w:val="70"/>
        </w:numPr>
        <w:jc w:val="both"/>
      </w:pPr>
      <w:r>
        <w:t xml:space="preserve">Amongst </w:t>
      </w:r>
      <w:r w:rsidR="00F6067E">
        <w:t xml:space="preserve">rebated </w:t>
      </w:r>
      <w:r>
        <w:t xml:space="preserve">equipment savings, the commercial sector dominates market potential for electric savings, while the industrial sector dominates for gas savings. This aligns with the fact that there is less gas usage in the commercial sector and significant gas usage in the industrial sector. </w:t>
      </w:r>
    </w:p>
    <w:p w14:paraId="69123AF4" w14:textId="77777777" w:rsidR="008453C4" w:rsidRDefault="008453C4" w:rsidP="004E4E36">
      <w:pPr>
        <w:pStyle w:val="ListParagraph"/>
        <w:numPr>
          <w:ilvl w:val="0"/>
          <w:numId w:val="70"/>
        </w:numPr>
        <w:jc w:val="both"/>
      </w:pPr>
      <w:r>
        <w:t xml:space="preserve">Low income programs implemented in the residential sector contribute minimally to market </w:t>
      </w:r>
      <w:r w:rsidR="00F6067E">
        <w:t xml:space="preserve">potential for electric savings. </w:t>
      </w:r>
      <w:r w:rsidR="00A93CE5">
        <w:t>However,</w:t>
      </w:r>
      <w:r w:rsidR="00F6067E">
        <w:t xml:space="preserve"> it </w:t>
      </w:r>
      <w:r>
        <w:t>produce</w:t>
      </w:r>
      <w:r w:rsidR="00F6067E">
        <w:t>s</w:t>
      </w:r>
      <w:r>
        <w:t xml:space="preserve"> savings that are approximately on par with non-low income potential in the residential sector for gas savings.</w:t>
      </w:r>
      <w:r w:rsidR="00F6067E">
        <w:t xml:space="preserve"> This is because the TRC test shows limited cost effective residential gas savings opportunities meanwhile no cost effectiveness screen is applied to Low Income programs. </w:t>
      </w:r>
    </w:p>
    <w:p w14:paraId="7B6C7F79" w14:textId="77777777" w:rsidR="008453C4" w:rsidRDefault="008453C4" w:rsidP="008453C4">
      <w:pPr>
        <w:jc w:val="center"/>
        <w:rPr>
          <w:b/>
          <w:bCs/>
          <w:color w:val="3F4042"/>
          <w:szCs w:val="20"/>
        </w:rPr>
      </w:pPr>
    </w:p>
    <w:p w14:paraId="0C634730" w14:textId="77777777" w:rsidR="008453C4" w:rsidRPr="00F123A3" w:rsidRDefault="008453C4" w:rsidP="00F123A3">
      <w:pPr>
        <w:pStyle w:val="Caption"/>
      </w:pPr>
      <w:bookmarkStart w:id="788" w:name="_Ref484532670"/>
      <w:bookmarkStart w:id="789" w:name="_Toc485125531"/>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14</w:t>
      </w:r>
      <w:r w:rsidR="00272F76">
        <w:rPr>
          <w:noProof/>
        </w:rPr>
        <w:fldChar w:fldCharType="end"/>
      </w:r>
      <w:bookmarkEnd w:id="788"/>
      <w:r w:rsidRPr="00F123A3">
        <w:t>. Statewide Incremental Electric Market Potential by Sector</w:t>
      </w:r>
      <w:bookmarkEnd w:id="789"/>
    </w:p>
    <w:p w14:paraId="57AEA439" w14:textId="77777777" w:rsidR="008453C4" w:rsidRDefault="008453C4" w:rsidP="008453C4">
      <w:pPr>
        <w:jc w:val="center"/>
      </w:pPr>
      <w:r>
        <w:rPr>
          <w:noProof/>
        </w:rPr>
        <w:drawing>
          <wp:inline distT="0" distB="0" distL="0" distR="0" wp14:anchorId="0540B02E" wp14:editId="1DB3760E">
            <wp:extent cx="5882012" cy="2871851"/>
            <wp:effectExtent l="0" t="0" r="444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852" cy="2874214"/>
                    </a:xfrm>
                    <a:prstGeom prst="rect">
                      <a:avLst/>
                    </a:prstGeom>
                    <a:noFill/>
                  </pic:spPr>
                </pic:pic>
              </a:graphicData>
            </a:graphic>
          </wp:inline>
        </w:drawing>
      </w:r>
    </w:p>
    <w:p w14:paraId="61DF09DA" w14:textId="77777777" w:rsidR="008453C4" w:rsidRDefault="008453C4" w:rsidP="008453C4">
      <w:pPr>
        <w:jc w:val="center"/>
      </w:pPr>
    </w:p>
    <w:p w14:paraId="4489E6A8" w14:textId="77777777" w:rsidR="008453C4" w:rsidRPr="00F123A3" w:rsidRDefault="008453C4" w:rsidP="00F123A3">
      <w:pPr>
        <w:pStyle w:val="Caption"/>
      </w:pPr>
      <w:bookmarkStart w:id="790" w:name="_Ref484532726"/>
      <w:bookmarkStart w:id="791" w:name="_Toc485125532"/>
      <w:r w:rsidRPr="00F123A3">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15</w:t>
      </w:r>
      <w:r w:rsidR="00272F76">
        <w:rPr>
          <w:noProof/>
        </w:rPr>
        <w:fldChar w:fldCharType="end"/>
      </w:r>
      <w:bookmarkEnd w:id="790"/>
      <w:r w:rsidRPr="00F123A3">
        <w:t>. Statewide Incremental Gas Market Potential by Sector</w:t>
      </w:r>
      <w:bookmarkEnd w:id="791"/>
    </w:p>
    <w:p w14:paraId="79629B89" w14:textId="77777777" w:rsidR="008453C4" w:rsidRDefault="008453C4" w:rsidP="008453C4">
      <w:pPr>
        <w:jc w:val="center"/>
      </w:pPr>
      <w:r>
        <w:rPr>
          <w:noProof/>
        </w:rPr>
        <w:drawing>
          <wp:inline distT="0" distB="0" distL="0" distR="0" wp14:anchorId="08C4CA69" wp14:editId="0095D106">
            <wp:extent cx="5792117" cy="2827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5726" cy="2829722"/>
                    </a:xfrm>
                    <a:prstGeom prst="rect">
                      <a:avLst/>
                    </a:prstGeom>
                    <a:noFill/>
                  </pic:spPr>
                </pic:pic>
              </a:graphicData>
            </a:graphic>
          </wp:inline>
        </w:drawing>
      </w:r>
    </w:p>
    <w:p w14:paraId="56F5D52C" w14:textId="337FD321" w:rsidR="008453C4" w:rsidRDefault="00F123A3" w:rsidP="008453C4">
      <w:pPr>
        <w:jc w:val="both"/>
      </w:pPr>
      <w:r>
        <w:fldChar w:fldCharType="begin"/>
      </w:r>
      <w:r>
        <w:instrText xml:space="preserve"> REF _Ref484532698 \h </w:instrText>
      </w:r>
      <w:r>
        <w:fldChar w:fldCharType="separate"/>
      </w:r>
      <w:r w:rsidR="00C407F4" w:rsidRPr="00F123A3">
        <w:t xml:space="preserve">Figure </w:t>
      </w:r>
      <w:r w:rsidR="00C407F4">
        <w:rPr>
          <w:noProof/>
        </w:rPr>
        <w:t>4</w:t>
      </w:r>
      <w:r w:rsidR="00C407F4" w:rsidRPr="00F123A3">
        <w:noBreakHyphen/>
      </w:r>
      <w:r w:rsidR="00C407F4">
        <w:rPr>
          <w:noProof/>
        </w:rPr>
        <w:t>16</w:t>
      </w:r>
      <w:r>
        <w:fldChar w:fldCharType="end"/>
      </w:r>
      <w:r>
        <w:t xml:space="preserve"> </w:t>
      </w:r>
      <w:r w:rsidR="008453C4">
        <w:t xml:space="preserve">shows the breakdown of statewide spending by sector and/or program type. Since there are </w:t>
      </w:r>
      <w:r w:rsidR="004C13B8">
        <w:t xml:space="preserve">little </w:t>
      </w:r>
      <w:r w:rsidR="008453C4">
        <w:t xml:space="preserve">costs to report for C&amp;S advocacy, spending is dominated by IOU rebate programs for equipment savings in the commercial sector, followed by the residential sector and behavior programs. We do not report spending for low income programs. </w:t>
      </w:r>
    </w:p>
    <w:p w14:paraId="2FFFE34F" w14:textId="77777777" w:rsidR="00F123A3" w:rsidRDefault="00F123A3" w:rsidP="008453C4">
      <w:pPr>
        <w:jc w:val="both"/>
      </w:pPr>
    </w:p>
    <w:p w14:paraId="06C01DE0" w14:textId="77777777" w:rsidR="008453C4" w:rsidRPr="00F123A3" w:rsidRDefault="008453C4" w:rsidP="00F123A3">
      <w:pPr>
        <w:pStyle w:val="Caption"/>
      </w:pPr>
      <w:bookmarkStart w:id="792" w:name="_Ref484532698"/>
      <w:bookmarkStart w:id="793" w:name="_Toc485125533"/>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16</w:t>
      </w:r>
      <w:r w:rsidR="00272F76">
        <w:rPr>
          <w:noProof/>
        </w:rPr>
        <w:fldChar w:fldCharType="end"/>
      </w:r>
      <w:bookmarkEnd w:id="792"/>
      <w:r w:rsidRPr="00F123A3">
        <w:t>. Statewide Spending by Sector</w:t>
      </w:r>
      <w:bookmarkEnd w:id="793"/>
    </w:p>
    <w:p w14:paraId="1346DB7E" w14:textId="77777777" w:rsidR="008453C4" w:rsidRDefault="008453C4" w:rsidP="008453C4">
      <w:pPr>
        <w:jc w:val="center"/>
      </w:pPr>
      <w:r>
        <w:rPr>
          <w:noProof/>
        </w:rPr>
        <w:drawing>
          <wp:inline distT="0" distB="0" distL="0" distR="0" wp14:anchorId="0E809379" wp14:editId="75A63696">
            <wp:extent cx="5618868" cy="3008147"/>
            <wp:effectExtent l="0" t="0" r="127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499" cy="3012232"/>
                    </a:xfrm>
                    <a:prstGeom prst="rect">
                      <a:avLst/>
                    </a:prstGeom>
                    <a:noFill/>
                  </pic:spPr>
                </pic:pic>
              </a:graphicData>
            </a:graphic>
          </wp:inline>
        </w:drawing>
      </w:r>
    </w:p>
    <w:p w14:paraId="205F1E55" w14:textId="77777777" w:rsidR="00F6067E" w:rsidRDefault="00F6067E" w:rsidP="008453C4">
      <w:pPr>
        <w:jc w:val="center"/>
      </w:pPr>
    </w:p>
    <w:p w14:paraId="7C1B6723" w14:textId="1215AC4E" w:rsidR="00F6067E" w:rsidRDefault="00F6067E" w:rsidP="00F6067E">
      <w:r>
        <w:t xml:space="preserve">Additional versions of </w:t>
      </w:r>
      <w:r>
        <w:rPr>
          <w:highlight w:val="green"/>
        </w:rPr>
        <w:fldChar w:fldCharType="begin"/>
      </w:r>
      <w:r>
        <w:instrText xml:space="preserve"> REF _Ref484532670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14</w:t>
      </w:r>
      <w:r>
        <w:rPr>
          <w:highlight w:val="green"/>
        </w:rPr>
        <w:fldChar w:fldCharType="end"/>
      </w:r>
      <w:r>
        <w:t xml:space="preserve"> through </w:t>
      </w:r>
      <w:r>
        <w:fldChar w:fldCharType="begin"/>
      </w:r>
      <w:r>
        <w:instrText xml:space="preserve"> REF _Ref484532698 \h </w:instrText>
      </w:r>
      <w:r>
        <w:fldChar w:fldCharType="separate"/>
      </w:r>
      <w:r w:rsidR="00C407F4" w:rsidRPr="00F123A3">
        <w:t xml:space="preserve">Figure </w:t>
      </w:r>
      <w:r w:rsidR="00C407F4">
        <w:rPr>
          <w:noProof/>
        </w:rPr>
        <w:t>4</w:t>
      </w:r>
      <w:r w:rsidR="00C407F4" w:rsidRPr="00F123A3">
        <w:noBreakHyphen/>
      </w:r>
      <w:r w:rsidR="00C407F4">
        <w:rPr>
          <w:noProof/>
        </w:rPr>
        <w:t>16</w:t>
      </w:r>
      <w:r>
        <w:fldChar w:fldCharType="end"/>
      </w:r>
      <w:r>
        <w:t xml:space="preserve"> for each IOU and including peak demand savings can be found in the results viewer under the tabs “</w:t>
      </w:r>
      <w:r w:rsidRPr="00F6067E">
        <w:t>Total Incremental Potential</w:t>
      </w:r>
      <w:r>
        <w:t>” and “</w:t>
      </w:r>
      <w:r w:rsidRPr="00F6067E">
        <w:t>Total Spending</w:t>
      </w:r>
      <w:r>
        <w:t>”.</w:t>
      </w:r>
    </w:p>
    <w:p w14:paraId="425095C3" w14:textId="77777777" w:rsidR="00F6067E" w:rsidRDefault="00F6067E" w:rsidP="00F6067E"/>
    <w:p w14:paraId="288E30FC" w14:textId="77777777" w:rsidR="00184B08" w:rsidRDefault="00184B08" w:rsidP="00184B08">
      <w:pPr>
        <w:jc w:val="both"/>
      </w:pPr>
      <w:r>
        <w:t>The following subsections discuss the end use-level results of the TRC | Reference scenario for equipment savings from IOU rebate programs in different sectors. These graphs exclude IOU claimable savings from C&amp;S advocacy, behavior programs, re-participants and energy efficiency financing. Additional versions of this graph for each IOU Can be found in the results viewer under the “</w:t>
      </w:r>
      <w:r w:rsidRPr="00184B08">
        <w:t>Use Category - Inc Rebate Net</w:t>
      </w:r>
      <w:r>
        <w:t>” tab. Note that measure-level results are available in a database that accompanies this report.</w:t>
      </w:r>
    </w:p>
    <w:p w14:paraId="71F9F089" w14:textId="77777777" w:rsidR="008453C4" w:rsidRDefault="008453C4" w:rsidP="008453C4">
      <w:pPr>
        <w:pStyle w:val="Heading4"/>
      </w:pPr>
      <w:r>
        <w:t>Residential Rebate Programs</w:t>
      </w:r>
    </w:p>
    <w:p w14:paraId="1C8DB26E" w14:textId="25D62CA0" w:rsidR="008453C4" w:rsidRDefault="00F123A3" w:rsidP="008453C4">
      <w:pPr>
        <w:jc w:val="both"/>
      </w:pPr>
      <w:r>
        <w:fldChar w:fldCharType="begin"/>
      </w:r>
      <w:r>
        <w:instrText xml:space="preserve"> REF _Ref484532779 \h </w:instrText>
      </w:r>
      <w:r>
        <w:fldChar w:fldCharType="separate"/>
      </w:r>
      <w:r w:rsidR="00C407F4" w:rsidRPr="00F123A3">
        <w:t xml:space="preserve">Figure </w:t>
      </w:r>
      <w:r w:rsidR="00C407F4">
        <w:rPr>
          <w:noProof/>
        </w:rPr>
        <w:t>4</w:t>
      </w:r>
      <w:r w:rsidR="00C407F4" w:rsidRPr="00F123A3">
        <w:noBreakHyphen/>
      </w:r>
      <w:r w:rsidR="00C407F4">
        <w:rPr>
          <w:noProof/>
        </w:rPr>
        <w:t>17</w:t>
      </w:r>
      <w:r>
        <w:fldChar w:fldCharType="end"/>
      </w:r>
      <w:r>
        <w:t xml:space="preserve"> </w:t>
      </w:r>
      <w:r w:rsidR="008453C4">
        <w:t xml:space="preserve">shows the breakdown of electric savings by end use in the residential sector. Key observations from this graph are: </w:t>
      </w:r>
    </w:p>
    <w:p w14:paraId="0302E6C7" w14:textId="77777777" w:rsidR="008453C4" w:rsidRDefault="008453C4" w:rsidP="004E4E36">
      <w:pPr>
        <w:pStyle w:val="ListParagraph"/>
        <w:numPr>
          <w:ilvl w:val="0"/>
          <w:numId w:val="71"/>
        </w:numPr>
        <w:jc w:val="both"/>
      </w:pPr>
      <w:r>
        <w:t>Amongst end use categories that capture potential from discrete measures, lighting dominates electric potential in the residential sector, followed by Appliance and HVAC measures. Light</w:t>
      </w:r>
      <w:r w:rsidR="00953B7C">
        <w:t xml:space="preserve">ing potential is driven by LEDs. </w:t>
      </w:r>
      <w:r>
        <w:t>EISA standards that are expected to take effect in 2018</w:t>
      </w:r>
      <w:r w:rsidR="00953B7C">
        <w:t xml:space="preserve"> remove savings from CFLs and drive programs and customers toward LEDs as high efficiency opportunities</w:t>
      </w:r>
      <w:r>
        <w:t xml:space="preserve">. </w:t>
      </w:r>
    </w:p>
    <w:p w14:paraId="215C1857" w14:textId="77777777" w:rsidR="008453C4" w:rsidRDefault="008453C4" w:rsidP="004E4E36">
      <w:pPr>
        <w:pStyle w:val="ListParagraph"/>
        <w:numPr>
          <w:ilvl w:val="0"/>
          <w:numId w:val="71"/>
        </w:numPr>
        <w:jc w:val="both"/>
      </w:pPr>
      <w:r>
        <w:t xml:space="preserve">Residential whole building potential contributes somewhat significantly </w:t>
      </w:r>
      <w:r w:rsidR="00953B7C">
        <w:t>to potential in the first few years of the forecast</w:t>
      </w:r>
      <w:r>
        <w:t>. The drop</w:t>
      </w:r>
      <w:r w:rsidR="00953B7C">
        <w:t xml:space="preserve"> </w:t>
      </w:r>
      <w:r>
        <w:t xml:space="preserve">in savings between 2019 and 2020 is due to a new Title 24 code that is expected to take effect starting in 2020. </w:t>
      </w:r>
    </w:p>
    <w:p w14:paraId="651E965A" w14:textId="77777777" w:rsidR="008453C4" w:rsidRDefault="008453C4" w:rsidP="004E4E36">
      <w:pPr>
        <w:pStyle w:val="ListParagraph"/>
        <w:numPr>
          <w:ilvl w:val="0"/>
          <w:numId w:val="71"/>
        </w:numPr>
        <w:jc w:val="both"/>
      </w:pPr>
      <w:r>
        <w:t xml:space="preserve">Overall potential ramps up significantly towards 2024 and then gradually begins to taper off towards the end of the forecast period. This is due to the model simulating an increasingly saturated market over time as more customers begin adopting efficient equipment </w:t>
      </w:r>
      <w:r w:rsidR="00953B7C">
        <w:t xml:space="preserve">with limited </w:t>
      </w:r>
      <w:r w:rsidR="00953B7C">
        <w:lastRenderedPageBreak/>
        <w:t>remaining low efficiency equipment to convert</w:t>
      </w:r>
      <w:r>
        <w:t xml:space="preserve">. This behavior is primarily driven by lighting measures, </w:t>
      </w:r>
      <w:r w:rsidR="00953B7C">
        <w:t xml:space="preserve">which turn over at a fast rate than other equipment. </w:t>
      </w:r>
    </w:p>
    <w:p w14:paraId="617AD5E2" w14:textId="77777777" w:rsidR="008453C4" w:rsidRDefault="008453C4" w:rsidP="008453C4">
      <w:pPr>
        <w:jc w:val="both"/>
      </w:pPr>
    </w:p>
    <w:p w14:paraId="406C1B1D" w14:textId="77777777" w:rsidR="008453C4" w:rsidRPr="00F123A3" w:rsidRDefault="008453C4" w:rsidP="00F123A3">
      <w:pPr>
        <w:pStyle w:val="Caption"/>
      </w:pPr>
      <w:bookmarkStart w:id="794" w:name="_Ref484532779"/>
      <w:bookmarkStart w:id="795" w:name="_Toc485125534"/>
      <w:r w:rsidRPr="00F123A3">
        <w:t xml:space="preserve">Figure </w:t>
      </w:r>
      <w:r w:rsidR="00272F76">
        <w:fldChar w:fldCharType="begin"/>
      </w:r>
      <w:r w:rsidR="00272F76">
        <w:instrText xml:space="preserve"> STY</w:instrText>
      </w:r>
      <w:r w:rsidR="00272F76">
        <w:instrText xml:space="preserve">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17</w:t>
      </w:r>
      <w:r w:rsidR="00272F76">
        <w:rPr>
          <w:noProof/>
        </w:rPr>
        <w:fldChar w:fldCharType="end"/>
      </w:r>
      <w:bookmarkEnd w:id="794"/>
      <w:r w:rsidRPr="00F123A3">
        <w:t>. Statewide Incremental Electric Market Potential by End Use in the Residential Sector</w:t>
      </w:r>
      <w:bookmarkEnd w:id="795"/>
    </w:p>
    <w:p w14:paraId="0E59037A" w14:textId="77777777" w:rsidR="008453C4" w:rsidRDefault="008453C4" w:rsidP="008453C4">
      <w:pPr>
        <w:jc w:val="center"/>
      </w:pPr>
      <w:r>
        <w:rPr>
          <w:noProof/>
        </w:rPr>
        <w:drawing>
          <wp:inline distT="0" distB="0" distL="0" distR="0" wp14:anchorId="04891597" wp14:editId="1A0DEBBE">
            <wp:extent cx="5762029" cy="281904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8399" cy="2822160"/>
                    </a:xfrm>
                    <a:prstGeom prst="rect">
                      <a:avLst/>
                    </a:prstGeom>
                    <a:noFill/>
                  </pic:spPr>
                </pic:pic>
              </a:graphicData>
            </a:graphic>
          </wp:inline>
        </w:drawing>
      </w:r>
    </w:p>
    <w:p w14:paraId="07E70DEE" w14:textId="77777777" w:rsidR="008453C4" w:rsidRDefault="008453C4" w:rsidP="008453C4"/>
    <w:p w14:paraId="460E1630" w14:textId="520F823E" w:rsidR="008453C4" w:rsidRDefault="00F123A3" w:rsidP="008453C4">
      <w:pPr>
        <w:jc w:val="both"/>
      </w:pPr>
      <w:r>
        <w:rPr>
          <w:highlight w:val="green"/>
        </w:rPr>
        <w:fldChar w:fldCharType="begin"/>
      </w:r>
      <w:r>
        <w:instrText xml:space="preserve"> REF _Ref484532788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18</w:t>
      </w:r>
      <w:r>
        <w:rPr>
          <w:highlight w:val="green"/>
        </w:rPr>
        <w:fldChar w:fldCharType="end"/>
      </w:r>
      <w:r>
        <w:t xml:space="preserve"> </w:t>
      </w:r>
      <w:r w:rsidR="008453C4">
        <w:t xml:space="preserve">shows the breakdown of gas savings by end use in the residential sector. Key observations from this graph are: </w:t>
      </w:r>
    </w:p>
    <w:p w14:paraId="25760828" w14:textId="77777777" w:rsidR="008453C4" w:rsidRDefault="008453C4" w:rsidP="004E4E36">
      <w:pPr>
        <w:pStyle w:val="ListParagraph"/>
        <w:numPr>
          <w:ilvl w:val="0"/>
          <w:numId w:val="71"/>
        </w:numPr>
        <w:jc w:val="both"/>
      </w:pPr>
      <w:r>
        <w:t xml:space="preserve">Negative gas savings due to interactive effects from lighting measures reduces the overall net gas potential in the residential sector. </w:t>
      </w:r>
    </w:p>
    <w:p w14:paraId="3C239C68" w14:textId="77777777" w:rsidR="008453C4" w:rsidRDefault="008453C4" w:rsidP="004E4E36">
      <w:pPr>
        <w:pStyle w:val="ListParagraph"/>
        <w:numPr>
          <w:ilvl w:val="0"/>
          <w:numId w:val="71"/>
        </w:numPr>
        <w:jc w:val="both"/>
      </w:pPr>
      <w:r>
        <w:t xml:space="preserve">Amongst end use categories that capture potential from discrete measures, water heating dominates potential in the residential sector, followed by HVAC and Building Envelope measures. HVAC potential does not show up until 2021 as no measures screen the TRC test prior to that. </w:t>
      </w:r>
    </w:p>
    <w:p w14:paraId="3D340C43" w14:textId="77777777" w:rsidR="008453C4" w:rsidRDefault="008453C4" w:rsidP="004E4E36">
      <w:pPr>
        <w:pStyle w:val="ListParagraph"/>
        <w:numPr>
          <w:ilvl w:val="0"/>
          <w:numId w:val="71"/>
        </w:numPr>
        <w:jc w:val="both"/>
      </w:pPr>
      <w:r>
        <w:t xml:space="preserve">Residential whole building potential contributes significantly to overall potential. Again, the drop in savings between 2019 and 2020 is due to a new Title 24 code that is expected to take effect starting in 2020. </w:t>
      </w:r>
    </w:p>
    <w:p w14:paraId="10C72EF3" w14:textId="77777777" w:rsidR="008453C4" w:rsidRDefault="008453C4" w:rsidP="004E4E36">
      <w:pPr>
        <w:pStyle w:val="ListParagraph"/>
        <w:numPr>
          <w:ilvl w:val="0"/>
          <w:numId w:val="71"/>
        </w:numPr>
        <w:jc w:val="both"/>
      </w:pPr>
      <w:r>
        <w:t xml:space="preserve">Unlike electric potential, overall potential does not taper off towards the end of the forecast period as most gas measures have long lifetimes and do not turn over as fast.  As such, there continues to be opportunity for first-time adopters in the </w:t>
      </w:r>
      <w:r w:rsidR="00953B7C">
        <w:t xml:space="preserve">gas </w:t>
      </w:r>
      <w:r>
        <w:t>market, which does not saturate as fast.</w:t>
      </w:r>
    </w:p>
    <w:p w14:paraId="4460D421" w14:textId="77777777" w:rsidR="008453C4" w:rsidRDefault="008453C4" w:rsidP="008453C4"/>
    <w:p w14:paraId="51B6C423" w14:textId="77777777" w:rsidR="008453C4" w:rsidRPr="00F123A3" w:rsidRDefault="008453C4" w:rsidP="00F123A3">
      <w:pPr>
        <w:pStyle w:val="Caption"/>
      </w:pPr>
      <w:bookmarkStart w:id="796" w:name="_Ref484532788"/>
      <w:bookmarkStart w:id="797" w:name="_Toc485125535"/>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18</w:t>
      </w:r>
      <w:r w:rsidR="00272F76">
        <w:rPr>
          <w:noProof/>
        </w:rPr>
        <w:fldChar w:fldCharType="end"/>
      </w:r>
      <w:bookmarkEnd w:id="796"/>
      <w:r w:rsidRPr="00F123A3">
        <w:t>. Statewide Incremental Gas Market Potential by End Use in the Residential Sector</w:t>
      </w:r>
      <w:bookmarkEnd w:id="797"/>
    </w:p>
    <w:p w14:paraId="6B8F5DDC" w14:textId="77777777" w:rsidR="008453C4" w:rsidRDefault="008453C4" w:rsidP="008453C4">
      <w:pPr>
        <w:jc w:val="center"/>
      </w:pPr>
      <w:r>
        <w:rPr>
          <w:noProof/>
        </w:rPr>
        <w:drawing>
          <wp:inline distT="0" distB="0" distL="0" distR="0" wp14:anchorId="2319A01B" wp14:editId="291FFB9C">
            <wp:extent cx="5806886" cy="284099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7071" cy="2845973"/>
                    </a:xfrm>
                    <a:prstGeom prst="rect">
                      <a:avLst/>
                    </a:prstGeom>
                    <a:noFill/>
                  </pic:spPr>
                </pic:pic>
              </a:graphicData>
            </a:graphic>
          </wp:inline>
        </w:drawing>
      </w:r>
    </w:p>
    <w:p w14:paraId="7610B761" w14:textId="77777777" w:rsidR="008453C4" w:rsidRDefault="008453C4" w:rsidP="008453C4">
      <w:pPr>
        <w:pStyle w:val="Heading4"/>
      </w:pPr>
      <w:r>
        <w:t>Commercial Rebate Programs</w:t>
      </w:r>
    </w:p>
    <w:p w14:paraId="7A580B2E" w14:textId="5F9FF2D4" w:rsidR="008453C4" w:rsidRDefault="00F123A3" w:rsidP="008453C4">
      <w:pPr>
        <w:jc w:val="both"/>
      </w:pPr>
      <w:r>
        <w:rPr>
          <w:highlight w:val="green"/>
        </w:rPr>
        <w:fldChar w:fldCharType="begin"/>
      </w:r>
      <w:r>
        <w:instrText xml:space="preserve"> REF _Ref484532800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19</w:t>
      </w:r>
      <w:r>
        <w:rPr>
          <w:highlight w:val="green"/>
        </w:rPr>
        <w:fldChar w:fldCharType="end"/>
      </w:r>
      <w:r>
        <w:t xml:space="preserve"> </w:t>
      </w:r>
      <w:r w:rsidR="008453C4">
        <w:t xml:space="preserve">shows the breakdown of electric savings by end use in the commercial sector. Key observations from this graph are: </w:t>
      </w:r>
    </w:p>
    <w:p w14:paraId="1EB1E929" w14:textId="77777777" w:rsidR="008453C4" w:rsidRPr="00184B08" w:rsidRDefault="008453C4" w:rsidP="004E4E36">
      <w:pPr>
        <w:pStyle w:val="ListParagraph"/>
        <w:numPr>
          <w:ilvl w:val="0"/>
          <w:numId w:val="71"/>
        </w:numPr>
        <w:jc w:val="both"/>
      </w:pPr>
      <w:r w:rsidRPr="00184B08">
        <w:t>Amongst end use categories that capture potential from discrete measures, lighting dominates electric potential in the commercial sector, followed by HVAC and commercial refrigeration measures. Like the residential sector, lighting potential is driven by LEDs</w:t>
      </w:r>
      <w:r w:rsidR="00184B08" w:rsidRPr="00184B08">
        <w:t>.</w:t>
      </w:r>
    </w:p>
    <w:p w14:paraId="2A4A90B4" w14:textId="77777777" w:rsidR="008453C4" w:rsidRDefault="008453C4" w:rsidP="004E4E36">
      <w:pPr>
        <w:pStyle w:val="ListParagraph"/>
        <w:numPr>
          <w:ilvl w:val="0"/>
          <w:numId w:val="71"/>
        </w:numPr>
        <w:jc w:val="both"/>
      </w:pPr>
      <w:r>
        <w:t xml:space="preserve">Commercial whole building potential contributes significantly to overall potential. The </w:t>
      </w:r>
      <w:r w:rsidR="00184B08">
        <w:t>drop-in</w:t>
      </w:r>
      <w:r>
        <w:t xml:space="preserve"> savings between 2019 and 2020 is due to a new Title 24 code</w:t>
      </w:r>
      <w:r w:rsidR="00184B08">
        <w:t xml:space="preserve">. Whole building shows a larger potential in the future as commercial retrofit whole building programs are expected to capture savings. </w:t>
      </w:r>
    </w:p>
    <w:p w14:paraId="099E15D2" w14:textId="77777777" w:rsidR="008453C4" w:rsidRDefault="008453C4" w:rsidP="004E4E36">
      <w:pPr>
        <w:pStyle w:val="ListParagraph"/>
        <w:numPr>
          <w:ilvl w:val="0"/>
          <w:numId w:val="71"/>
        </w:numPr>
        <w:jc w:val="both"/>
      </w:pPr>
      <w:r>
        <w:t xml:space="preserve">Overall potential increases over the forecast period with a ramp rate that decreases over time. This is due to the model simulating an increasingly saturated market over time as more customers begin adopting efficient equipment for the first time. This behavior is less pronounced in the commercial sector versus the residential sector as lighting measures, which dominate potential, have longer lifetimes in commercial buildings. </w:t>
      </w:r>
    </w:p>
    <w:p w14:paraId="10B7D742" w14:textId="77777777" w:rsidR="00F123A3" w:rsidRDefault="00F123A3" w:rsidP="00F123A3">
      <w:pPr>
        <w:pStyle w:val="ListParagraph"/>
        <w:jc w:val="both"/>
      </w:pPr>
    </w:p>
    <w:p w14:paraId="77C9BAC4" w14:textId="77777777" w:rsidR="008453C4" w:rsidRPr="00F123A3" w:rsidRDefault="008453C4" w:rsidP="00F123A3">
      <w:pPr>
        <w:pStyle w:val="Caption"/>
      </w:pPr>
      <w:bookmarkStart w:id="798" w:name="_Ref484532800"/>
      <w:bookmarkStart w:id="799" w:name="_Toc485125536"/>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19</w:t>
      </w:r>
      <w:r w:rsidR="00272F76">
        <w:rPr>
          <w:noProof/>
        </w:rPr>
        <w:fldChar w:fldCharType="end"/>
      </w:r>
      <w:bookmarkEnd w:id="798"/>
      <w:r w:rsidRPr="00F123A3">
        <w:t>. Statewide Incremental Electric Market Potential by End Use in the Commercial Sector</w:t>
      </w:r>
      <w:bookmarkEnd w:id="799"/>
    </w:p>
    <w:p w14:paraId="110EEF76" w14:textId="77777777" w:rsidR="008453C4" w:rsidRDefault="008453C4" w:rsidP="008453C4">
      <w:pPr>
        <w:jc w:val="center"/>
      </w:pPr>
      <w:r>
        <w:rPr>
          <w:noProof/>
        </w:rPr>
        <w:drawing>
          <wp:inline distT="0" distB="0" distL="0" distR="0" wp14:anchorId="4B04544E" wp14:editId="00231CDD">
            <wp:extent cx="5821838" cy="2848305"/>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26879" cy="2850771"/>
                    </a:xfrm>
                    <a:prstGeom prst="rect">
                      <a:avLst/>
                    </a:prstGeom>
                    <a:noFill/>
                  </pic:spPr>
                </pic:pic>
              </a:graphicData>
            </a:graphic>
          </wp:inline>
        </w:drawing>
      </w:r>
    </w:p>
    <w:p w14:paraId="050537E5" w14:textId="5FF9487D" w:rsidR="008453C4" w:rsidRDefault="00F123A3" w:rsidP="008453C4">
      <w:pPr>
        <w:jc w:val="both"/>
      </w:pPr>
      <w:r>
        <w:rPr>
          <w:highlight w:val="green"/>
        </w:rPr>
        <w:fldChar w:fldCharType="begin"/>
      </w:r>
      <w:r>
        <w:instrText xml:space="preserve"> REF _Ref484532814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20</w:t>
      </w:r>
      <w:r>
        <w:rPr>
          <w:highlight w:val="green"/>
        </w:rPr>
        <w:fldChar w:fldCharType="end"/>
      </w:r>
      <w:r>
        <w:t xml:space="preserve"> </w:t>
      </w:r>
      <w:r w:rsidR="008453C4">
        <w:t xml:space="preserve">shows the breakdown of gas savings by end use in the commercial sector. Key observations from this graph are: </w:t>
      </w:r>
    </w:p>
    <w:p w14:paraId="343DFE3F" w14:textId="77777777" w:rsidR="008453C4" w:rsidRDefault="008453C4" w:rsidP="004E4E36">
      <w:pPr>
        <w:pStyle w:val="ListParagraph"/>
        <w:numPr>
          <w:ilvl w:val="0"/>
          <w:numId w:val="71"/>
        </w:numPr>
        <w:jc w:val="both"/>
      </w:pPr>
      <w:r>
        <w:t xml:space="preserve">Like the residential sector, negative gas savings due to interactive effects from lighting measures reduces the overall net gas potential in the residential sector. </w:t>
      </w:r>
    </w:p>
    <w:p w14:paraId="494F7740" w14:textId="77777777" w:rsidR="008453C4" w:rsidRDefault="008453C4" w:rsidP="004E4E36">
      <w:pPr>
        <w:pStyle w:val="ListParagraph"/>
        <w:numPr>
          <w:ilvl w:val="0"/>
          <w:numId w:val="71"/>
        </w:numPr>
        <w:jc w:val="both"/>
      </w:pPr>
      <w:r>
        <w:t>Amongst end use categories that capture potential from discrete measures, HVAC dominates potential in the commercial sector, followed by food service and water heating measures. Unlike the residential sector, one or more HVAC measures is cost-effective under the TRC test throughout the forecast period.</w:t>
      </w:r>
    </w:p>
    <w:p w14:paraId="089EAD37" w14:textId="77777777" w:rsidR="008453C4" w:rsidRDefault="008453C4" w:rsidP="004E4E36">
      <w:pPr>
        <w:pStyle w:val="ListParagraph"/>
        <w:numPr>
          <w:ilvl w:val="0"/>
          <w:numId w:val="71"/>
        </w:numPr>
        <w:jc w:val="both"/>
      </w:pPr>
      <w:r>
        <w:t xml:space="preserve">Commercial whole building potential contributes significantly to overall potential. Again, the drop in savings between 2019 and 2020 is due to a new Title 24 </w:t>
      </w:r>
      <w:r w:rsidR="00184B08">
        <w:t>code.</w:t>
      </w:r>
    </w:p>
    <w:p w14:paraId="4A67DE16" w14:textId="77777777" w:rsidR="008453C4" w:rsidRDefault="008453C4" w:rsidP="004E4E36">
      <w:pPr>
        <w:pStyle w:val="ListParagraph"/>
        <w:numPr>
          <w:ilvl w:val="0"/>
          <w:numId w:val="71"/>
        </w:numPr>
        <w:jc w:val="both"/>
      </w:pPr>
      <w:r>
        <w:t>Unlike electric potential, overall potential increases over the forecast period at a relatively steady ramp rate as most gas measures have long lifetimes and do not turn over as fast.  As such, there continues to be opportunity for first-time adopters in the market, which does not saturate as fast.</w:t>
      </w:r>
    </w:p>
    <w:p w14:paraId="0DBFDA4C" w14:textId="77777777" w:rsidR="008453C4" w:rsidRDefault="008453C4" w:rsidP="008453C4"/>
    <w:p w14:paraId="14264318" w14:textId="4FC2D50A" w:rsidR="008453C4" w:rsidRPr="00F123A3" w:rsidRDefault="008453C4" w:rsidP="00F123A3">
      <w:pPr>
        <w:pStyle w:val="Caption"/>
      </w:pPr>
      <w:bookmarkStart w:id="800" w:name="_Ref484532814"/>
      <w:bookmarkStart w:id="801" w:name="_Toc485125537"/>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20</w:t>
      </w:r>
      <w:r w:rsidR="00272F76">
        <w:rPr>
          <w:noProof/>
        </w:rPr>
        <w:fldChar w:fldCharType="end"/>
      </w:r>
      <w:bookmarkEnd w:id="800"/>
      <w:r w:rsidRPr="00F123A3">
        <w:t xml:space="preserve">. Statewide Incremental Gas Market Potential by End Use in the </w:t>
      </w:r>
      <w:r w:rsidR="00D61850">
        <w:t>Commercial</w:t>
      </w:r>
      <w:r w:rsidRPr="00F123A3">
        <w:t xml:space="preserve"> Sector</w:t>
      </w:r>
      <w:bookmarkEnd w:id="801"/>
    </w:p>
    <w:p w14:paraId="1AE8AD03" w14:textId="77777777" w:rsidR="008453C4" w:rsidRPr="00A43793" w:rsidRDefault="008453C4" w:rsidP="008453C4">
      <w:pPr>
        <w:jc w:val="center"/>
      </w:pPr>
      <w:r>
        <w:rPr>
          <w:noProof/>
        </w:rPr>
        <w:drawing>
          <wp:inline distT="0" distB="0" distL="0" distR="0" wp14:anchorId="5E170CAC" wp14:editId="354DF9C7">
            <wp:extent cx="5866693" cy="2870250"/>
            <wp:effectExtent l="0" t="0" r="127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75119" cy="2874372"/>
                    </a:xfrm>
                    <a:prstGeom prst="rect">
                      <a:avLst/>
                    </a:prstGeom>
                    <a:noFill/>
                  </pic:spPr>
                </pic:pic>
              </a:graphicData>
            </a:graphic>
          </wp:inline>
        </w:drawing>
      </w:r>
    </w:p>
    <w:p w14:paraId="6B4215E4" w14:textId="77777777" w:rsidR="008453C4" w:rsidRDefault="008453C4" w:rsidP="008453C4">
      <w:pPr>
        <w:pStyle w:val="Heading4"/>
      </w:pPr>
      <w:r>
        <w:t>AIMS Rebate Programs</w:t>
      </w:r>
    </w:p>
    <w:p w14:paraId="614EC8CF" w14:textId="708409CF" w:rsidR="008453C4" w:rsidRDefault="00F123A3" w:rsidP="008453C4">
      <w:pPr>
        <w:jc w:val="both"/>
      </w:pPr>
      <w:r>
        <w:rPr>
          <w:highlight w:val="green"/>
        </w:rPr>
        <w:fldChar w:fldCharType="begin"/>
      </w:r>
      <w:r>
        <w:instrText xml:space="preserve"> REF _Ref484532824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21</w:t>
      </w:r>
      <w:r>
        <w:rPr>
          <w:highlight w:val="green"/>
        </w:rPr>
        <w:fldChar w:fldCharType="end"/>
      </w:r>
      <w:r>
        <w:t xml:space="preserve"> </w:t>
      </w:r>
      <w:r w:rsidR="008453C4">
        <w:t xml:space="preserve">shows the breakdown of electric savings by end use in the AIMS sectors. Key observations from this graph are: </w:t>
      </w:r>
    </w:p>
    <w:p w14:paraId="267A8624" w14:textId="77777777" w:rsidR="008453C4" w:rsidRDefault="008453C4" w:rsidP="004E4E36">
      <w:pPr>
        <w:pStyle w:val="ListParagraph"/>
        <w:numPr>
          <w:ilvl w:val="0"/>
          <w:numId w:val="71"/>
        </w:numPr>
        <w:jc w:val="both"/>
      </w:pPr>
      <w:r>
        <w:t xml:space="preserve">Amongst end use categories that capture potential from discrete measures that produce deemed savings, lighting dominates electric potential in the agriculture and industrial sectors, followed by machine drive and process refrigeration measures. </w:t>
      </w:r>
    </w:p>
    <w:p w14:paraId="4578DDDB" w14:textId="0EB257FF" w:rsidR="008453C4" w:rsidRDefault="008453C4" w:rsidP="004E4E36">
      <w:pPr>
        <w:pStyle w:val="ListParagraph"/>
        <w:numPr>
          <w:ilvl w:val="0"/>
          <w:numId w:val="71"/>
        </w:numPr>
        <w:jc w:val="both"/>
      </w:pPr>
      <w:r>
        <w:t xml:space="preserve">The whole building end use category represents potential from generic custom measures and emerging technologies in the agriculture and industrial sectors. Potential from these measures contributes significantly to the agriculture and industrial sectors, and is expected to increase over time. </w:t>
      </w:r>
      <w:r w:rsidR="00184B08">
        <w:t>These measures are tagged into the “whole building” end use because it represent</w:t>
      </w:r>
      <w:r w:rsidR="00D61850">
        <w:t>s</w:t>
      </w:r>
      <w:r w:rsidR="00184B08">
        <w:t xml:space="preserve"> a broad array of opportunities across all end uses. </w:t>
      </w:r>
    </w:p>
    <w:p w14:paraId="48E3FF0A" w14:textId="77777777" w:rsidR="008453C4" w:rsidRDefault="008453C4" w:rsidP="004E4E36">
      <w:pPr>
        <w:pStyle w:val="ListParagraph"/>
        <w:numPr>
          <w:ilvl w:val="0"/>
          <w:numId w:val="71"/>
        </w:numPr>
        <w:jc w:val="both"/>
      </w:pPr>
      <w:r>
        <w:t xml:space="preserve">The mining sector, which is made up of oil and gas extraction equipment, contributes minimally to overall potential. </w:t>
      </w:r>
    </w:p>
    <w:p w14:paraId="6DBBEC5C" w14:textId="77777777" w:rsidR="008453C4" w:rsidRDefault="008453C4" w:rsidP="004E4E36">
      <w:pPr>
        <w:pStyle w:val="ListParagraph"/>
        <w:numPr>
          <w:ilvl w:val="0"/>
          <w:numId w:val="71"/>
        </w:numPr>
        <w:jc w:val="both"/>
      </w:pPr>
      <w:r>
        <w:t xml:space="preserve">Streetlighting measures contribute a steady amount of potential across the forecast period. </w:t>
      </w:r>
    </w:p>
    <w:p w14:paraId="5D677B6F" w14:textId="77777777" w:rsidR="008453C4" w:rsidRDefault="008453C4" w:rsidP="00FA6EDD">
      <w:pPr>
        <w:pStyle w:val="ListParagraph"/>
        <w:numPr>
          <w:ilvl w:val="0"/>
          <w:numId w:val="71"/>
        </w:numPr>
        <w:jc w:val="both"/>
      </w:pPr>
      <w:r>
        <w:t xml:space="preserve">Potential from </w:t>
      </w:r>
      <w:r w:rsidR="00FA6EDD">
        <w:t xml:space="preserve">individual technologies </w:t>
      </w:r>
      <w:r>
        <w:t xml:space="preserve">in the agriculture and industrial sectors ramps down over the forecast period. </w:t>
      </w:r>
      <w:r w:rsidR="00FA6EDD" w:rsidRPr="00FA6EDD">
        <w:t xml:space="preserve">To align with the model with historic program activity and the characteristics of the market, we see a significant majority of the potential being realized between 2013 and 2016. Thus, the out years reflect less opportunity and an increasingly saturated market over time. This decrease in potential from deemed savings is somewhat made up for towards the end of the forecast period by increased potential from emerging technologies. </w:t>
      </w:r>
    </w:p>
    <w:p w14:paraId="65F72E75" w14:textId="77777777" w:rsidR="008453C4" w:rsidRDefault="008453C4" w:rsidP="008453C4"/>
    <w:p w14:paraId="56BE363D" w14:textId="77777777" w:rsidR="008453C4" w:rsidRPr="00F123A3" w:rsidRDefault="008453C4" w:rsidP="00F123A3">
      <w:pPr>
        <w:pStyle w:val="Caption"/>
      </w:pPr>
      <w:bookmarkStart w:id="802" w:name="_Ref484532824"/>
      <w:bookmarkStart w:id="803" w:name="_Toc485125538"/>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21</w:t>
      </w:r>
      <w:r w:rsidR="00272F76">
        <w:rPr>
          <w:noProof/>
        </w:rPr>
        <w:fldChar w:fldCharType="end"/>
      </w:r>
      <w:bookmarkEnd w:id="802"/>
      <w:r w:rsidRPr="00F123A3">
        <w:t>. Statewide Incremental Electric Market Potential by End Use in the AIMS Sectors</w:t>
      </w:r>
      <w:bookmarkEnd w:id="803"/>
    </w:p>
    <w:p w14:paraId="5A33A60A" w14:textId="77777777" w:rsidR="008453C4" w:rsidRDefault="008453C4" w:rsidP="008453C4">
      <w:pPr>
        <w:jc w:val="center"/>
      </w:pPr>
      <w:r>
        <w:rPr>
          <w:noProof/>
        </w:rPr>
        <w:drawing>
          <wp:inline distT="0" distB="0" distL="0" distR="0" wp14:anchorId="0B74209C" wp14:editId="0113C7EF">
            <wp:extent cx="5821838" cy="2848305"/>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34567" cy="2854533"/>
                    </a:xfrm>
                    <a:prstGeom prst="rect">
                      <a:avLst/>
                    </a:prstGeom>
                    <a:noFill/>
                  </pic:spPr>
                </pic:pic>
              </a:graphicData>
            </a:graphic>
          </wp:inline>
        </w:drawing>
      </w:r>
    </w:p>
    <w:p w14:paraId="0A75AC59" w14:textId="427C51C0" w:rsidR="008453C4" w:rsidRDefault="00F123A3" w:rsidP="008453C4">
      <w:pPr>
        <w:jc w:val="both"/>
      </w:pPr>
      <w:r>
        <w:rPr>
          <w:highlight w:val="green"/>
        </w:rPr>
        <w:fldChar w:fldCharType="begin"/>
      </w:r>
      <w:r>
        <w:instrText xml:space="preserve"> REF _Ref484532672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22</w:t>
      </w:r>
      <w:r>
        <w:rPr>
          <w:highlight w:val="green"/>
        </w:rPr>
        <w:fldChar w:fldCharType="end"/>
      </w:r>
      <w:r>
        <w:t xml:space="preserve"> </w:t>
      </w:r>
      <w:r w:rsidR="008453C4">
        <w:t xml:space="preserve">shows the breakdown of gas savings by end use in the AIMS sectors. Key observations from this graph are: </w:t>
      </w:r>
    </w:p>
    <w:p w14:paraId="5F617639" w14:textId="77777777" w:rsidR="008453C4" w:rsidRDefault="008453C4" w:rsidP="004E4E36">
      <w:pPr>
        <w:pStyle w:val="ListParagraph"/>
        <w:numPr>
          <w:ilvl w:val="0"/>
          <w:numId w:val="71"/>
        </w:numPr>
        <w:jc w:val="both"/>
      </w:pPr>
      <w:r>
        <w:t xml:space="preserve">Negative gas savings due to interactive effects from lighting measures slightly reduces the overall net gas potential in the agriculture and industrial sectors. </w:t>
      </w:r>
    </w:p>
    <w:p w14:paraId="390142C6" w14:textId="77777777" w:rsidR="008453C4" w:rsidRDefault="008453C4" w:rsidP="004E4E36">
      <w:pPr>
        <w:pStyle w:val="ListParagraph"/>
        <w:numPr>
          <w:ilvl w:val="0"/>
          <w:numId w:val="71"/>
        </w:numPr>
        <w:jc w:val="both"/>
      </w:pPr>
      <w:r>
        <w:t xml:space="preserve">Amongst end use categories that capture potential from discrete measures that produce deemed savings, process heat dominates gas potential in the agriculture and industrial sectors, followed by lighting and oil and gas extraction measures. </w:t>
      </w:r>
    </w:p>
    <w:p w14:paraId="006B6626" w14:textId="77777777" w:rsidR="008453C4" w:rsidRDefault="008453C4" w:rsidP="004E4E36">
      <w:pPr>
        <w:pStyle w:val="ListParagraph"/>
        <w:numPr>
          <w:ilvl w:val="0"/>
          <w:numId w:val="71"/>
        </w:numPr>
        <w:jc w:val="both"/>
      </w:pPr>
      <w:r>
        <w:t>Once again, the whole building end use category represents potential from generic custom measures and emerging technologies in the agriculture and industrial sectors. Potential from these measures contributes significantly to the agriculture and industrial sectors, and is expected to increase over time.</w:t>
      </w:r>
    </w:p>
    <w:p w14:paraId="333A6678" w14:textId="77777777" w:rsidR="008453C4" w:rsidRDefault="008453C4" w:rsidP="008453C4"/>
    <w:p w14:paraId="6279D8F1" w14:textId="77777777" w:rsidR="008453C4" w:rsidRPr="00F123A3" w:rsidRDefault="008453C4" w:rsidP="00184B08">
      <w:pPr>
        <w:pStyle w:val="Caption"/>
      </w:pPr>
      <w:bookmarkStart w:id="804" w:name="_Ref484532672"/>
      <w:bookmarkStart w:id="805" w:name="_Toc485125539"/>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F123A3">
        <w:noBreakHyphen/>
      </w:r>
      <w:r w:rsidR="00272F76">
        <w:fldChar w:fldCharType="begin"/>
      </w:r>
      <w:r w:rsidR="00272F76">
        <w:instrText xml:space="preserve"> SEQ Figure \* ARABIC \s 1 </w:instrText>
      </w:r>
      <w:r w:rsidR="00272F76">
        <w:fldChar w:fldCharType="separate"/>
      </w:r>
      <w:r w:rsidR="00C407F4">
        <w:rPr>
          <w:noProof/>
        </w:rPr>
        <w:t>22</w:t>
      </w:r>
      <w:r w:rsidR="00272F76">
        <w:rPr>
          <w:noProof/>
        </w:rPr>
        <w:fldChar w:fldCharType="end"/>
      </w:r>
      <w:bookmarkEnd w:id="804"/>
      <w:r w:rsidRPr="00F123A3">
        <w:t>. Statewide Incremental Gas Market Potential by End Use in the AIMS Sectors</w:t>
      </w:r>
      <w:bookmarkEnd w:id="805"/>
    </w:p>
    <w:p w14:paraId="7784889A" w14:textId="77777777" w:rsidR="008453C4" w:rsidRDefault="008453C4" w:rsidP="008453C4">
      <w:pPr>
        <w:jc w:val="center"/>
      </w:pPr>
      <w:r>
        <w:rPr>
          <w:noProof/>
        </w:rPr>
        <w:drawing>
          <wp:inline distT="0" distB="0" distL="0" distR="0" wp14:anchorId="6EE9C555" wp14:editId="19443FD9">
            <wp:extent cx="5881646" cy="2877566"/>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00882" cy="2886977"/>
                    </a:xfrm>
                    <a:prstGeom prst="rect">
                      <a:avLst/>
                    </a:prstGeom>
                    <a:noFill/>
                  </pic:spPr>
                </pic:pic>
              </a:graphicData>
            </a:graphic>
          </wp:inline>
        </w:drawing>
      </w:r>
    </w:p>
    <w:p w14:paraId="32796572" w14:textId="77777777" w:rsidR="00FB5111" w:rsidRPr="00C11929" w:rsidRDefault="00FB5111" w:rsidP="00FB5111">
      <w:pPr>
        <w:pStyle w:val="Heading4"/>
      </w:pPr>
      <w:r w:rsidRPr="00C11929">
        <w:t>Stranded Potential</w:t>
      </w:r>
    </w:p>
    <w:bookmarkStart w:id="806" w:name="_Ref484720245"/>
    <w:p w14:paraId="763596A9" w14:textId="175FB5F3" w:rsidR="00C11929" w:rsidRDefault="00C11929" w:rsidP="008521EB">
      <w:pPr>
        <w:jc w:val="both"/>
      </w:pPr>
      <w:r>
        <w:rPr>
          <w:highlight w:val="green"/>
        </w:rPr>
        <w:fldChar w:fldCharType="begin"/>
      </w:r>
      <w:r>
        <w:rPr>
          <w:highlight w:val="green"/>
        </w:rPr>
        <w:instrText xml:space="preserve"> REF _Ref484720408 \h </w:instrText>
      </w:r>
      <w:r>
        <w:rPr>
          <w:highlight w:val="green"/>
        </w:rPr>
      </w:r>
      <w:r>
        <w:rPr>
          <w:highlight w:val="green"/>
        </w:rPr>
        <w:fldChar w:fldCharType="separate"/>
      </w:r>
      <w:r w:rsidR="00C407F4" w:rsidRPr="00F123A3">
        <w:t xml:space="preserve">Figure </w:t>
      </w:r>
      <w:r w:rsidR="00C407F4">
        <w:rPr>
          <w:noProof/>
        </w:rPr>
        <w:t>4</w:t>
      </w:r>
      <w:r w:rsidR="00C407F4" w:rsidRPr="00F123A3">
        <w:noBreakHyphen/>
      </w:r>
      <w:r w:rsidR="00C407F4">
        <w:rPr>
          <w:noProof/>
        </w:rPr>
        <w:t>23</w:t>
      </w:r>
      <w:r>
        <w:rPr>
          <w:highlight w:val="green"/>
        </w:rPr>
        <w:fldChar w:fldCharType="end"/>
      </w:r>
      <w:r w:rsidR="008521EB">
        <w:t xml:space="preserve"> shows the breakdown of </w:t>
      </w:r>
      <w:r w:rsidR="00CE648C">
        <w:t>electric</w:t>
      </w:r>
      <w:r w:rsidR="008521EB">
        <w:t xml:space="preserve"> stranded potential by end use across all sectors.</w:t>
      </w:r>
      <w:r w:rsidR="00CE648C">
        <w:t xml:space="preserve"> </w:t>
      </w:r>
      <w:r>
        <w:t>These savings are captured through accelerated replacement decisions</w:t>
      </w:r>
      <w:r w:rsidR="004B2642">
        <w:t xml:space="preserve"> in the model</w:t>
      </w:r>
      <w:r>
        <w:t xml:space="preserve"> prompted by the availability of rebates for upgrading existing below code equipment. </w:t>
      </w:r>
      <w:r w:rsidR="008521EB">
        <w:t xml:space="preserve">We assume that these rebates will be available starting in 2018 in the model. </w:t>
      </w:r>
      <w:r>
        <w:t xml:space="preserve">Key observations from </w:t>
      </w:r>
      <w:r w:rsidR="008521EB">
        <w:t>this graph</w:t>
      </w:r>
      <w:r>
        <w:t xml:space="preserve"> are: </w:t>
      </w:r>
    </w:p>
    <w:p w14:paraId="00E1BFD8" w14:textId="653D3E8E" w:rsidR="00C11929" w:rsidRDefault="004B2642" w:rsidP="00C11929">
      <w:pPr>
        <w:pStyle w:val="ListParagraph"/>
        <w:numPr>
          <w:ilvl w:val="0"/>
          <w:numId w:val="71"/>
        </w:numPr>
        <w:jc w:val="both"/>
      </w:pPr>
      <w:r>
        <w:t>Lighting measures contribute significantly to stranded electric potential</w:t>
      </w:r>
      <w:r w:rsidR="00D71B0B">
        <w:t>. Potential from lighting measures is captured through customer decisions to upgrade existing equipment (</w:t>
      </w:r>
      <w:r w:rsidR="00D61850">
        <w:t>e.g.</w:t>
      </w:r>
      <w:r w:rsidR="00D71B0B">
        <w:t xml:space="preserve"> T12 linear fluorescent fixtures)</w:t>
      </w:r>
      <w:r>
        <w:t xml:space="preserve"> </w:t>
      </w:r>
      <w:r w:rsidR="008521EB">
        <w:t>to more efficient technologies (</w:t>
      </w:r>
      <w:r w:rsidR="00D61850">
        <w:t>e.g.</w:t>
      </w:r>
      <w:r w:rsidR="008521EB">
        <w:t xml:space="preserve"> T8 or T5 linear fluorescent fixtures). The </w:t>
      </w:r>
      <w:r w:rsidR="00CE648C">
        <w:t xml:space="preserve">results reflect a </w:t>
      </w:r>
      <w:r w:rsidR="008521EB">
        <w:t xml:space="preserve">portion of the market </w:t>
      </w:r>
      <w:r w:rsidR="00CE648C">
        <w:t xml:space="preserve">that start out in 2018 with </w:t>
      </w:r>
      <w:r w:rsidR="008521EB">
        <w:t>inefficient, below-code meas</w:t>
      </w:r>
      <w:r w:rsidR="00CE648C">
        <w:t xml:space="preserve">ures which </w:t>
      </w:r>
      <w:r w:rsidR="008521EB">
        <w:t>ramps down over time as customers upgrade their equipment</w:t>
      </w:r>
      <w:r w:rsidR="00CE648C">
        <w:t xml:space="preserve"> thus shrinking the below-code population</w:t>
      </w:r>
      <w:r w:rsidR="008521EB">
        <w:t xml:space="preserve">. </w:t>
      </w:r>
    </w:p>
    <w:p w14:paraId="6F896B0D" w14:textId="6FD01B20" w:rsidR="00C11929" w:rsidRDefault="008521EB" w:rsidP="00C11929">
      <w:pPr>
        <w:pStyle w:val="ListParagraph"/>
        <w:numPr>
          <w:ilvl w:val="0"/>
          <w:numId w:val="71"/>
        </w:numPr>
        <w:jc w:val="both"/>
      </w:pPr>
      <w:r>
        <w:t>HVAC measures also contribute significantly to stranded electric potential. Potential from HVAC measures is captured through customer decisions to upgrade existing equipment (</w:t>
      </w:r>
      <w:r w:rsidR="00D61850">
        <w:t>e.g.</w:t>
      </w:r>
      <w:r>
        <w:t xml:space="preserve"> SEER 10 air conditioners) to more </w:t>
      </w:r>
      <w:r w:rsidR="00C52288">
        <w:t>efficient</w:t>
      </w:r>
      <w:r>
        <w:t xml:space="preserve"> technologies (</w:t>
      </w:r>
      <w:r w:rsidR="00D61850">
        <w:t>e.g.</w:t>
      </w:r>
      <w:r>
        <w:t xml:space="preserve"> </w:t>
      </w:r>
      <w:r>
        <w:rPr>
          <w:rFonts w:cs="Arial"/>
        </w:rPr>
        <w:t>≥</w:t>
      </w:r>
      <w:r>
        <w:t xml:space="preserve"> SEER 14 air conditioners) instead of keeping their old equipment. </w:t>
      </w:r>
    </w:p>
    <w:p w14:paraId="05DCCAA9" w14:textId="77777777" w:rsidR="008521EB" w:rsidRDefault="008521EB" w:rsidP="00C11929">
      <w:pPr>
        <w:pStyle w:val="ListParagraph"/>
        <w:numPr>
          <w:ilvl w:val="0"/>
          <w:numId w:val="71"/>
        </w:numPr>
        <w:jc w:val="both"/>
      </w:pPr>
      <w:r>
        <w:t xml:space="preserve">Water heating and data center measures contribute negligibly to stranded potential. </w:t>
      </w:r>
    </w:p>
    <w:p w14:paraId="02577ADB" w14:textId="77777777" w:rsidR="008521EB" w:rsidRDefault="008521EB" w:rsidP="00CE648C">
      <w:pPr>
        <w:pStyle w:val="ListParagraph"/>
        <w:numPr>
          <w:ilvl w:val="0"/>
          <w:numId w:val="71"/>
        </w:numPr>
        <w:jc w:val="both"/>
      </w:pPr>
      <w:r>
        <w:t>Stranded potential makes up approximately 7% of tota</w:t>
      </w:r>
      <w:r w:rsidR="00BC7D8E">
        <w:t xml:space="preserve">l equipment savings in 2018, and 1% of total equipment savings in 2030. </w:t>
      </w:r>
    </w:p>
    <w:p w14:paraId="7110E5A5" w14:textId="77777777" w:rsidR="00BC7D8E" w:rsidRDefault="00BC7D8E" w:rsidP="00BC7D8E">
      <w:pPr>
        <w:jc w:val="both"/>
      </w:pPr>
    </w:p>
    <w:p w14:paraId="3046CCBA" w14:textId="77777777" w:rsidR="00BC7D8E" w:rsidRDefault="00BC7D8E" w:rsidP="00BC7D8E">
      <w:pPr>
        <w:jc w:val="both"/>
      </w:pPr>
    </w:p>
    <w:p w14:paraId="2728C7A0" w14:textId="77777777" w:rsidR="00CE648C" w:rsidRDefault="00CE648C" w:rsidP="00BC7D8E">
      <w:pPr>
        <w:jc w:val="both"/>
      </w:pPr>
    </w:p>
    <w:p w14:paraId="627F069C" w14:textId="77777777" w:rsidR="00BC7D8E" w:rsidRDefault="00BC7D8E" w:rsidP="00BC7D8E">
      <w:pPr>
        <w:jc w:val="both"/>
      </w:pPr>
    </w:p>
    <w:p w14:paraId="3E2D856F" w14:textId="77777777" w:rsidR="00C11929" w:rsidRDefault="00C11929" w:rsidP="00C11929">
      <w:pPr>
        <w:pStyle w:val="ListParagraph"/>
        <w:jc w:val="both"/>
      </w:pPr>
    </w:p>
    <w:p w14:paraId="7364C957" w14:textId="77777777" w:rsidR="004E4E36" w:rsidRPr="00F123A3" w:rsidRDefault="004E4E36" w:rsidP="004E4E36">
      <w:pPr>
        <w:pStyle w:val="Caption"/>
      </w:pPr>
      <w:bookmarkStart w:id="807" w:name="_Ref484720408"/>
      <w:bookmarkStart w:id="808" w:name="_Toc485125540"/>
      <w:r w:rsidRPr="00F123A3">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Pr="00F123A3">
        <w:noBreakHyphen/>
      </w:r>
      <w:r w:rsidR="00272F76">
        <w:fldChar w:fldCharType="begin"/>
      </w:r>
      <w:r w:rsidR="00272F76">
        <w:instrText xml:space="preserve"> SEQ Figure \* ARABIC \s 1 </w:instrText>
      </w:r>
      <w:r w:rsidR="00272F76">
        <w:fldChar w:fldCharType="separate"/>
      </w:r>
      <w:r w:rsidR="00C407F4">
        <w:rPr>
          <w:noProof/>
        </w:rPr>
        <w:t>23</w:t>
      </w:r>
      <w:r w:rsidR="00272F76">
        <w:rPr>
          <w:noProof/>
        </w:rPr>
        <w:fldChar w:fldCharType="end"/>
      </w:r>
      <w:bookmarkEnd w:id="806"/>
      <w:bookmarkEnd w:id="807"/>
      <w:r w:rsidRPr="00F123A3">
        <w:t xml:space="preserve">. Statewide </w:t>
      </w:r>
      <w:r>
        <w:t xml:space="preserve">Stranded Electric </w:t>
      </w:r>
      <w:r w:rsidRPr="00F123A3">
        <w:t xml:space="preserve">Potential by End Use </w:t>
      </w:r>
      <w:r>
        <w:t>(All Sectors)</w:t>
      </w:r>
      <w:bookmarkEnd w:id="808"/>
    </w:p>
    <w:p w14:paraId="7C8CFC86" w14:textId="77777777" w:rsidR="004E4E36" w:rsidRDefault="004E4E36" w:rsidP="00FB5111"/>
    <w:p w14:paraId="47C08C80" w14:textId="77777777" w:rsidR="004E4E36" w:rsidRDefault="004E4E36" w:rsidP="00FB5111">
      <w:r>
        <w:rPr>
          <w:noProof/>
        </w:rPr>
        <w:drawing>
          <wp:inline distT="0" distB="0" distL="0" distR="0" wp14:anchorId="6A52317C" wp14:editId="6E415117">
            <wp:extent cx="6002908" cy="26625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06809" cy="2664285"/>
                    </a:xfrm>
                    <a:prstGeom prst="rect">
                      <a:avLst/>
                    </a:prstGeom>
                    <a:noFill/>
                  </pic:spPr>
                </pic:pic>
              </a:graphicData>
            </a:graphic>
          </wp:inline>
        </w:drawing>
      </w:r>
    </w:p>
    <w:p w14:paraId="40DAF306" w14:textId="77777777" w:rsidR="008521EB" w:rsidRDefault="008521EB" w:rsidP="008521EB">
      <w:pPr>
        <w:jc w:val="both"/>
      </w:pPr>
    </w:p>
    <w:p w14:paraId="2AAA15EE" w14:textId="743A8EE6" w:rsidR="008521EB" w:rsidRDefault="008521EB" w:rsidP="008521EB">
      <w:pPr>
        <w:jc w:val="both"/>
      </w:pPr>
      <w:r>
        <w:fldChar w:fldCharType="begin"/>
      </w:r>
      <w:r>
        <w:instrText xml:space="preserve"> REF _Ref484720276 \h </w:instrText>
      </w:r>
      <w:r>
        <w:fldChar w:fldCharType="separate"/>
      </w:r>
      <w:r w:rsidR="00C407F4" w:rsidRPr="00F123A3">
        <w:t xml:space="preserve">Figure </w:t>
      </w:r>
      <w:r w:rsidR="00C407F4">
        <w:rPr>
          <w:noProof/>
        </w:rPr>
        <w:t>4</w:t>
      </w:r>
      <w:r w:rsidR="00C407F4" w:rsidRPr="00F123A3">
        <w:noBreakHyphen/>
      </w:r>
      <w:r w:rsidR="00C407F4">
        <w:rPr>
          <w:noProof/>
        </w:rPr>
        <w:t>24</w:t>
      </w:r>
      <w:r>
        <w:fldChar w:fldCharType="end"/>
      </w:r>
      <w:r>
        <w:t xml:space="preserve"> shows the breakdown of gas stranded potential by end use across all sectors. Key observations from this graph are: </w:t>
      </w:r>
    </w:p>
    <w:p w14:paraId="5A1822C0" w14:textId="77777777" w:rsidR="00BC7D8E" w:rsidRDefault="00C52288" w:rsidP="00C52288">
      <w:pPr>
        <w:pStyle w:val="ListParagraph"/>
        <w:numPr>
          <w:ilvl w:val="0"/>
          <w:numId w:val="71"/>
        </w:numPr>
        <w:jc w:val="both"/>
      </w:pPr>
      <w:r>
        <w:t>HVAC</w:t>
      </w:r>
      <w:r w:rsidR="00BC7D8E">
        <w:t xml:space="preserve"> measures contribute significantly to stranded </w:t>
      </w:r>
      <w:r>
        <w:t>gas</w:t>
      </w:r>
      <w:r w:rsidR="00BC7D8E">
        <w:t xml:space="preserve"> potential.</w:t>
      </w:r>
      <w:r>
        <w:t xml:space="preserve"> Again, potential from HVAC measures is captured through customer decisions to upgrade existing equipment (eg. </w:t>
      </w:r>
      <w:r w:rsidR="00CE648C">
        <w:t xml:space="preserve">77 AFUE </w:t>
      </w:r>
      <w:r>
        <w:t xml:space="preserve">furnaces) to more efficient technologies (eg. </w:t>
      </w:r>
      <w:r w:rsidR="00CE648C">
        <w:t xml:space="preserve">80 </w:t>
      </w:r>
      <w:r w:rsidR="006A737A">
        <w:t>AFUE or higher</w:t>
      </w:r>
      <w:r w:rsidR="00CE648C">
        <w:t xml:space="preserve"> furnaces</w:t>
      </w:r>
      <w:r>
        <w:t xml:space="preserve">) instead of keeping their old equipment. </w:t>
      </w:r>
    </w:p>
    <w:p w14:paraId="6AFA110A" w14:textId="77777777" w:rsidR="00BC7D8E" w:rsidRDefault="00C52288" w:rsidP="00BC7D8E">
      <w:pPr>
        <w:pStyle w:val="ListParagraph"/>
        <w:numPr>
          <w:ilvl w:val="0"/>
          <w:numId w:val="71"/>
        </w:numPr>
        <w:jc w:val="both"/>
      </w:pPr>
      <w:r>
        <w:t>Water heating</w:t>
      </w:r>
      <w:r w:rsidR="00BC7D8E">
        <w:t xml:space="preserve"> measures also contribute significantly to stranded </w:t>
      </w:r>
      <w:r>
        <w:t>gas</w:t>
      </w:r>
      <w:r w:rsidR="00BC7D8E">
        <w:t xml:space="preserve"> potential. </w:t>
      </w:r>
      <w:r w:rsidR="00CE648C">
        <w:t xml:space="preserve">The primary source of savings are </w:t>
      </w:r>
      <w:r w:rsidR="006A737A">
        <w:t>gas storage water hea</w:t>
      </w:r>
      <w:r w:rsidR="00CE648C">
        <w:t>ters.</w:t>
      </w:r>
    </w:p>
    <w:p w14:paraId="166C9F0D" w14:textId="095D0AE8" w:rsidR="00BC7D8E" w:rsidRDefault="00C52288" w:rsidP="00BC7D8E">
      <w:pPr>
        <w:pStyle w:val="ListParagraph"/>
        <w:numPr>
          <w:ilvl w:val="0"/>
          <w:numId w:val="71"/>
        </w:numPr>
        <w:jc w:val="both"/>
      </w:pPr>
      <w:r>
        <w:t>Lighting measures, which produce negative gas savings due to interactive effects,</w:t>
      </w:r>
      <w:r w:rsidR="00BC7D8E">
        <w:t xml:space="preserve"> contribute ne</w:t>
      </w:r>
      <w:r w:rsidR="00CE648C">
        <w:t xml:space="preserve">gligibly to stranded potential but do appear in </w:t>
      </w:r>
      <w:r w:rsidR="00CE648C">
        <w:fldChar w:fldCharType="begin"/>
      </w:r>
      <w:r w:rsidR="00CE648C">
        <w:instrText xml:space="preserve"> REF _Ref484720276 \h </w:instrText>
      </w:r>
      <w:r w:rsidR="00CE648C">
        <w:fldChar w:fldCharType="separate"/>
      </w:r>
      <w:r w:rsidR="00C407F4" w:rsidRPr="00F123A3">
        <w:t xml:space="preserve">Figure </w:t>
      </w:r>
      <w:r w:rsidR="00C407F4">
        <w:rPr>
          <w:noProof/>
        </w:rPr>
        <w:t>4</w:t>
      </w:r>
      <w:r w:rsidR="00C407F4" w:rsidRPr="00F123A3">
        <w:noBreakHyphen/>
      </w:r>
      <w:r w:rsidR="00C407F4">
        <w:rPr>
          <w:noProof/>
        </w:rPr>
        <w:t>24</w:t>
      </w:r>
      <w:r w:rsidR="00CE648C">
        <w:fldChar w:fldCharType="end"/>
      </w:r>
      <w:r w:rsidR="00CE648C">
        <w:t>.</w:t>
      </w:r>
    </w:p>
    <w:p w14:paraId="601E7749" w14:textId="77777777" w:rsidR="00BC7D8E" w:rsidRDefault="00BC7D8E" w:rsidP="00CE648C">
      <w:pPr>
        <w:pStyle w:val="ListParagraph"/>
        <w:numPr>
          <w:ilvl w:val="0"/>
          <w:numId w:val="71"/>
        </w:numPr>
        <w:jc w:val="both"/>
      </w:pPr>
      <w:r>
        <w:t xml:space="preserve">Stranded potential makes up approximately </w:t>
      </w:r>
      <w:r w:rsidR="006A737A">
        <w:t>2</w:t>
      </w:r>
      <w:r>
        <w:t>% of total equipment savings in 2018</w:t>
      </w:r>
      <w:r w:rsidR="006A737A">
        <w:t xml:space="preserve"> and maintains that contribution through 2030. </w:t>
      </w:r>
    </w:p>
    <w:p w14:paraId="0BD302E4" w14:textId="77777777" w:rsidR="004E4E36" w:rsidRDefault="004E4E36" w:rsidP="00FB5111"/>
    <w:p w14:paraId="3922905D" w14:textId="77777777" w:rsidR="004E4E36" w:rsidRDefault="004E4E36" w:rsidP="004E4E36">
      <w:pPr>
        <w:pStyle w:val="Caption"/>
      </w:pPr>
      <w:bookmarkStart w:id="809" w:name="_Ref484720276"/>
      <w:bookmarkStart w:id="810" w:name="_Toc485125541"/>
      <w:r w:rsidRPr="00F123A3">
        <w:lastRenderedPageBreak/>
        <w:t xml:space="preserve">Figure </w:t>
      </w:r>
      <w:r w:rsidR="00272F76">
        <w:fldChar w:fldCharType="begin"/>
      </w:r>
      <w:r w:rsidR="00272F76">
        <w:instrText xml:space="preserve"> </w:instrText>
      </w:r>
      <w:r w:rsidR="00272F76">
        <w:instrText xml:space="preserve">STYLEREF 1 \s </w:instrText>
      </w:r>
      <w:r w:rsidR="00272F76">
        <w:fldChar w:fldCharType="separate"/>
      </w:r>
      <w:r w:rsidR="00C407F4">
        <w:rPr>
          <w:noProof/>
        </w:rPr>
        <w:t>4</w:t>
      </w:r>
      <w:r w:rsidR="00272F76">
        <w:rPr>
          <w:noProof/>
        </w:rPr>
        <w:fldChar w:fldCharType="end"/>
      </w:r>
      <w:r w:rsidRPr="00F123A3">
        <w:noBreakHyphen/>
      </w:r>
      <w:r w:rsidR="00272F76">
        <w:fldChar w:fldCharType="begin"/>
      </w:r>
      <w:r w:rsidR="00272F76">
        <w:instrText xml:space="preserve"> SEQ Figure \* ARABIC \s 1 </w:instrText>
      </w:r>
      <w:r w:rsidR="00272F76">
        <w:fldChar w:fldCharType="separate"/>
      </w:r>
      <w:r w:rsidR="00C407F4">
        <w:rPr>
          <w:noProof/>
        </w:rPr>
        <w:t>24</w:t>
      </w:r>
      <w:r w:rsidR="00272F76">
        <w:rPr>
          <w:noProof/>
        </w:rPr>
        <w:fldChar w:fldCharType="end"/>
      </w:r>
      <w:bookmarkEnd w:id="809"/>
      <w:r w:rsidRPr="00F123A3">
        <w:t xml:space="preserve">. Statewide </w:t>
      </w:r>
      <w:r>
        <w:t xml:space="preserve">Stranded Gas </w:t>
      </w:r>
      <w:r w:rsidRPr="00F123A3">
        <w:t xml:space="preserve">Potential by End Use </w:t>
      </w:r>
      <w:r>
        <w:t>(All Sectors)</w:t>
      </w:r>
      <w:bookmarkEnd w:id="810"/>
    </w:p>
    <w:p w14:paraId="7E0907B6" w14:textId="77777777" w:rsidR="004E4E36" w:rsidRPr="004E4E36" w:rsidRDefault="004E4E36" w:rsidP="004E4E36">
      <w:r>
        <w:rPr>
          <w:noProof/>
        </w:rPr>
        <w:drawing>
          <wp:inline distT="0" distB="0" distL="0" distR="0" wp14:anchorId="5AD0C089" wp14:editId="1577383D">
            <wp:extent cx="5874060" cy="26054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82785" cy="2609275"/>
                    </a:xfrm>
                    <a:prstGeom prst="rect">
                      <a:avLst/>
                    </a:prstGeom>
                    <a:noFill/>
                  </pic:spPr>
                </pic:pic>
              </a:graphicData>
            </a:graphic>
          </wp:inline>
        </w:drawing>
      </w:r>
    </w:p>
    <w:p w14:paraId="3B79DFB5" w14:textId="77777777" w:rsidR="008453C4" w:rsidRDefault="008453C4" w:rsidP="008453C4">
      <w:pPr>
        <w:pStyle w:val="Heading4"/>
      </w:pPr>
      <w:r>
        <w:t>Portfolio Cost Effectiveness</w:t>
      </w:r>
    </w:p>
    <w:p w14:paraId="4D87EFB4" w14:textId="77777777" w:rsidR="0066285E" w:rsidRDefault="00F123A3" w:rsidP="008453C4">
      <w:pPr>
        <w:jc w:val="both"/>
      </w:pPr>
      <w:r>
        <w:rPr>
          <w:highlight w:val="green"/>
        </w:rPr>
        <w:fldChar w:fldCharType="begin"/>
      </w:r>
      <w:r>
        <w:instrText xml:space="preserve"> REF _Ref484532844 \h </w:instrText>
      </w:r>
      <w:r>
        <w:rPr>
          <w:highlight w:val="green"/>
        </w:rPr>
      </w:r>
      <w:r>
        <w:rPr>
          <w:highlight w:val="green"/>
        </w:rPr>
        <w:fldChar w:fldCharType="separate"/>
      </w:r>
      <w:r w:rsidR="00C407F4">
        <w:t xml:space="preserve">Figure </w:t>
      </w:r>
      <w:r w:rsidR="00C407F4">
        <w:rPr>
          <w:noProof/>
        </w:rPr>
        <w:t>4</w:t>
      </w:r>
      <w:r w:rsidR="00C407F4">
        <w:noBreakHyphen/>
      </w:r>
      <w:r w:rsidR="00C407F4">
        <w:rPr>
          <w:noProof/>
        </w:rPr>
        <w:t>25</w:t>
      </w:r>
      <w:r>
        <w:rPr>
          <w:highlight w:val="green"/>
        </w:rPr>
        <w:fldChar w:fldCharType="end"/>
      </w:r>
      <w:r>
        <w:t xml:space="preserve"> </w:t>
      </w:r>
      <w:r w:rsidR="008453C4">
        <w:t xml:space="preserve">shows portfolio cost-effectiveness results for each IOU and a few screening tests of interest to stakeholders under the TRC | Reference Scenario in 2018. </w:t>
      </w:r>
      <w:r w:rsidR="001E44F0">
        <w:t>All</w:t>
      </w:r>
      <w:r w:rsidR="008453C4">
        <w:t xml:space="preserve"> utilities have a portfolio that is cost-effective under the </w:t>
      </w:r>
      <w:r w:rsidR="0066285E">
        <w:t xml:space="preserve">PAC screening test, SCG and SDG&amp;E have a portfolio TRC of slightly less than 1.0. </w:t>
      </w:r>
      <w:r w:rsidR="001E44F0">
        <w:t>Except for SCE, n</w:t>
      </w:r>
      <w:r w:rsidR="008453C4">
        <w:t xml:space="preserve">o portfolio </w:t>
      </w:r>
      <w:r w:rsidR="00156E54">
        <w:t xml:space="preserve">has a </w:t>
      </w:r>
      <w:r w:rsidR="008453C4">
        <w:t>RIM test</w:t>
      </w:r>
      <w:r w:rsidR="00156E54">
        <w:t xml:space="preserve"> result greater than </w:t>
      </w:r>
      <w:r w:rsidR="00184B08">
        <w:t>one</w:t>
      </w:r>
      <w:r w:rsidR="008453C4">
        <w:t xml:space="preserve">. </w:t>
      </w:r>
    </w:p>
    <w:p w14:paraId="7303BB22" w14:textId="77777777" w:rsidR="0066285E" w:rsidRDefault="0066285E" w:rsidP="008453C4">
      <w:pPr>
        <w:jc w:val="both"/>
      </w:pPr>
    </w:p>
    <w:p w14:paraId="712EF305" w14:textId="77777777" w:rsidR="0066285E" w:rsidRDefault="0066285E" w:rsidP="008453C4">
      <w:pPr>
        <w:jc w:val="both"/>
      </w:pPr>
      <w:r>
        <w:t>Several caveats are noted on these results:</w:t>
      </w:r>
    </w:p>
    <w:p w14:paraId="312E07C5" w14:textId="77777777" w:rsidR="0066285E" w:rsidRDefault="008453C4" w:rsidP="0066285E">
      <w:pPr>
        <w:pStyle w:val="ListParagraph"/>
        <w:numPr>
          <w:ilvl w:val="0"/>
          <w:numId w:val="78"/>
        </w:numPr>
        <w:jc w:val="both"/>
      </w:pPr>
      <w:r>
        <w:t xml:space="preserve">These results account for benefits and costs from </w:t>
      </w:r>
      <w:r w:rsidR="0066285E">
        <w:t>rebated</w:t>
      </w:r>
      <w:r>
        <w:t xml:space="preserve"> measures that c</w:t>
      </w:r>
      <w:r w:rsidR="0066285E">
        <w:t xml:space="preserve">ontribute to equipment savings but exclude Low Income, Codes and Standards Savings, and BROs. </w:t>
      </w:r>
    </w:p>
    <w:p w14:paraId="4DECDB45" w14:textId="77777777" w:rsidR="0066285E" w:rsidRDefault="0066285E" w:rsidP="0066285E">
      <w:pPr>
        <w:pStyle w:val="ListParagraph"/>
        <w:numPr>
          <w:ilvl w:val="0"/>
          <w:numId w:val="78"/>
        </w:numPr>
        <w:jc w:val="both"/>
      </w:pPr>
      <w:r>
        <w:t>R</w:t>
      </w:r>
      <w:r w:rsidR="008453C4">
        <w:t xml:space="preserve">esults exclude </w:t>
      </w:r>
      <w:r w:rsidR="000B45D3">
        <w:t>several</w:t>
      </w:r>
      <w:r>
        <w:t xml:space="preserve"> cost</w:t>
      </w:r>
      <w:r w:rsidR="008453C4">
        <w:t xml:space="preserve"> categories that would typically be accounted for in a portfolio-level cost-effectiveness assessment</w:t>
      </w:r>
      <w:r w:rsidR="000B45D3">
        <w:t xml:space="preserve"> (i.e. non-resource program costs)</w:t>
      </w:r>
    </w:p>
    <w:p w14:paraId="12A4C394" w14:textId="77777777" w:rsidR="0066285E" w:rsidRDefault="0066285E" w:rsidP="0066285E">
      <w:pPr>
        <w:pStyle w:val="ListParagraph"/>
        <w:numPr>
          <w:ilvl w:val="0"/>
          <w:numId w:val="78"/>
        </w:numPr>
        <w:jc w:val="both"/>
      </w:pPr>
      <w:r>
        <w:t xml:space="preserve">Program non-incentive costs are estimated based on past program years, these could vary in the future. </w:t>
      </w:r>
    </w:p>
    <w:p w14:paraId="55EFD29D" w14:textId="77777777" w:rsidR="0066285E" w:rsidRDefault="0066285E" w:rsidP="0066285E">
      <w:pPr>
        <w:jc w:val="both"/>
      </w:pPr>
    </w:p>
    <w:p w14:paraId="6C6FC6AC" w14:textId="77777777" w:rsidR="008453C4" w:rsidRDefault="0066285E" w:rsidP="0066285E">
      <w:pPr>
        <w:jc w:val="both"/>
      </w:pPr>
      <w:r>
        <w:t xml:space="preserve">Based on these caveats, </w:t>
      </w:r>
      <w:r w:rsidR="008453C4">
        <w:t xml:space="preserve">it is recommended that stakeholders pay attention to </w:t>
      </w:r>
      <w:r w:rsidR="000B45D3">
        <w:t xml:space="preserve">general </w:t>
      </w:r>
      <w:r w:rsidR="008453C4">
        <w:t xml:space="preserve">trends rather than actual values in the results. </w:t>
      </w:r>
      <w:r w:rsidR="000B45D3" w:rsidRPr="00184B08">
        <w:t>N</w:t>
      </w:r>
      <w:r w:rsidR="008453C4">
        <w:t>ote that similar results are available over time and by scenario in the results viewer.</w:t>
      </w:r>
    </w:p>
    <w:p w14:paraId="17259512" w14:textId="77777777" w:rsidR="004E4E36" w:rsidRDefault="004E4E36" w:rsidP="008453C4">
      <w:pPr>
        <w:jc w:val="both"/>
      </w:pPr>
    </w:p>
    <w:p w14:paraId="17D48C43" w14:textId="77777777" w:rsidR="008453C4" w:rsidRDefault="008453C4" w:rsidP="008453C4">
      <w:pPr>
        <w:pStyle w:val="Caption"/>
      </w:pPr>
      <w:bookmarkStart w:id="811" w:name="_Ref484532844"/>
      <w:bookmarkStart w:id="812" w:name="_Toc485125542"/>
      <w:r>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noBreakHyphen/>
      </w:r>
      <w:r w:rsidR="00272F76">
        <w:fldChar w:fldCharType="begin"/>
      </w:r>
      <w:r w:rsidR="00272F76">
        <w:instrText xml:space="preserve"> SEQ Figure \* ARABIC \s 1 </w:instrText>
      </w:r>
      <w:r w:rsidR="00272F76">
        <w:fldChar w:fldCharType="separate"/>
      </w:r>
      <w:r w:rsidR="00C407F4">
        <w:rPr>
          <w:noProof/>
        </w:rPr>
        <w:t>25</w:t>
      </w:r>
      <w:r w:rsidR="00272F76">
        <w:rPr>
          <w:noProof/>
        </w:rPr>
        <w:fldChar w:fldCharType="end"/>
      </w:r>
      <w:bookmarkEnd w:id="811"/>
      <w:r>
        <w:t>. Portfolio Cost-Effectiveness Ratio by Utility in 2018</w:t>
      </w:r>
      <w:bookmarkEnd w:id="812"/>
    </w:p>
    <w:p w14:paraId="5015AD12" w14:textId="77777777" w:rsidR="008453C4" w:rsidRDefault="001E44F0" w:rsidP="008453C4">
      <w:pPr>
        <w:jc w:val="both"/>
      </w:pPr>
      <w:r>
        <w:rPr>
          <w:noProof/>
        </w:rPr>
        <w:drawing>
          <wp:inline distT="0" distB="0" distL="0" distR="0" wp14:anchorId="19B5484A" wp14:editId="5AA30756">
            <wp:extent cx="6529070" cy="431038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29070" cy="4310380"/>
                    </a:xfrm>
                    <a:prstGeom prst="rect">
                      <a:avLst/>
                    </a:prstGeom>
                    <a:noFill/>
                  </pic:spPr>
                </pic:pic>
              </a:graphicData>
            </a:graphic>
          </wp:inline>
        </w:drawing>
      </w:r>
    </w:p>
    <w:p w14:paraId="6A9D775C" w14:textId="77777777" w:rsidR="000F51B9" w:rsidRDefault="000F51B9" w:rsidP="000F51B9">
      <w:pPr>
        <w:pStyle w:val="Heading3"/>
      </w:pPr>
      <w:bookmarkStart w:id="813" w:name="_Toc484092512"/>
      <w:bookmarkStart w:id="814" w:name="_Toc484172718"/>
      <w:bookmarkStart w:id="815" w:name="_Toc484183054"/>
      <w:bookmarkStart w:id="816" w:name="_Ref484547969"/>
      <w:bookmarkStart w:id="817" w:name="_Ref485126446"/>
      <w:bookmarkStart w:id="818" w:name="_Toc485126575"/>
      <w:r>
        <w:t>C&amp;S Savings</w:t>
      </w:r>
      <w:bookmarkEnd w:id="813"/>
      <w:bookmarkEnd w:id="814"/>
      <w:bookmarkEnd w:id="815"/>
      <w:bookmarkEnd w:id="816"/>
      <w:bookmarkEnd w:id="817"/>
      <w:bookmarkEnd w:id="818"/>
    </w:p>
    <w:p w14:paraId="35F8ECDF" w14:textId="7A1D3A33" w:rsidR="00276B63" w:rsidRDefault="00642996" w:rsidP="0009749A">
      <w:pPr>
        <w:pStyle w:val="CommentText"/>
      </w:pPr>
      <w:bookmarkStart w:id="819" w:name="_Toc484092513"/>
      <w:r>
        <w:t xml:space="preserve">Incremental annual savings from C&amp;S are illustrated in </w:t>
      </w:r>
      <w:r>
        <w:fldChar w:fldCharType="begin"/>
      </w:r>
      <w:r>
        <w:instrText xml:space="preserve"> REF _Ref484524272 \h </w:instrText>
      </w:r>
      <w:r>
        <w:fldChar w:fldCharType="separate"/>
      </w:r>
      <w:r w:rsidR="00C407F4" w:rsidRPr="0019767D">
        <w:t xml:space="preserve">Figure </w:t>
      </w:r>
      <w:r w:rsidR="00C407F4">
        <w:rPr>
          <w:noProof/>
        </w:rPr>
        <w:t>4</w:t>
      </w:r>
      <w:r w:rsidR="00C407F4" w:rsidRPr="0019767D">
        <w:noBreakHyphen/>
      </w:r>
      <w:r w:rsidR="00C407F4">
        <w:rPr>
          <w:noProof/>
        </w:rPr>
        <w:t>26</w:t>
      </w:r>
      <w:r>
        <w:fldChar w:fldCharType="end"/>
      </w:r>
      <w:r>
        <w:t xml:space="preserve"> and </w:t>
      </w:r>
      <w:r>
        <w:fldChar w:fldCharType="begin"/>
      </w:r>
      <w:r>
        <w:instrText xml:space="preserve"> REF _Ref484524274 \h </w:instrText>
      </w:r>
      <w:r>
        <w:fldChar w:fldCharType="separate"/>
      </w:r>
      <w:r w:rsidR="00C407F4" w:rsidRPr="00642996">
        <w:t xml:space="preserve">Figure </w:t>
      </w:r>
      <w:r w:rsidR="00C407F4">
        <w:rPr>
          <w:noProof/>
        </w:rPr>
        <w:t>4</w:t>
      </w:r>
      <w:r w:rsidR="00C407F4" w:rsidRPr="00642996">
        <w:noBreakHyphen/>
      </w:r>
      <w:r w:rsidR="00C407F4">
        <w:rPr>
          <w:noProof/>
        </w:rPr>
        <w:t>27</w:t>
      </w:r>
      <w:r>
        <w:fldChar w:fldCharType="end"/>
      </w:r>
      <w:r>
        <w:t xml:space="preserve">. Savings from C&amp;S are significantly higher than those estimated in </w:t>
      </w:r>
      <w:r w:rsidR="00276B63">
        <w:t>the 2015 PG study. The primary reason for increased savings are due to:</w:t>
      </w:r>
    </w:p>
    <w:p w14:paraId="29A408CB" w14:textId="77777777" w:rsidR="00276B63" w:rsidRDefault="00276B63" w:rsidP="004E4E36">
      <w:pPr>
        <w:pStyle w:val="CommentText"/>
        <w:numPr>
          <w:ilvl w:val="0"/>
          <w:numId w:val="72"/>
        </w:numPr>
      </w:pPr>
      <w:r>
        <w:t>Evaluated 2013 T24 savings are higher than those unevaluated savings estimated in the 2015 study</w:t>
      </w:r>
    </w:p>
    <w:p w14:paraId="14F22F29" w14:textId="77777777" w:rsidR="00276B63" w:rsidRDefault="00276B63" w:rsidP="004E4E36">
      <w:pPr>
        <w:pStyle w:val="CommentText"/>
        <w:numPr>
          <w:ilvl w:val="0"/>
          <w:numId w:val="72"/>
        </w:numPr>
      </w:pPr>
      <w:r>
        <w:t>IOU claims for 2016 Title 24 are higher than those savings estimated in the 2015 study</w:t>
      </w:r>
    </w:p>
    <w:p w14:paraId="2A080273" w14:textId="77777777" w:rsidR="0009749A" w:rsidRDefault="00276B63" w:rsidP="004E4E36">
      <w:pPr>
        <w:pStyle w:val="CommentText"/>
        <w:numPr>
          <w:ilvl w:val="0"/>
          <w:numId w:val="72"/>
        </w:numPr>
      </w:pPr>
      <w:r>
        <w:t>Inclusion of estimates for 2019 T24 in the 2018 study; these were not previously included in the mid case of the 2015 PG study</w:t>
      </w:r>
    </w:p>
    <w:p w14:paraId="1052C55B" w14:textId="77777777" w:rsidR="00276B63" w:rsidRDefault="00276B63" w:rsidP="004E4E36">
      <w:pPr>
        <w:pStyle w:val="CommentText"/>
        <w:numPr>
          <w:ilvl w:val="0"/>
          <w:numId w:val="72"/>
        </w:numPr>
      </w:pPr>
      <w:r>
        <w:t>Additional/updated federal standards claimed by the IOUs not</w:t>
      </w:r>
      <w:r w:rsidR="00560958">
        <w:t xml:space="preserve"> included in the 2015 study</w:t>
      </w:r>
    </w:p>
    <w:p w14:paraId="5269E3CA" w14:textId="77777777" w:rsidR="0009749A" w:rsidRDefault="0009749A" w:rsidP="0009749A">
      <w:pPr>
        <w:pStyle w:val="CommentText"/>
      </w:pPr>
    </w:p>
    <w:p w14:paraId="43548AE8" w14:textId="77777777" w:rsidR="0009749A" w:rsidRDefault="00276B63" w:rsidP="00184B08">
      <w:r>
        <w:t xml:space="preserve">The team performed a high-level review of the </w:t>
      </w:r>
      <w:r w:rsidR="0009749A">
        <w:t xml:space="preserve">estimates the IOU provided </w:t>
      </w:r>
      <w:r>
        <w:t>in their claims. Navigant removed savings claims related to LED voluntary quality standards from the CEC</w:t>
      </w:r>
      <w:r w:rsidR="00560958">
        <w:t xml:space="preserve"> for two reasons: 1) i</w:t>
      </w:r>
      <w:r w:rsidR="008A754B">
        <w:t>t’s</w:t>
      </w:r>
      <w:r>
        <w:t xml:space="preserve"> uncertain how much savings a voluntary standard would generate</w:t>
      </w:r>
      <w:r w:rsidR="00560958">
        <w:t>, and 2) savings from 2018 T20 general service lamp standards were included in the model by Navigant</w:t>
      </w:r>
      <w:r>
        <w:t xml:space="preserve">. Furthermore, we note that some C&amp;S </w:t>
      </w:r>
      <w:r w:rsidR="0009749A">
        <w:t xml:space="preserve">are not ‘in the books’ are </w:t>
      </w:r>
      <w:r>
        <w:t xml:space="preserve">inherently </w:t>
      </w:r>
      <w:r w:rsidR="0009749A">
        <w:t>uncertain</w:t>
      </w:r>
      <w:r>
        <w:t xml:space="preserve">. C&amp;S savings estimates </w:t>
      </w:r>
      <w:r w:rsidR="0009749A">
        <w:t xml:space="preserve">represent the best estimate </w:t>
      </w:r>
      <w:r>
        <w:t xml:space="preserve">based on available data. </w:t>
      </w:r>
    </w:p>
    <w:p w14:paraId="1D61CDE9" w14:textId="77777777" w:rsidR="006A74FB" w:rsidRDefault="006A74FB" w:rsidP="00276B63">
      <w:pPr>
        <w:pStyle w:val="CommentText"/>
      </w:pPr>
    </w:p>
    <w:p w14:paraId="4C251F23" w14:textId="77777777" w:rsidR="006A74FB" w:rsidRDefault="0019767D" w:rsidP="00184B08">
      <w:r>
        <w:lastRenderedPageBreak/>
        <w:t xml:space="preserve">Several notable trends can be observed in the results. </w:t>
      </w:r>
      <w:r w:rsidR="006A74FB">
        <w:t xml:space="preserve">Increases in whole building savings in 2020 and 2021 are attributed to the estimated impacts of 2019 T24 building codes we estimate to come into effect mid-2020. </w:t>
      </w:r>
      <w:r>
        <w:t xml:space="preserve">The increase in HVAC savings in 2023 is from the Federal </w:t>
      </w:r>
      <w:r w:rsidRPr="0019767D">
        <w:t>Air-Cooled Commercial Package ACs and HPs</w:t>
      </w:r>
      <w:r>
        <w:t xml:space="preserve"> standards (data provided by IOU claims). Incremental savings seems to decrease in the outer years as the market impacted by a code or standard has completely turned over and savings from the retrofit market are no longer counted. </w:t>
      </w:r>
    </w:p>
    <w:p w14:paraId="47286418" w14:textId="77777777" w:rsidR="005D0599" w:rsidRDefault="005D0599" w:rsidP="0009749A">
      <w:pPr>
        <w:pStyle w:val="CommentText"/>
      </w:pPr>
    </w:p>
    <w:p w14:paraId="7394D983" w14:textId="77777777" w:rsidR="005D0599" w:rsidRPr="00642996" w:rsidRDefault="005D0599" w:rsidP="00642996">
      <w:pPr>
        <w:pStyle w:val="Caption"/>
      </w:pPr>
      <w:bookmarkStart w:id="820" w:name="_Ref484524272"/>
      <w:bookmarkStart w:id="821" w:name="_Toc484437020"/>
      <w:bookmarkStart w:id="822" w:name="_Toc485125543"/>
      <w:r w:rsidRPr="0019767D">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19767D">
        <w:noBreakHyphen/>
      </w:r>
      <w:r w:rsidR="00272F76">
        <w:fldChar w:fldCharType="begin"/>
      </w:r>
      <w:r w:rsidR="00272F76">
        <w:instrText xml:space="preserve"> SEQ Figure \* ARABIC \s 1 </w:instrText>
      </w:r>
      <w:r w:rsidR="00272F76">
        <w:fldChar w:fldCharType="separate"/>
      </w:r>
      <w:r w:rsidR="00C407F4">
        <w:rPr>
          <w:noProof/>
        </w:rPr>
        <w:t>26</w:t>
      </w:r>
      <w:r w:rsidR="00272F76">
        <w:rPr>
          <w:noProof/>
        </w:rPr>
        <w:fldChar w:fldCharType="end"/>
      </w:r>
      <w:bookmarkEnd w:id="820"/>
      <w:r w:rsidRPr="0019767D">
        <w:t>. C&amp;S Electric Savings (Including Interactive Effects)</w:t>
      </w:r>
      <w:bookmarkEnd w:id="821"/>
      <w:bookmarkEnd w:id="822"/>
      <w:r w:rsidRPr="0019767D">
        <w:t xml:space="preserve"> </w:t>
      </w:r>
    </w:p>
    <w:p w14:paraId="30696CE7" w14:textId="77777777" w:rsidR="005D0599" w:rsidRDefault="005D0599" w:rsidP="0009749A">
      <w:pPr>
        <w:pStyle w:val="CommentText"/>
      </w:pPr>
    </w:p>
    <w:p w14:paraId="5783AC90" w14:textId="77777777" w:rsidR="005D0599" w:rsidRDefault="005D0599" w:rsidP="0009749A">
      <w:pPr>
        <w:pStyle w:val="CommentText"/>
      </w:pPr>
      <w:r>
        <w:rPr>
          <w:noProof/>
        </w:rPr>
        <w:drawing>
          <wp:inline distT="0" distB="0" distL="0" distR="0" wp14:anchorId="3B5D60E2" wp14:editId="085A947F">
            <wp:extent cx="5844845" cy="2476567"/>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51513" cy="2479393"/>
                    </a:xfrm>
                    <a:prstGeom prst="rect">
                      <a:avLst/>
                    </a:prstGeom>
                    <a:noFill/>
                  </pic:spPr>
                </pic:pic>
              </a:graphicData>
            </a:graphic>
          </wp:inline>
        </w:drawing>
      </w:r>
    </w:p>
    <w:p w14:paraId="717FF790" w14:textId="77777777" w:rsidR="005D0599" w:rsidRDefault="005D0599" w:rsidP="0009749A">
      <w:pPr>
        <w:pStyle w:val="CommentText"/>
      </w:pPr>
    </w:p>
    <w:p w14:paraId="554934B1" w14:textId="77777777" w:rsidR="005D0599" w:rsidRDefault="005D0599" w:rsidP="005D0599">
      <w:pPr>
        <w:keepNext/>
        <w:jc w:val="center"/>
        <w:rPr>
          <w:b/>
          <w:bCs/>
          <w:color w:val="3F4042"/>
          <w:szCs w:val="20"/>
        </w:rPr>
      </w:pPr>
    </w:p>
    <w:p w14:paraId="74773AFF" w14:textId="77777777" w:rsidR="005D0599" w:rsidRDefault="005D0599" w:rsidP="00642996">
      <w:pPr>
        <w:pStyle w:val="Caption"/>
      </w:pPr>
      <w:bookmarkStart w:id="823" w:name="_Ref484524274"/>
      <w:bookmarkStart w:id="824" w:name="_Toc484437021"/>
      <w:bookmarkStart w:id="825" w:name="_Toc485125544"/>
      <w:r w:rsidRPr="00642996">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642996">
        <w:noBreakHyphen/>
      </w:r>
      <w:r w:rsidR="00272F76">
        <w:fldChar w:fldCharType="begin"/>
      </w:r>
      <w:r w:rsidR="00272F76">
        <w:instrText xml:space="preserve"> SEQ Figure \* ARABIC \s 1 </w:instrText>
      </w:r>
      <w:r w:rsidR="00272F76">
        <w:fldChar w:fldCharType="separate"/>
      </w:r>
      <w:r w:rsidR="00C407F4">
        <w:rPr>
          <w:noProof/>
        </w:rPr>
        <w:t>27</w:t>
      </w:r>
      <w:r w:rsidR="00272F76">
        <w:rPr>
          <w:noProof/>
        </w:rPr>
        <w:fldChar w:fldCharType="end"/>
      </w:r>
      <w:bookmarkEnd w:id="823"/>
      <w:r w:rsidRPr="00642996">
        <w:t>. C&amp;S Gas Savings (Including Interactive Effects)</w:t>
      </w:r>
      <w:bookmarkEnd w:id="824"/>
      <w:bookmarkEnd w:id="825"/>
      <w:r w:rsidRPr="00642996">
        <w:t xml:space="preserve"> </w:t>
      </w:r>
    </w:p>
    <w:p w14:paraId="1D1F3A88" w14:textId="77777777" w:rsidR="005D0599" w:rsidRDefault="005D0599" w:rsidP="0009749A">
      <w:pPr>
        <w:pStyle w:val="CommentText"/>
      </w:pPr>
    </w:p>
    <w:p w14:paraId="52152A7A" w14:textId="77777777" w:rsidR="0009749A" w:rsidRDefault="005D0599" w:rsidP="000F51B9">
      <w:r>
        <w:rPr>
          <w:noProof/>
        </w:rPr>
        <w:drawing>
          <wp:inline distT="0" distB="0" distL="0" distR="0" wp14:anchorId="15FF902D" wp14:editId="084ABF21">
            <wp:extent cx="5905891" cy="25024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18475" cy="2507765"/>
                    </a:xfrm>
                    <a:prstGeom prst="rect">
                      <a:avLst/>
                    </a:prstGeom>
                    <a:noFill/>
                  </pic:spPr>
                </pic:pic>
              </a:graphicData>
            </a:graphic>
          </wp:inline>
        </w:drawing>
      </w:r>
    </w:p>
    <w:p w14:paraId="110B7792" w14:textId="77777777" w:rsidR="00184B08" w:rsidRDefault="00184B08" w:rsidP="000F51B9"/>
    <w:p w14:paraId="7FF6C911" w14:textId="08202452" w:rsidR="00184B08" w:rsidRPr="000F51B9" w:rsidRDefault="00184B08" w:rsidP="000F51B9">
      <w:r>
        <w:t xml:space="preserve">Additional versions of </w:t>
      </w:r>
      <w:r>
        <w:fldChar w:fldCharType="begin"/>
      </w:r>
      <w:r>
        <w:instrText xml:space="preserve"> REF _Ref484524272 \h </w:instrText>
      </w:r>
      <w:r>
        <w:fldChar w:fldCharType="separate"/>
      </w:r>
      <w:r w:rsidR="00C407F4" w:rsidRPr="0019767D">
        <w:t xml:space="preserve">Figure </w:t>
      </w:r>
      <w:r w:rsidR="00C407F4">
        <w:rPr>
          <w:noProof/>
        </w:rPr>
        <w:t>4</w:t>
      </w:r>
      <w:r w:rsidR="00C407F4" w:rsidRPr="0019767D">
        <w:noBreakHyphen/>
      </w:r>
      <w:r w:rsidR="00C407F4">
        <w:rPr>
          <w:noProof/>
        </w:rPr>
        <w:t>26</w:t>
      </w:r>
      <w:r>
        <w:fldChar w:fldCharType="end"/>
      </w:r>
      <w:r>
        <w:t xml:space="preserve"> and </w:t>
      </w:r>
      <w:r>
        <w:fldChar w:fldCharType="begin"/>
      </w:r>
      <w:r>
        <w:instrText xml:space="preserve"> REF _Ref484524274 \h </w:instrText>
      </w:r>
      <w:r>
        <w:fldChar w:fldCharType="separate"/>
      </w:r>
      <w:r w:rsidR="00C407F4" w:rsidRPr="00642996">
        <w:t xml:space="preserve">Figure </w:t>
      </w:r>
      <w:r w:rsidR="00C407F4">
        <w:rPr>
          <w:noProof/>
        </w:rPr>
        <w:t>4</w:t>
      </w:r>
      <w:r w:rsidR="00C407F4" w:rsidRPr="00642996">
        <w:noBreakHyphen/>
      </w:r>
      <w:r w:rsidR="00C407F4">
        <w:rPr>
          <w:noProof/>
        </w:rPr>
        <w:t>27</w:t>
      </w:r>
      <w:r>
        <w:fldChar w:fldCharType="end"/>
      </w:r>
      <w:r>
        <w:t xml:space="preserve"> for each IOU and including peak demand savings can be found in the results viewer under the tab “</w:t>
      </w:r>
      <w:r w:rsidRPr="00184B08">
        <w:t>Codes &amp; Standards</w:t>
      </w:r>
      <w:r>
        <w:t>”</w:t>
      </w:r>
    </w:p>
    <w:p w14:paraId="398C97BF" w14:textId="77777777" w:rsidR="00E97BD7" w:rsidRDefault="00E97BD7" w:rsidP="00E97BD7">
      <w:pPr>
        <w:pStyle w:val="Heading2"/>
      </w:pPr>
      <w:bookmarkStart w:id="826" w:name="_Toc478990530"/>
      <w:bookmarkStart w:id="827" w:name="_Toc479768608"/>
      <w:bookmarkStart w:id="828" w:name="_Toc482357332"/>
      <w:bookmarkStart w:id="829" w:name="_Toc482634307"/>
      <w:bookmarkStart w:id="830" w:name="_Toc482626439"/>
      <w:bookmarkStart w:id="831" w:name="_Toc484092514"/>
      <w:bookmarkStart w:id="832" w:name="_Toc484172720"/>
      <w:bookmarkStart w:id="833" w:name="_Toc484183056"/>
      <w:bookmarkStart w:id="834" w:name="_Ref484547410"/>
      <w:bookmarkStart w:id="835" w:name="_Ref484764555"/>
      <w:bookmarkStart w:id="836" w:name="_Toc485126576"/>
      <w:bookmarkEnd w:id="819"/>
      <w:r>
        <w:lastRenderedPageBreak/>
        <w:t>Detailed Study Results</w:t>
      </w:r>
      <w:bookmarkEnd w:id="826"/>
      <w:bookmarkEnd w:id="827"/>
      <w:bookmarkEnd w:id="828"/>
      <w:bookmarkEnd w:id="829"/>
      <w:bookmarkEnd w:id="830"/>
      <w:bookmarkEnd w:id="831"/>
      <w:bookmarkEnd w:id="832"/>
      <w:bookmarkEnd w:id="833"/>
      <w:bookmarkEnd w:id="834"/>
      <w:bookmarkEnd w:id="835"/>
      <w:bookmarkEnd w:id="836"/>
    </w:p>
    <w:p w14:paraId="61A65CEA" w14:textId="77777777" w:rsidR="00CE648C" w:rsidRDefault="00E97BD7" w:rsidP="00E97BD7">
      <w:r w:rsidRPr="00074DC1">
        <w:t>Along with the model file and the summary results shown above, the team developed a downloadable excel tool, the 201</w:t>
      </w:r>
      <w:r w:rsidR="008B4CCB" w:rsidRPr="00074DC1">
        <w:t>8</w:t>
      </w:r>
      <w:r w:rsidRPr="00074DC1">
        <w:t xml:space="preserve"> PG Results Viewer. The Results Viewer provides stakeholders the ability to manipulate and visualize model outputs</w:t>
      </w:r>
      <w:r w:rsidR="00131F07">
        <w:t xml:space="preserve">. </w:t>
      </w:r>
      <w:r>
        <w:t xml:space="preserve"> </w:t>
      </w:r>
      <w:r w:rsidR="00CE648C">
        <w:t xml:space="preserve">The viewer contains multiple tabs (listed and described in </w:t>
      </w:r>
      <w:r w:rsidR="00CE648C">
        <w:fldChar w:fldCharType="begin"/>
      </w:r>
      <w:r w:rsidR="00CE648C">
        <w:instrText xml:space="preserve"> REF _Ref484765397 \h </w:instrText>
      </w:r>
      <w:r w:rsidR="00CE648C">
        <w:fldChar w:fldCharType="separate"/>
      </w:r>
      <w:r w:rsidR="00C407F4">
        <w:t xml:space="preserve">Table </w:t>
      </w:r>
      <w:r w:rsidR="00C407F4">
        <w:rPr>
          <w:noProof/>
        </w:rPr>
        <w:t>4</w:t>
      </w:r>
      <w:r w:rsidR="00C407F4">
        <w:noBreakHyphen/>
      </w:r>
      <w:r w:rsidR="00C407F4">
        <w:rPr>
          <w:noProof/>
        </w:rPr>
        <w:t>3</w:t>
      </w:r>
      <w:r w:rsidR="00CE648C">
        <w:fldChar w:fldCharType="end"/>
      </w:r>
      <w:r w:rsidR="00067CCB">
        <w:t>)</w:t>
      </w:r>
      <w:r w:rsidR="00CE648C">
        <w:t xml:space="preserve"> some provide high level results, others provide end use level results, and other provided detailed raw output. </w:t>
      </w:r>
      <w:r w:rsidR="00067CCB">
        <w:t xml:space="preserve">The results viewer provides “measure level” results from C&amp;S, Low Income, and BROs. A separate database of measure level results for rebate programs is also made available with this release. </w:t>
      </w:r>
    </w:p>
    <w:p w14:paraId="464777BE" w14:textId="77777777" w:rsidR="00CE648C" w:rsidRDefault="00CE648C" w:rsidP="00E97BD7"/>
    <w:p w14:paraId="3EC97BBB" w14:textId="77777777" w:rsidR="00CE648C" w:rsidRDefault="00CE648C" w:rsidP="00CE648C">
      <w:pPr>
        <w:pStyle w:val="Caption"/>
      </w:pPr>
      <w:bookmarkStart w:id="837" w:name="_Ref484765397"/>
      <w:bookmarkStart w:id="838" w:name="_Toc485125692"/>
      <w:r>
        <w:t xml:space="preserve">Table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C407F4">
        <w:rPr>
          <w:noProof/>
        </w:rPr>
        <w:t>3</w:t>
      </w:r>
      <w:r w:rsidR="00272F76">
        <w:rPr>
          <w:noProof/>
        </w:rPr>
        <w:fldChar w:fldCharType="end"/>
      </w:r>
      <w:bookmarkEnd w:id="837"/>
      <w:r>
        <w:t>. Results Viewer Tabs</w:t>
      </w:r>
      <w:bookmarkEnd w:id="838"/>
    </w:p>
    <w:tbl>
      <w:tblPr>
        <w:tblStyle w:val="EnergyTable1"/>
        <w:tblW w:w="9535" w:type="dxa"/>
        <w:tblLook w:val="04A0" w:firstRow="1" w:lastRow="0" w:firstColumn="1" w:lastColumn="0" w:noHBand="0" w:noVBand="1"/>
      </w:tblPr>
      <w:tblGrid>
        <w:gridCol w:w="2335"/>
        <w:gridCol w:w="7200"/>
      </w:tblGrid>
      <w:tr w:rsidR="00CE648C" w:rsidRPr="00CE648C" w14:paraId="31F4D7D9" w14:textId="77777777" w:rsidTr="00CE648C">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2335" w:type="dxa"/>
            <w:noWrap/>
          </w:tcPr>
          <w:p w14:paraId="529C8841" w14:textId="77777777" w:rsidR="00CE648C" w:rsidRPr="00CE648C" w:rsidRDefault="00CE648C" w:rsidP="00CE648C">
            <w:pPr>
              <w:spacing w:line="240" w:lineRule="auto"/>
              <w:rPr>
                <w:rFonts w:ascii="Arial Narrow" w:hAnsi="Arial Narrow" w:cs="Calibri"/>
                <w:bCs/>
                <w:iCs/>
                <w:color w:val="FFFFFF" w:themeColor="background1"/>
                <w:sz w:val="18"/>
                <w:szCs w:val="18"/>
              </w:rPr>
            </w:pPr>
            <w:r w:rsidRPr="00CE648C">
              <w:rPr>
                <w:rFonts w:ascii="Arial Narrow" w:hAnsi="Arial Narrow" w:cs="Calibri"/>
                <w:bCs/>
                <w:iCs/>
                <w:color w:val="FFFFFF" w:themeColor="background1"/>
                <w:sz w:val="18"/>
                <w:szCs w:val="18"/>
              </w:rPr>
              <w:t>Tab</w:t>
            </w:r>
          </w:p>
        </w:tc>
        <w:tc>
          <w:tcPr>
            <w:tcW w:w="7200" w:type="dxa"/>
          </w:tcPr>
          <w:p w14:paraId="5A23FEDA" w14:textId="77777777" w:rsidR="00CE648C" w:rsidRPr="00CE648C" w:rsidRDefault="00CE648C" w:rsidP="00CE648C">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themeColor="background1"/>
                <w:sz w:val="18"/>
                <w:szCs w:val="18"/>
              </w:rPr>
            </w:pPr>
            <w:r w:rsidRPr="00CE648C">
              <w:rPr>
                <w:rFonts w:ascii="Arial Narrow" w:hAnsi="Arial Narrow" w:cs="Calibri"/>
                <w:color w:val="FFFFFF" w:themeColor="background1"/>
                <w:sz w:val="18"/>
                <w:szCs w:val="18"/>
              </w:rPr>
              <w:t>Description</w:t>
            </w:r>
          </w:p>
        </w:tc>
      </w:tr>
      <w:tr w:rsidR="00CE648C" w:rsidRPr="00CE648C" w14:paraId="06F8CD74"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90973D4" w14:textId="77777777" w:rsidR="00CE648C" w:rsidRPr="00CE648C" w:rsidRDefault="00272F76" w:rsidP="00CE648C">
            <w:pPr>
              <w:spacing w:line="240" w:lineRule="auto"/>
              <w:rPr>
                <w:rFonts w:ascii="Arial Narrow" w:hAnsi="Arial Narrow" w:cs="Calibri"/>
                <w:bCs/>
                <w:iCs/>
                <w:sz w:val="18"/>
                <w:szCs w:val="18"/>
              </w:rPr>
            </w:pPr>
            <w:hyperlink r:id="rId82" w:anchor="RANGE!A1" w:history="1">
              <w:r w:rsidR="00CE648C" w:rsidRPr="00CE648C">
                <w:rPr>
                  <w:rFonts w:ascii="Arial Narrow" w:hAnsi="Arial Narrow" w:cs="Calibri"/>
                  <w:bCs/>
                  <w:iCs/>
                  <w:sz w:val="18"/>
                  <w:szCs w:val="18"/>
                </w:rPr>
                <w:t>Data Key and Definitions</w:t>
              </w:r>
            </w:hyperlink>
          </w:p>
        </w:tc>
        <w:tc>
          <w:tcPr>
            <w:tcW w:w="7200" w:type="dxa"/>
            <w:hideMark/>
          </w:tcPr>
          <w:p w14:paraId="1AAD573F"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A brief description of key data fields and definitions of terms used in this tool</w:t>
            </w:r>
          </w:p>
        </w:tc>
      </w:tr>
      <w:tr w:rsidR="00CE648C" w:rsidRPr="00CE648C" w14:paraId="503B8689"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1EE8C26" w14:textId="77777777" w:rsidR="00CE648C" w:rsidRPr="00CE648C" w:rsidRDefault="00272F76" w:rsidP="00CE648C">
            <w:pPr>
              <w:spacing w:line="240" w:lineRule="auto"/>
              <w:rPr>
                <w:rFonts w:ascii="Arial Narrow" w:hAnsi="Arial Narrow" w:cs="Calibri"/>
                <w:bCs/>
                <w:iCs/>
                <w:sz w:val="18"/>
                <w:szCs w:val="18"/>
              </w:rPr>
            </w:pPr>
            <w:hyperlink r:id="rId83" w:anchor="'Tech, Econ and Market Potential'!A1" w:history="1">
              <w:r w:rsidR="00CE648C" w:rsidRPr="00CE648C">
                <w:rPr>
                  <w:rFonts w:ascii="Arial Narrow" w:hAnsi="Arial Narrow" w:cs="Calibri"/>
                  <w:bCs/>
                  <w:iCs/>
                  <w:sz w:val="18"/>
                  <w:szCs w:val="18"/>
                </w:rPr>
                <w:t>Tech, Econ and Market Potential</w:t>
              </w:r>
            </w:hyperlink>
          </w:p>
        </w:tc>
        <w:tc>
          <w:tcPr>
            <w:tcW w:w="7200" w:type="dxa"/>
            <w:hideMark/>
          </w:tcPr>
          <w:p w14:paraId="07833958"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Statewide technical, economic and market potential for 2018 and beyond in GWh, MW and MMTherms by scenario</w:t>
            </w:r>
          </w:p>
        </w:tc>
      </w:tr>
      <w:tr w:rsidR="00CE648C" w:rsidRPr="00CE648C" w14:paraId="6027655D"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6A51DFF" w14:textId="77777777" w:rsidR="00CE648C" w:rsidRPr="00CE648C" w:rsidRDefault="00272F76" w:rsidP="00CE648C">
            <w:pPr>
              <w:spacing w:line="240" w:lineRule="auto"/>
              <w:rPr>
                <w:rFonts w:ascii="Arial Narrow" w:hAnsi="Arial Narrow" w:cs="Calibri"/>
                <w:bCs/>
                <w:iCs/>
                <w:sz w:val="18"/>
                <w:szCs w:val="18"/>
              </w:rPr>
            </w:pPr>
            <w:hyperlink r:id="rId84" w:anchor="'Total Incremental Potential'!A1" w:history="1">
              <w:r w:rsidR="00CE648C" w:rsidRPr="00CE648C">
                <w:rPr>
                  <w:rFonts w:ascii="Arial Narrow" w:hAnsi="Arial Narrow" w:cs="Calibri"/>
                  <w:bCs/>
                  <w:iCs/>
                  <w:sz w:val="18"/>
                  <w:szCs w:val="18"/>
                </w:rPr>
                <w:t>Total Incremental Potential</w:t>
              </w:r>
            </w:hyperlink>
          </w:p>
        </w:tc>
        <w:tc>
          <w:tcPr>
            <w:tcW w:w="7200" w:type="dxa"/>
            <w:hideMark/>
          </w:tcPr>
          <w:p w14:paraId="577C8C83"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Stacks up the Incremental Market Potential data by sector including C&amp;S, BROs, and Low Income</w:t>
            </w:r>
          </w:p>
        </w:tc>
      </w:tr>
      <w:tr w:rsidR="00CE648C" w:rsidRPr="00CE648C" w14:paraId="105C2677"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2689094" w14:textId="77777777" w:rsidR="00CE648C" w:rsidRPr="00CE648C" w:rsidRDefault="00272F76" w:rsidP="00CE648C">
            <w:pPr>
              <w:spacing w:line="240" w:lineRule="auto"/>
              <w:rPr>
                <w:rFonts w:ascii="Arial Narrow" w:hAnsi="Arial Narrow" w:cs="Calibri"/>
                <w:bCs/>
                <w:iCs/>
                <w:sz w:val="18"/>
                <w:szCs w:val="18"/>
              </w:rPr>
            </w:pPr>
            <w:hyperlink r:id="rId85" w:anchor="'Total Spending'!A1" w:history="1">
              <w:r w:rsidR="00CE648C" w:rsidRPr="00CE648C">
                <w:rPr>
                  <w:rFonts w:ascii="Arial Narrow" w:hAnsi="Arial Narrow" w:cs="Calibri"/>
                  <w:bCs/>
                  <w:iCs/>
                  <w:sz w:val="18"/>
                  <w:szCs w:val="18"/>
                </w:rPr>
                <w:t>Total Spending</w:t>
              </w:r>
            </w:hyperlink>
          </w:p>
        </w:tc>
        <w:tc>
          <w:tcPr>
            <w:tcW w:w="7200" w:type="dxa"/>
            <w:hideMark/>
          </w:tcPr>
          <w:p w14:paraId="607F57E7"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Stacks up the Incremental Spending data by sector including BROs and Low Income</w:t>
            </w:r>
          </w:p>
        </w:tc>
      </w:tr>
      <w:tr w:rsidR="00CE648C" w:rsidRPr="00CE648C" w14:paraId="07ED8EB8" w14:textId="77777777" w:rsidTr="00CE648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A3C6C23" w14:textId="77777777" w:rsidR="00CE648C" w:rsidRPr="00CE648C" w:rsidRDefault="00272F76" w:rsidP="00CE648C">
            <w:pPr>
              <w:spacing w:line="240" w:lineRule="auto"/>
              <w:rPr>
                <w:rFonts w:ascii="Arial Narrow" w:hAnsi="Arial Narrow" w:cs="Calibri"/>
                <w:bCs/>
                <w:iCs/>
                <w:sz w:val="18"/>
                <w:szCs w:val="18"/>
              </w:rPr>
            </w:pPr>
            <w:hyperlink r:id="rId86" w:anchor="'Scenario Pivot - Incremental'!A1" w:history="1">
              <w:r w:rsidR="00CE648C" w:rsidRPr="00CE648C">
                <w:rPr>
                  <w:rFonts w:ascii="Arial Narrow" w:hAnsi="Arial Narrow" w:cs="Calibri"/>
                  <w:bCs/>
                  <w:iCs/>
                  <w:sz w:val="18"/>
                  <w:szCs w:val="18"/>
                </w:rPr>
                <w:t>Scenario Pivot - Incremental</w:t>
              </w:r>
            </w:hyperlink>
          </w:p>
        </w:tc>
        <w:tc>
          <w:tcPr>
            <w:tcW w:w="7200" w:type="dxa"/>
            <w:hideMark/>
          </w:tcPr>
          <w:p w14:paraId="3B0D4A70"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Provides Incremental Market Potential data by Scenario. It also allows the user to manipulate the data based on their needs through filters such as Service Territory, Building Type, Sector etc.</w:t>
            </w:r>
          </w:p>
        </w:tc>
      </w:tr>
      <w:tr w:rsidR="00CE648C" w:rsidRPr="00CE648C" w14:paraId="5D29E5D0"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F88EF20" w14:textId="77777777" w:rsidR="00CE648C" w:rsidRPr="00CE648C" w:rsidRDefault="00272F76" w:rsidP="00CE648C">
            <w:pPr>
              <w:spacing w:line="240" w:lineRule="auto"/>
              <w:rPr>
                <w:rFonts w:ascii="Arial Narrow" w:hAnsi="Arial Narrow" w:cs="Calibri"/>
                <w:bCs/>
                <w:iCs/>
                <w:sz w:val="18"/>
                <w:szCs w:val="18"/>
              </w:rPr>
            </w:pPr>
            <w:hyperlink r:id="rId87" w:anchor="'Scenario Pivot - Cumulative'!A1" w:history="1">
              <w:r w:rsidR="00CE648C" w:rsidRPr="00CE648C">
                <w:rPr>
                  <w:rFonts w:ascii="Arial Narrow" w:hAnsi="Arial Narrow" w:cs="Calibri"/>
                  <w:bCs/>
                  <w:iCs/>
                  <w:sz w:val="18"/>
                  <w:szCs w:val="18"/>
                </w:rPr>
                <w:t>Scenario Pivot - Cumulative</w:t>
              </w:r>
            </w:hyperlink>
          </w:p>
        </w:tc>
        <w:tc>
          <w:tcPr>
            <w:tcW w:w="7200" w:type="dxa"/>
            <w:hideMark/>
          </w:tcPr>
          <w:p w14:paraId="034A8701"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Provides Cumulative Market Potential data by Scenario. It also allows the user to manipulate the data based on their needs through filters such as Service Territory, Building Type, Sector etc.</w:t>
            </w:r>
          </w:p>
        </w:tc>
      </w:tr>
      <w:tr w:rsidR="00CE648C" w:rsidRPr="00CE648C" w14:paraId="424E36BC"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B623C1A" w14:textId="77777777" w:rsidR="00CE648C" w:rsidRPr="00CE648C" w:rsidRDefault="00272F76" w:rsidP="00CE648C">
            <w:pPr>
              <w:spacing w:line="240" w:lineRule="auto"/>
              <w:rPr>
                <w:rFonts w:ascii="Arial Narrow" w:hAnsi="Arial Narrow" w:cs="Calibri"/>
                <w:bCs/>
                <w:iCs/>
                <w:sz w:val="18"/>
                <w:szCs w:val="18"/>
              </w:rPr>
            </w:pPr>
            <w:hyperlink r:id="rId88" w:anchor="'Scenario Pivot - Spending'!A1" w:history="1">
              <w:r w:rsidR="00CE648C" w:rsidRPr="00CE648C">
                <w:rPr>
                  <w:rFonts w:ascii="Arial Narrow" w:hAnsi="Arial Narrow" w:cs="Calibri"/>
                  <w:bCs/>
                  <w:iCs/>
                  <w:sz w:val="18"/>
                  <w:szCs w:val="18"/>
                </w:rPr>
                <w:t>Scenario Pivot - Spending</w:t>
              </w:r>
            </w:hyperlink>
          </w:p>
        </w:tc>
        <w:tc>
          <w:tcPr>
            <w:tcW w:w="7200" w:type="dxa"/>
            <w:hideMark/>
          </w:tcPr>
          <w:p w14:paraId="72A86C43"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Provides Incremental Spending data by Scenario. It also allows the user to manipulate the data based on their needs through filters such as Service Territory, Building Type, Sector etc.</w:t>
            </w:r>
          </w:p>
        </w:tc>
      </w:tr>
      <w:tr w:rsidR="00CE648C" w:rsidRPr="00CE648C" w14:paraId="397C1988"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D968F75" w14:textId="77777777" w:rsidR="00CE648C" w:rsidRPr="00CE648C" w:rsidRDefault="00272F76" w:rsidP="00CE648C">
            <w:pPr>
              <w:spacing w:line="240" w:lineRule="auto"/>
              <w:rPr>
                <w:rFonts w:ascii="Arial Narrow" w:hAnsi="Arial Narrow" w:cs="Calibri"/>
                <w:bCs/>
                <w:iCs/>
                <w:sz w:val="18"/>
                <w:szCs w:val="18"/>
              </w:rPr>
            </w:pPr>
            <w:hyperlink r:id="rId89" w:anchor="'Cost-effectiveness'!A1" w:history="1">
              <w:r w:rsidR="00CE648C" w:rsidRPr="00CE648C">
                <w:rPr>
                  <w:rFonts w:ascii="Arial Narrow" w:hAnsi="Arial Narrow" w:cs="Calibri"/>
                  <w:bCs/>
                  <w:iCs/>
                  <w:sz w:val="18"/>
                  <w:szCs w:val="18"/>
                </w:rPr>
                <w:t>Cost-effectiveness</w:t>
              </w:r>
            </w:hyperlink>
          </w:p>
        </w:tc>
        <w:tc>
          <w:tcPr>
            <w:tcW w:w="7200" w:type="dxa"/>
            <w:noWrap/>
            <w:hideMark/>
          </w:tcPr>
          <w:p w14:paraId="240A4815"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 xml:space="preserve">Shows the portfolio cost effectiveness results for rebate programs (excludes C&amp;S, BROs, Low Income). </w:t>
            </w:r>
          </w:p>
        </w:tc>
      </w:tr>
      <w:tr w:rsidR="00CE648C" w:rsidRPr="00CE648C" w14:paraId="36E57B3B" w14:textId="77777777" w:rsidTr="00CE648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8EC5051" w14:textId="77777777" w:rsidR="00CE648C" w:rsidRPr="00CE648C" w:rsidRDefault="00272F76" w:rsidP="00CE648C">
            <w:pPr>
              <w:spacing w:line="240" w:lineRule="auto"/>
              <w:rPr>
                <w:rFonts w:ascii="Arial Narrow" w:hAnsi="Arial Narrow" w:cs="Calibri"/>
                <w:bCs/>
                <w:iCs/>
                <w:sz w:val="18"/>
                <w:szCs w:val="18"/>
              </w:rPr>
            </w:pPr>
            <w:hyperlink r:id="rId90" w:anchor="'Use Category - Inc Rebate Net'!A1" w:history="1">
              <w:r w:rsidR="00CE648C" w:rsidRPr="00CE648C">
                <w:rPr>
                  <w:rFonts w:ascii="Arial Narrow" w:hAnsi="Arial Narrow" w:cs="Calibri"/>
                  <w:bCs/>
                  <w:iCs/>
                  <w:sz w:val="18"/>
                  <w:szCs w:val="18"/>
                </w:rPr>
                <w:t>Use Category - Inc Rebate Net</w:t>
              </w:r>
            </w:hyperlink>
          </w:p>
        </w:tc>
        <w:tc>
          <w:tcPr>
            <w:tcW w:w="7200" w:type="dxa"/>
            <w:hideMark/>
          </w:tcPr>
          <w:p w14:paraId="4CD2326E"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Visualize the Incremental Net Market Potential data by End Use Categories. It also allows the user to manipulate the data based on their needs through filters such as Service Territory, Building Type, Sector etc.</w:t>
            </w:r>
          </w:p>
        </w:tc>
      </w:tr>
      <w:tr w:rsidR="00CE648C" w:rsidRPr="00CE648C" w14:paraId="5D48C63C" w14:textId="77777777" w:rsidTr="00CE648C">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CB55509" w14:textId="77777777" w:rsidR="00CE648C" w:rsidRPr="00CE648C" w:rsidRDefault="00272F76" w:rsidP="00CE648C">
            <w:pPr>
              <w:spacing w:line="240" w:lineRule="auto"/>
              <w:rPr>
                <w:rFonts w:ascii="Arial Narrow" w:hAnsi="Arial Narrow" w:cs="Calibri"/>
                <w:bCs/>
                <w:iCs/>
                <w:sz w:val="18"/>
                <w:szCs w:val="18"/>
              </w:rPr>
            </w:pPr>
            <w:hyperlink r:id="rId91" w:anchor="'Use Category - Inc Stranded Net'!A1" w:history="1">
              <w:r w:rsidR="00CE648C" w:rsidRPr="00CE648C">
                <w:rPr>
                  <w:rFonts w:ascii="Arial Narrow" w:hAnsi="Arial Narrow" w:cs="Calibri"/>
                  <w:bCs/>
                  <w:iCs/>
                  <w:sz w:val="18"/>
                  <w:szCs w:val="18"/>
                </w:rPr>
                <w:t>Use Category - Inc Stranded Net</w:t>
              </w:r>
            </w:hyperlink>
          </w:p>
        </w:tc>
        <w:tc>
          <w:tcPr>
            <w:tcW w:w="7200" w:type="dxa"/>
            <w:hideMark/>
          </w:tcPr>
          <w:p w14:paraId="738C027F"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Visualize the Stranded Potential data by End Use Categories. It also allows the user to manipulate the data based on their needs through filters such as Service Territory, Building Type, Sector etc.</w:t>
            </w:r>
          </w:p>
        </w:tc>
      </w:tr>
      <w:tr w:rsidR="00CE648C" w:rsidRPr="00CE648C" w14:paraId="5BE8B3BC" w14:textId="77777777" w:rsidTr="00CE648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BE9CEA0" w14:textId="77777777" w:rsidR="00CE648C" w:rsidRPr="00CE648C" w:rsidRDefault="00272F76" w:rsidP="00CE648C">
            <w:pPr>
              <w:spacing w:line="240" w:lineRule="auto"/>
              <w:rPr>
                <w:rFonts w:ascii="Arial Narrow" w:hAnsi="Arial Narrow" w:cs="Calibri"/>
                <w:bCs/>
                <w:iCs/>
                <w:sz w:val="18"/>
                <w:szCs w:val="18"/>
              </w:rPr>
            </w:pPr>
            <w:hyperlink r:id="rId92" w:anchor="'Use Category - Inc Rebate Gross'!A1" w:history="1">
              <w:r w:rsidR="00CE648C" w:rsidRPr="00CE648C">
                <w:rPr>
                  <w:rFonts w:ascii="Arial Narrow" w:hAnsi="Arial Narrow" w:cs="Calibri"/>
                  <w:bCs/>
                  <w:iCs/>
                  <w:sz w:val="18"/>
                  <w:szCs w:val="18"/>
                </w:rPr>
                <w:t>Use Category - Inc Rebate Gross</w:t>
              </w:r>
            </w:hyperlink>
          </w:p>
        </w:tc>
        <w:tc>
          <w:tcPr>
            <w:tcW w:w="7200" w:type="dxa"/>
            <w:hideMark/>
          </w:tcPr>
          <w:p w14:paraId="63A8C05E"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Visualize the Incremental Gross Market Potential data by End Use Categories. It also allows the user to manipulate the data based on their needs through filters such as Service Territory, Building Type, Sector etc.</w:t>
            </w:r>
          </w:p>
        </w:tc>
      </w:tr>
      <w:tr w:rsidR="00CE648C" w:rsidRPr="00CE648C" w14:paraId="79A4FDAD"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944081F" w14:textId="77777777" w:rsidR="00CE648C" w:rsidRPr="00CE648C" w:rsidRDefault="00272F76" w:rsidP="00CE648C">
            <w:pPr>
              <w:spacing w:line="240" w:lineRule="auto"/>
              <w:rPr>
                <w:rFonts w:ascii="Arial Narrow" w:hAnsi="Arial Narrow" w:cs="Calibri"/>
                <w:bCs/>
                <w:iCs/>
                <w:sz w:val="18"/>
                <w:szCs w:val="18"/>
              </w:rPr>
            </w:pPr>
            <w:hyperlink r:id="rId93" w:anchor="'Percent Savings'!A1" w:history="1">
              <w:r w:rsidR="00CE648C" w:rsidRPr="00CE648C">
                <w:rPr>
                  <w:rFonts w:ascii="Arial Narrow" w:hAnsi="Arial Narrow" w:cs="Calibri"/>
                  <w:bCs/>
                  <w:iCs/>
                  <w:sz w:val="18"/>
                  <w:szCs w:val="18"/>
                </w:rPr>
                <w:t>Percent Savings</w:t>
              </w:r>
            </w:hyperlink>
          </w:p>
        </w:tc>
        <w:tc>
          <w:tcPr>
            <w:tcW w:w="7200" w:type="dxa"/>
            <w:hideMark/>
          </w:tcPr>
          <w:p w14:paraId="11F8320E"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Incremental market potential as a percent of CEC sales data</w:t>
            </w:r>
          </w:p>
        </w:tc>
      </w:tr>
      <w:tr w:rsidR="00CE648C" w:rsidRPr="00CE648C" w14:paraId="490B2F8C" w14:textId="77777777" w:rsidTr="00CE648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9A4D7B3" w14:textId="77777777" w:rsidR="00CE648C" w:rsidRPr="00CE648C" w:rsidRDefault="00272F76" w:rsidP="00CE648C">
            <w:pPr>
              <w:spacing w:line="240" w:lineRule="auto"/>
              <w:rPr>
                <w:rFonts w:ascii="Arial Narrow" w:hAnsi="Arial Narrow" w:cs="Calibri"/>
                <w:bCs/>
                <w:iCs/>
                <w:sz w:val="18"/>
                <w:szCs w:val="18"/>
              </w:rPr>
            </w:pPr>
            <w:hyperlink r:id="rId94" w:anchor="'Incremental Behavior'!A1" w:history="1">
              <w:r w:rsidR="00CE648C" w:rsidRPr="00CE648C">
                <w:rPr>
                  <w:rFonts w:ascii="Arial Narrow" w:hAnsi="Arial Narrow" w:cs="Calibri"/>
                  <w:bCs/>
                  <w:iCs/>
                  <w:sz w:val="18"/>
                  <w:szCs w:val="18"/>
                </w:rPr>
                <w:t>Incremental Behavior</w:t>
              </w:r>
            </w:hyperlink>
          </w:p>
        </w:tc>
        <w:tc>
          <w:tcPr>
            <w:tcW w:w="7200" w:type="dxa"/>
            <w:hideMark/>
          </w:tcPr>
          <w:p w14:paraId="53F3BFA0"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Incremental effects of Behavioral programs by intervention. It also allows the user to manipulate the data based on their needs through filters such as Service Territory, Savings Type, Sector, and Scenario.</w:t>
            </w:r>
          </w:p>
        </w:tc>
      </w:tr>
      <w:tr w:rsidR="00CE648C" w:rsidRPr="00CE648C" w14:paraId="2168425A" w14:textId="77777777" w:rsidTr="00CE648C">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D2BE035" w14:textId="77777777" w:rsidR="00CE648C" w:rsidRPr="00CE648C" w:rsidRDefault="00272F76" w:rsidP="00CE648C">
            <w:pPr>
              <w:spacing w:line="240" w:lineRule="auto"/>
              <w:rPr>
                <w:rFonts w:ascii="Arial Narrow" w:hAnsi="Arial Narrow" w:cs="Calibri"/>
                <w:bCs/>
                <w:iCs/>
                <w:sz w:val="18"/>
                <w:szCs w:val="18"/>
              </w:rPr>
            </w:pPr>
            <w:hyperlink r:id="rId95" w:anchor="'Cumulative Behavior'!A1" w:history="1">
              <w:r w:rsidR="00CE648C" w:rsidRPr="00CE648C">
                <w:rPr>
                  <w:rFonts w:ascii="Arial Narrow" w:hAnsi="Arial Narrow" w:cs="Calibri"/>
                  <w:bCs/>
                  <w:iCs/>
                  <w:sz w:val="18"/>
                  <w:szCs w:val="18"/>
                </w:rPr>
                <w:t>Cumulative Behavior</w:t>
              </w:r>
            </w:hyperlink>
          </w:p>
        </w:tc>
        <w:tc>
          <w:tcPr>
            <w:tcW w:w="7200" w:type="dxa"/>
            <w:hideMark/>
          </w:tcPr>
          <w:p w14:paraId="27451CA2"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Cumulative effects of Behavioral programs by intervention. It also allows the user to manipulate the data based on their needs through filters such as Service Territory, Savings Type, Sector, and Scenario.</w:t>
            </w:r>
          </w:p>
        </w:tc>
      </w:tr>
      <w:tr w:rsidR="00CE648C" w:rsidRPr="00CE648C" w14:paraId="33E0C714" w14:textId="77777777" w:rsidTr="00CE648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7C645D2" w14:textId="77777777" w:rsidR="00CE648C" w:rsidRPr="00CE648C" w:rsidRDefault="00272F76" w:rsidP="00CE648C">
            <w:pPr>
              <w:spacing w:line="240" w:lineRule="auto"/>
              <w:rPr>
                <w:rFonts w:ascii="Arial Narrow" w:hAnsi="Arial Narrow" w:cs="Calibri"/>
                <w:bCs/>
                <w:iCs/>
                <w:sz w:val="18"/>
                <w:szCs w:val="18"/>
              </w:rPr>
            </w:pPr>
            <w:hyperlink r:id="rId96" w:anchor="'Behavior Spending'!A1" w:history="1">
              <w:r w:rsidR="00CE648C" w:rsidRPr="00CE648C">
                <w:rPr>
                  <w:rFonts w:ascii="Arial Narrow" w:hAnsi="Arial Narrow" w:cs="Calibri"/>
                  <w:bCs/>
                  <w:iCs/>
                  <w:sz w:val="18"/>
                  <w:szCs w:val="18"/>
                </w:rPr>
                <w:t>Behavior Spending</w:t>
              </w:r>
            </w:hyperlink>
          </w:p>
        </w:tc>
        <w:tc>
          <w:tcPr>
            <w:tcW w:w="7200" w:type="dxa"/>
            <w:hideMark/>
          </w:tcPr>
          <w:p w14:paraId="4C715BEF"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Spending on Behavioral programs by intervention. It also allows the user to manipulate the data based on their needs through filters such as Service Territory, Savings Type, Sector, and Scenario.</w:t>
            </w:r>
          </w:p>
        </w:tc>
      </w:tr>
      <w:tr w:rsidR="00CE648C" w:rsidRPr="00CE648C" w14:paraId="3817C037"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51420948" w14:textId="77777777" w:rsidR="00CE648C" w:rsidRPr="00CE648C" w:rsidRDefault="00272F76" w:rsidP="00CE648C">
            <w:pPr>
              <w:spacing w:line="240" w:lineRule="auto"/>
              <w:rPr>
                <w:rFonts w:ascii="Arial Narrow" w:hAnsi="Arial Narrow" w:cs="Calibri"/>
                <w:bCs/>
                <w:iCs/>
                <w:sz w:val="18"/>
                <w:szCs w:val="18"/>
              </w:rPr>
            </w:pPr>
            <w:hyperlink r:id="rId97" w:anchor="'Codes &amp; Standards'!A1" w:history="1">
              <w:r w:rsidR="00CE648C" w:rsidRPr="00CE648C">
                <w:rPr>
                  <w:rFonts w:ascii="Arial Narrow" w:hAnsi="Arial Narrow" w:cs="Calibri"/>
                  <w:bCs/>
                  <w:iCs/>
                  <w:sz w:val="18"/>
                  <w:szCs w:val="18"/>
                </w:rPr>
                <w:t>Codes &amp; Standards</w:t>
              </w:r>
            </w:hyperlink>
          </w:p>
        </w:tc>
        <w:tc>
          <w:tcPr>
            <w:tcW w:w="7200" w:type="dxa"/>
            <w:hideMark/>
          </w:tcPr>
          <w:p w14:paraId="6D6ADFC7"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Codes and Standards potential by End Use. It also allows the user to manipulate the data based on their needs through filters such as Service Territory, Savings Type and Sector.</w:t>
            </w:r>
          </w:p>
        </w:tc>
      </w:tr>
      <w:tr w:rsidR="00CE648C" w:rsidRPr="00CE648C" w14:paraId="3EBA0F63"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235DF9E" w14:textId="77777777" w:rsidR="00CE648C" w:rsidRPr="00CE648C" w:rsidRDefault="00272F76" w:rsidP="00CE648C">
            <w:pPr>
              <w:spacing w:line="240" w:lineRule="auto"/>
              <w:rPr>
                <w:rFonts w:ascii="Arial Narrow" w:hAnsi="Arial Narrow" w:cs="Calibri"/>
                <w:bCs/>
                <w:iCs/>
                <w:sz w:val="18"/>
                <w:szCs w:val="18"/>
              </w:rPr>
            </w:pPr>
            <w:hyperlink r:id="rId98" w:anchor="'CEC Sales Data'!A1" w:history="1">
              <w:r w:rsidR="00CE648C" w:rsidRPr="00CE648C">
                <w:rPr>
                  <w:rFonts w:ascii="Arial Narrow" w:hAnsi="Arial Narrow" w:cs="Calibri"/>
                  <w:bCs/>
                  <w:iCs/>
                  <w:sz w:val="18"/>
                  <w:szCs w:val="18"/>
                </w:rPr>
                <w:t>CEC Sales Data</w:t>
              </w:r>
            </w:hyperlink>
          </w:p>
        </w:tc>
        <w:tc>
          <w:tcPr>
            <w:tcW w:w="7200" w:type="dxa"/>
            <w:hideMark/>
          </w:tcPr>
          <w:p w14:paraId="67D05782"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from the CEC of energy sales from 2018 through 2030</w:t>
            </w:r>
          </w:p>
        </w:tc>
      </w:tr>
      <w:tr w:rsidR="00CE648C" w:rsidRPr="00CE648C" w14:paraId="1E6B2520"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2ED2ECC" w14:textId="77777777" w:rsidR="00CE648C" w:rsidRPr="00CE648C" w:rsidRDefault="00272F76" w:rsidP="00CE648C">
            <w:pPr>
              <w:spacing w:line="240" w:lineRule="auto"/>
              <w:rPr>
                <w:rFonts w:ascii="Arial Narrow" w:hAnsi="Arial Narrow" w:cs="Calibri"/>
                <w:bCs/>
                <w:iCs/>
                <w:sz w:val="18"/>
                <w:szCs w:val="18"/>
              </w:rPr>
            </w:pPr>
            <w:hyperlink r:id="rId99" w:anchor="'Incremental Market Potential'!A1" w:history="1">
              <w:r w:rsidR="00CE648C" w:rsidRPr="00CE648C">
                <w:rPr>
                  <w:rFonts w:ascii="Arial Narrow" w:hAnsi="Arial Narrow" w:cs="Calibri"/>
                  <w:bCs/>
                  <w:iCs/>
                  <w:sz w:val="18"/>
                  <w:szCs w:val="18"/>
                </w:rPr>
                <w:t>Incremental Market Potential</w:t>
              </w:r>
            </w:hyperlink>
          </w:p>
        </w:tc>
        <w:tc>
          <w:tcPr>
            <w:tcW w:w="7200" w:type="dxa"/>
            <w:hideMark/>
          </w:tcPr>
          <w:p w14:paraId="6028F5D0"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Incremental Market Potential for all service territories from 2018 through 2030</w:t>
            </w:r>
          </w:p>
        </w:tc>
      </w:tr>
      <w:tr w:rsidR="00CE648C" w:rsidRPr="00CE648C" w14:paraId="2CD3432E"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F7C1113" w14:textId="77777777" w:rsidR="00CE648C" w:rsidRPr="00CE648C" w:rsidRDefault="00272F76" w:rsidP="00CE648C">
            <w:pPr>
              <w:spacing w:line="240" w:lineRule="auto"/>
              <w:rPr>
                <w:rFonts w:ascii="Arial Narrow" w:hAnsi="Arial Narrow" w:cs="Calibri"/>
                <w:bCs/>
                <w:iCs/>
                <w:sz w:val="18"/>
                <w:szCs w:val="18"/>
              </w:rPr>
            </w:pPr>
            <w:hyperlink r:id="rId100" w:anchor="'Incremental Technical Potential'!A1" w:history="1">
              <w:r w:rsidR="00CE648C" w:rsidRPr="00CE648C">
                <w:rPr>
                  <w:rFonts w:ascii="Arial Narrow" w:hAnsi="Arial Narrow" w:cs="Calibri"/>
                  <w:bCs/>
                  <w:iCs/>
                  <w:sz w:val="18"/>
                  <w:szCs w:val="18"/>
                </w:rPr>
                <w:t>Incremental Technical Potential</w:t>
              </w:r>
            </w:hyperlink>
          </w:p>
        </w:tc>
        <w:tc>
          <w:tcPr>
            <w:tcW w:w="7200" w:type="dxa"/>
            <w:hideMark/>
          </w:tcPr>
          <w:p w14:paraId="25A7AE37"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Technical Potential for all service territories from 2018 through 2030</w:t>
            </w:r>
          </w:p>
        </w:tc>
      </w:tr>
      <w:tr w:rsidR="00CE648C" w:rsidRPr="00CE648C" w14:paraId="72DB53E8"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FC51553" w14:textId="77777777" w:rsidR="00CE648C" w:rsidRPr="00CE648C" w:rsidRDefault="00272F76" w:rsidP="00CE648C">
            <w:pPr>
              <w:spacing w:line="240" w:lineRule="auto"/>
              <w:rPr>
                <w:rFonts w:ascii="Arial Narrow" w:hAnsi="Arial Narrow" w:cs="Calibri"/>
                <w:bCs/>
                <w:iCs/>
                <w:sz w:val="18"/>
                <w:szCs w:val="18"/>
              </w:rPr>
            </w:pPr>
            <w:hyperlink r:id="rId101" w:anchor="'Incremental Economic Potential'!A1" w:history="1">
              <w:r w:rsidR="00CE648C" w:rsidRPr="00CE648C">
                <w:rPr>
                  <w:rFonts w:ascii="Arial Narrow" w:hAnsi="Arial Narrow" w:cs="Calibri"/>
                  <w:bCs/>
                  <w:iCs/>
                  <w:sz w:val="18"/>
                  <w:szCs w:val="18"/>
                </w:rPr>
                <w:t>Incremental Economic Potential</w:t>
              </w:r>
            </w:hyperlink>
          </w:p>
        </w:tc>
        <w:tc>
          <w:tcPr>
            <w:tcW w:w="7200" w:type="dxa"/>
            <w:hideMark/>
          </w:tcPr>
          <w:p w14:paraId="06CFF449"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Economic Potential for all service territories from 2018 through 2030</w:t>
            </w:r>
          </w:p>
        </w:tc>
      </w:tr>
      <w:tr w:rsidR="00CE648C" w:rsidRPr="00CE648C" w14:paraId="3C4A8BB1"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32EDEBE" w14:textId="77777777" w:rsidR="00CE648C" w:rsidRPr="00CE648C" w:rsidRDefault="00272F76" w:rsidP="00CE648C">
            <w:pPr>
              <w:spacing w:line="240" w:lineRule="auto"/>
              <w:rPr>
                <w:rFonts w:ascii="Arial Narrow" w:hAnsi="Arial Narrow" w:cs="Calibri"/>
                <w:bCs/>
                <w:iCs/>
                <w:sz w:val="18"/>
                <w:szCs w:val="18"/>
              </w:rPr>
            </w:pPr>
            <w:hyperlink r:id="rId102" w:anchor="'Incremental Stranded Potential'!A1" w:history="1">
              <w:r w:rsidR="00CE648C" w:rsidRPr="00CE648C">
                <w:rPr>
                  <w:rFonts w:ascii="Arial Narrow" w:hAnsi="Arial Narrow" w:cs="Calibri"/>
                  <w:bCs/>
                  <w:iCs/>
                  <w:sz w:val="18"/>
                  <w:szCs w:val="18"/>
                </w:rPr>
                <w:t>Incremental Stranded Potential</w:t>
              </w:r>
            </w:hyperlink>
          </w:p>
        </w:tc>
        <w:tc>
          <w:tcPr>
            <w:tcW w:w="7200" w:type="dxa"/>
            <w:hideMark/>
          </w:tcPr>
          <w:p w14:paraId="18241BC8"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Stranded Potential for all service territories from 2018 through 2030</w:t>
            </w:r>
          </w:p>
        </w:tc>
      </w:tr>
      <w:tr w:rsidR="00CE648C" w:rsidRPr="00CE648C" w14:paraId="21BB7014"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2DDDC72" w14:textId="77777777" w:rsidR="00CE648C" w:rsidRPr="00CE648C" w:rsidRDefault="00272F76" w:rsidP="00CE648C">
            <w:pPr>
              <w:spacing w:line="240" w:lineRule="auto"/>
              <w:rPr>
                <w:rFonts w:ascii="Arial Narrow" w:hAnsi="Arial Narrow" w:cs="Calibri"/>
                <w:bCs/>
                <w:iCs/>
                <w:sz w:val="18"/>
                <w:szCs w:val="18"/>
              </w:rPr>
            </w:pPr>
            <w:hyperlink r:id="rId103" w:anchor="'Increm Mkt Potential Spending'!A1" w:history="1">
              <w:r w:rsidR="00CE648C" w:rsidRPr="00CE648C">
                <w:rPr>
                  <w:rFonts w:ascii="Arial Narrow" w:hAnsi="Arial Narrow" w:cs="Calibri"/>
                  <w:bCs/>
                  <w:iCs/>
                  <w:sz w:val="18"/>
                  <w:szCs w:val="18"/>
                </w:rPr>
                <w:t>Incremental Market Potential Spending</w:t>
              </w:r>
            </w:hyperlink>
          </w:p>
        </w:tc>
        <w:tc>
          <w:tcPr>
            <w:tcW w:w="7200" w:type="dxa"/>
            <w:hideMark/>
          </w:tcPr>
          <w:p w14:paraId="645EBE67"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Market Potential Spending for all service territories from 2018 through 2030</w:t>
            </w:r>
          </w:p>
        </w:tc>
      </w:tr>
      <w:tr w:rsidR="00CE648C" w:rsidRPr="00CE648C" w14:paraId="64B890B3"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EC77001" w14:textId="77777777" w:rsidR="00CE648C" w:rsidRPr="00CE648C" w:rsidRDefault="00272F76" w:rsidP="00CE648C">
            <w:pPr>
              <w:spacing w:line="240" w:lineRule="auto"/>
              <w:rPr>
                <w:rFonts w:ascii="Arial Narrow" w:hAnsi="Arial Narrow" w:cs="Calibri"/>
                <w:bCs/>
                <w:iCs/>
                <w:sz w:val="18"/>
                <w:szCs w:val="18"/>
              </w:rPr>
            </w:pPr>
            <w:hyperlink r:id="rId104" w:anchor="'Cumulative Market Potential'!A1" w:history="1">
              <w:r w:rsidR="00CE648C" w:rsidRPr="00CE648C">
                <w:rPr>
                  <w:rFonts w:ascii="Arial Narrow" w:hAnsi="Arial Narrow" w:cs="Calibri"/>
                  <w:bCs/>
                  <w:iCs/>
                  <w:sz w:val="18"/>
                  <w:szCs w:val="18"/>
                </w:rPr>
                <w:t>Cumulative Market Potential</w:t>
              </w:r>
            </w:hyperlink>
          </w:p>
        </w:tc>
        <w:tc>
          <w:tcPr>
            <w:tcW w:w="7200" w:type="dxa"/>
            <w:hideMark/>
          </w:tcPr>
          <w:p w14:paraId="3420ADCE"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Cumulative Market Potential for all service territories from 2018 through 2030</w:t>
            </w:r>
          </w:p>
        </w:tc>
      </w:tr>
      <w:tr w:rsidR="00CE648C" w:rsidRPr="00CE648C" w14:paraId="024E2959"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7940D34" w14:textId="77777777" w:rsidR="00CE648C" w:rsidRPr="00CE648C" w:rsidRDefault="00272F76" w:rsidP="00CE648C">
            <w:pPr>
              <w:spacing w:line="240" w:lineRule="auto"/>
              <w:rPr>
                <w:rFonts w:ascii="Arial Narrow" w:hAnsi="Arial Narrow" w:cs="Calibri"/>
                <w:bCs/>
                <w:iCs/>
                <w:sz w:val="18"/>
                <w:szCs w:val="18"/>
              </w:rPr>
            </w:pPr>
            <w:hyperlink r:id="rId105" w:anchor="'Incremental C&amp;S - w Interactive'!A1" w:history="1">
              <w:r w:rsidR="00CE648C" w:rsidRPr="00CE648C">
                <w:rPr>
                  <w:rFonts w:ascii="Arial Narrow" w:hAnsi="Arial Narrow" w:cs="Calibri"/>
                  <w:bCs/>
                  <w:iCs/>
                  <w:sz w:val="18"/>
                  <w:szCs w:val="18"/>
                </w:rPr>
                <w:t>Incremental C&amp;S with Interactive Effects</w:t>
              </w:r>
            </w:hyperlink>
          </w:p>
        </w:tc>
        <w:tc>
          <w:tcPr>
            <w:tcW w:w="7200" w:type="dxa"/>
            <w:hideMark/>
          </w:tcPr>
          <w:p w14:paraId="25CB4621"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Codes and Standards potential with interactive effects for all service territories from 2018 through 2030</w:t>
            </w:r>
          </w:p>
        </w:tc>
      </w:tr>
      <w:tr w:rsidR="00CE648C" w:rsidRPr="00CE648C" w14:paraId="43092720"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B94E825" w14:textId="77777777" w:rsidR="00CE648C" w:rsidRPr="00CE648C" w:rsidRDefault="00272F76" w:rsidP="00CE648C">
            <w:pPr>
              <w:spacing w:line="240" w:lineRule="auto"/>
              <w:rPr>
                <w:rFonts w:ascii="Arial Narrow" w:hAnsi="Arial Narrow" w:cs="Calibri"/>
                <w:bCs/>
                <w:iCs/>
                <w:sz w:val="18"/>
                <w:szCs w:val="18"/>
              </w:rPr>
            </w:pPr>
            <w:hyperlink r:id="rId106" w:anchor="'Incremental C&amp;S - wo Interactiv'!A1" w:history="1">
              <w:r w:rsidR="00CE648C" w:rsidRPr="00CE648C">
                <w:rPr>
                  <w:rFonts w:ascii="Arial Narrow" w:hAnsi="Arial Narrow" w:cs="Calibri"/>
                  <w:bCs/>
                  <w:iCs/>
                  <w:sz w:val="18"/>
                  <w:szCs w:val="18"/>
                </w:rPr>
                <w:t>Incremental C&amp;S without Interactive Effects</w:t>
              </w:r>
            </w:hyperlink>
          </w:p>
        </w:tc>
        <w:tc>
          <w:tcPr>
            <w:tcW w:w="7200" w:type="dxa"/>
            <w:hideMark/>
          </w:tcPr>
          <w:p w14:paraId="6A9A7862"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Codes and Standards potential without interactive effects for all service territories from 2018 through 2030</w:t>
            </w:r>
          </w:p>
        </w:tc>
      </w:tr>
      <w:tr w:rsidR="00CE648C" w:rsidRPr="00CE648C" w14:paraId="2482087C"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512ED7E2" w14:textId="77777777" w:rsidR="00CE648C" w:rsidRPr="00CE648C" w:rsidRDefault="00272F76" w:rsidP="00CE648C">
            <w:pPr>
              <w:spacing w:line="240" w:lineRule="auto"/>
              <w:rPr>
                <w:rFonts w:ascii="Arial Narrow" w:hAnsi="Arial Narrow" w:cs="Calibri"/>
                <w:bCs/>
                <w:iCs/>
                <w:sz w:val="18"/>
                <w:szCs w:val="18"/>
              </w:rPr>
            </w:pPr>
            <w:hyperlink r:id="rId107" w:anchor="'Cumulative C&amp;S - w Interactive'!A1" w:history="1">
              <w:r w:rsidR="00CE648C" w:rsidRPr="00CE648C">
                <w:rPr>
                  <w:rFonts w:ascii="Arial Narrow" w:hAnsi="Arial Narrow" w:cs="Calibri"/>
                  <w:bCs/>
                  <w:iCs/>
                  <w:sz w:val="18"/>
                  <w:szCs w:val="18"/>
                </w:rPr>
                <w:t>Cumulative C&amp;S with Interactive Effects</w:t>
              </w:r>
            </w:hyperlink>
          </w:p>
        </w:tc>
        <w:tc>
          <w:tcPr>
            <w:tcW w:w="7200" w:type="dxa"/>
            <w:hideMark/>
          </w:tcPr>
          <w:p w14:paraId="0D1CCA1A"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Codes and Standards potential with interactive effects for all service territories from 2018 through 2030</w:t>
            </w:r>
          </w:p>
        </w:tc>
      </w:tr>
      <w:tr w:rsidR="00CE648C" w:rsidRPr="00CE648C" w14:paraId="4E3836E9"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B8C4A00" w14:textId="77777777" w:rsidR="00CE648C" w:rsidRPr="00CE648C" w:rsidRDefault="00272F76" w:rsidP="00CE648C">
            <w:pPr>
              <w:spacing w:line="240" w:lineRule="auto"/>
              <w:rPr>
                <w:rFonts w:ascii="Arial Narrow" w:hAnsi="Arial Narrow" w:cs="Calibri"/>
                <w:bCs/>
                <w:iCs/>
                <w:sz w:val="18"/>
                <w:szCs w:val="18"/>
              </w:rPr>
            </w:pPr>
            <w:hyperlink r:id="rId108" w:anchor="'Cumulative C&amp;S - wo Interactive'!A1" w:history="1">
              <w:r w:rsidR="00CE648C" w:rsidRPr="00CE648C">
                <w:rPr>
                  <w:rFonts w:ascii="Arial Narrow" w:hAnsi="Arial Narrow" w:cs="Calibri"/>
                  <w:bCs/>
                  <w:iCs/>
                  <w:sz w:val="18"/>
                  <w:szCs w:val="18"/>
                </w:rPr>
                <w:t>Cumulative C&amp;S without Interactive Effects</w:t>
              </w:r>
            </w:hyperlink>
          </w:p>
        </w:tc>
        <w:tc>
          <w:tcPr>
            <w:tcW w:w="7200" w:type="dxa"/>
            <w:hideMark/>
          </w:tcPr>
          <w:p w14:paraId="3FFFAA62"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Codes and Standards potential without interactive effects for all service territories from 2018 through 2030</w:t>
            </w:r>
          </w:p>
        </w:tc>
      </w:tr>
      <w:tr w:rsidR="00CE648C" w:rsidRPr="00CE648C" w14:paraId="4AAC2540"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5D9F6328" w14:textId="77777777" w:rsidR="00CE648C" w:rsidRPr="00CE648C" w:rsidRDefault="00272F76" w:rsidP="00CE648C">
            <w:pPr>
              <w:spacing w:line="240" w:lineRule="auto"/>
              <w:rPr>
                <w:rFonts w:ascii="Arial Narrow" w:hAnsi="Arial Narrow" w:cs="Calibri"/>
                <w:bCs/>
                <w:iCs/>
                <w:sz w:val="18"/>
                <w:szCs w:val="18"/>
              </w:rPr>
            </w:pPr>
            <w:hyperlink r:id="rId109" w:anchor="'Incremental BROs Savings'!A1" w:history="1">
              <w:r w:rsidR="00CE648C" w:rsidRPr="00CE648C">
                <w:rPr>
                  <w:rFonts w:ascii="Arial Narrow" w:hAnsi="Arial Narrow" w:cs="Calibri"/>
                  <w:bCs/>
                  <w:iCs/>
                  <w:sz w:val="18"/>
                  <w:szCs w:val="18"/>
                </w:rPr>
                <w:t>Incremental BROs Savings</w:t>
              </w:r>
            </w:hyperlink>
          </w:p>
        </w:tc>
        <w:tc>
          <w:tcPr>
            <w:tcW w:w="7200" w:type="dxa"/>
            <w:hideMark/>
          </w:tcPr>
          <w:p w14:paraId="46ABDF8E"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Incremental Behavior Program potential for all service territories from 2018 through 2030</w:t>
            </w:r>
          </w:p>
        </w:tc>
      </w:tr>
      <w:tr w:rsidR="00CE648C" w:rsidRPr="00CE648C" w14:paraId="0E1D8BF6"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91DD9D9" w14:textId="77777777" w:rsidR="00CE648C" w:rsidRPr="00CE648C" w:rsidRDefault="00272F76" w:rsidP="00CE648C">
            <w:pPr>
              <w:spacing w:line="240" w:lineRule="auto"/>
              <w:rPr>
                <w:rFonts w:ascii="Arial Narrow" w:hAnsi="Arial Narrow" w:cs="Calibri"/>
                <w:bCs/>
                <w:iCs/>
                <w:sz w:val="18"/>
                <w:szCs w:val="18"/>
              </w:rPr>
            </w:pPr>
            <w:hyperlink r:id="rId110" w:anchor="'Cumulative BROs Savings'!A1" w:history="1">
              <w:r w:rsidR="00CE648C" w:rsidRPr="00CE648C">
                <w:rPr>
                  <w:rFonts w:ascii="Arial Narrow" w:hAnsi="Arial Narrow" w:cs="Calibri"/>
                  <w:bCs/>
                  <w:iCs/>
                  <w:sz w:val="18"/>
                  <w:szCs w:val="18"/>
                </w:rPr>
                <w:t>Cumulative BROs Savings</w:t>
              </w:r>
            </w:hyperlink>
          </w:p>
        </w:tc>
        <w:tc>
          <w:tcPr>
            <w:tcW w:w="7200" w:type="dxa"/>
            <w:hideMark/>
          </w:tcPr>
          <w:p w14:paraId="193B2C41"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Cumulative Behavior Program potential for all service territories from 2018 through 2030</w:t>
            </w:r>
          </w:p>
        </w:tc>
      </w:tr>
      <w:tr w:rsidR="00CE648C" w:rsidRPr="00CE648C" w14:paraId="66C06896"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E8F27BF" w14:textId="77777777" w:rsidR="00CE648C" w:rsidRPr="00CE648C" w:rsidRDefault="00272F76" w:rsidP="00CE648C">
            <w:pPr>
              <w:spacing w:line="240" w:lineRule="auto"/>
              <w:rPr>
                <w:rFonts w:ascii="Arial Narrow" w:hAnsi="Arial Narrow" w:cs="Calibri"/>
                <w:bCs/>
                <w:iCs/>
                <w:sz w:val="18"/>
                <w:szCs w:val="18"/>
              </w:rPr>
            </w:pPr>
            <w:hyperlink r:id="rId111" w:anchor="'BROs Spending'!A1" w:history="1">
              <w:r w:rsidR="00CE648C" w:rsidRPr="00CE648C">
                <w:rPr>
                  <w:rFonts w:ascii="Arial Narrow" w:hAnsi="Arial Narrow" w:cs="Calibri"/>
                  <w:bCs/>
                  <w:iCs/>
                  <w:sz w:val="18"/>
                  <w:szCs w:val="18"/>
                </w:rPr>
                <w:t>BROs Spending</w:t>
              </w:r>
            </w:hyperlink>
          </w:p>
        </w:tc>
        <w:tc>
          <w:tcPr>
            <w:tcW w:w="7200" w:type="dxa"/>
            <w:hideMark/>
          </w:tcPr>
          <w:p w14:paraId="74F499E2"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Behavior Program spending for all service territories from 2018 through 2030</w:t>
            </w:r>
          </w:p>
        </w:tc>
      </w:tr>
      <w:tr w:rsidR="00CE648C" w:rsidRPr="00CE648C" w14:paraId="0BAD9F48" w14:textId="77777777" w:rsidTr="00CE64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7E793B7F" w14:textId="77777777" w:rsidR="00CE648C" w:rsidRPr="00CE648C" w:rsidRDefault="00272F76" w:rsidP="00CE648C">
            <w:pPr>
              <w:spacing w:line="240" w:lineRule="auto"/>
              <w:rPr>
                <w:rFonts w:ascii="Arial Narrow" w:hAnsi="Arial Narrow" w:cs="Calibri"/>
                <w:bCs/>
                <w:iCs/>
                <w:sz w:val="18"/>
                <w:szCs w:val="18"/>
              </w:rPr>
            </w:pPr>
            <w:hyperlink r:id="rId112" w:anchor="'Low Income Incremental'!A1" w:history="1">
              <w:r w:rsidR="00CE648C" w:rsidRPr="00CE648C">
                <w:rPr>
                  <w:rFonts w:ascii="Arial Narrow" w:hAnsi="Arial Narrow" w:cs="Calibri"/>
                  <w:bCs/>
                  <w:iCs/>
                  <w:sz w:val="18"/>
                  <w:szCs w:val="18"/>
                </w:rPr>
                <w:t>Low Income Incremental Savings</w:t>
              </w:r>
            </w:hyperlink>
          </w:p>
        </w:tc>
        <w:tc>
          <w:tcPr>
            <w:tcW w:w="7200" w:type="dxa"/>
            <w:hideMark/>
          </w:tcPr>
          <w:p w14:paraId="0BEC84C1" w14:textId="77777777" w:rsidR="00CE648C" w:rsidRPr="00CE648C" w:rsidRDefault="00CE648C" w:rsidP="00CE648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Incremental Low Income Program potential for all service territories from 2018 through 2030</w:t>
            </w:r>
          </w:p>
        </w:tc>
      </w:tr>
      <w:tr w:rsidR="00CE648C" w:rsidRPr="00CE648C" w14:paraId="67D4F52E" w14:textId="77777777" w:rsidTr="00CE648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EC4455B" w14:textId="77777777" w:rsidR="00CE648C" w:rsidRPr="00CE648C" w:rsidRDefault="00272F76" w:rsidP="00CE648C">
            <w:pPr>
              <w:spacing w:line="240" w:lineRule="auto"/>
              <w:rPr>
                <w:rFonts w:ascii="Arial Narrow" w:hAnsi="Arial Narrow" w:cs="Calibri"/>
                <w:bCs/>
                <w:iCs/>
                <w:sz w:val="18"/>
                <w:szCs w:val="18"/>
              </w:rPr>
            </w:pPr>
            <w:hyperlink r:id="rId113" w:anchor="'Low Income Cumulative'!A1" w:history="1">
              <w:r w:rsidR="00CE648C" w:rsidRPr="00CE648C">
                <w:rPr>
                  <w:rFonts w:ascii="Arial Narrow" w:hAnsi="Arial Narrow" w:cs="Calibri"/>
                  <w:bCs/>
                  <w:iCs/>
                  <w:sz w:val="18"/>
                  <w:szCs w:val="18"/>
                </w:rPr>
                <w:t>Low Income Cumulative Savings</w:t>
              </w:r>
            </w:hyperlink>
          </w:p>
        </w:tc>
        <w:tc>
          <w:tcPr>
            <w:tcW w:w="7200" w:type="dxa"/>
            <w:hideMark/>
          </w:tcPr>
          <w:p w14:paraId="6AA57060" w14:textId="77777777" w:rsidR="00CE648C" w:rsidRPr="00CE648C" w:rsidRDefault="00CE648C" w:rsidP="00CE648C">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E648C">
              <w:rPr>
                <w:rFonts w:ascii="Arial Narrow" w:hAnsi="Arial Narrow" w:cs="Calibri"/>
                <w:sz w:val="18"/>
                <w:szCs w:val="18"/>
              </w:rPr>
              <w:t>Raw data of the Cumulative Low Income Program potential for all service territories from 2018 through 2030</w:t>
            </w:r>
          </w:p>
        </w:tc>
      </w:tr>
    </w:tbl>
    <w:p w14:paraId="6FCECB89" w14:textId="77777777" w:rsidR="00CE648C" w:rsidRDefault="00CE648C" w:rsidP="00E97BD7"/>
    <w:p w14:paraId="6B634133" w14:textId="15FAE13D" w:rsidR="00E97BD7" w:rsidRDefault="00E97BD7" w:rsidP="00E97BD7">
      <w:r>
        <w:t xml:space="preserve">The </w:t>
      </w:r>
      <w:r w:rsidR="00131F07">
        <w:t xml:space="preserve">viewer is illustrated in </w:t>
      </w:r>
      <w:r w:rsidR="004F0469">
        <w:fldChar w:fldCharType="begin"/>
      </w:r>
      <w:r w:rsidR="004F0469">
        <w:instrText xml:space="preserve"> REF _Ref484533254 \h </w:instrText>
      </w:r>
      <w:r w:rsidR="004F0469">
        <w:fldChar w:fldCharType="separate"/>
      </w:r>
      <w:r w:rsidR="00C407F4" w:rsidRPr="004F0469">
        <w:t xml:space="preserve">Figure </w:t>
      </w:r>
      <w:r w:rsidR="00C407F4">
        <w:rPr>
          <w:noProof/>
        </w:rPr>
        <w:t>4</w:t>
      </w:r>
      <w:r w:rsidR="00C407F4" w:rsidRPr="004F0469">
        <w:noBreakHyphen/>
      </w:r>
      <w:r w:rsidR="00C407F4">
        <w:rPr>
          <w:noProof/>
        </w:rPr>
        <w:t>28</w:t>
      </w:r>
      <w:r w:rsidR="004F0469">
        <w:fldChar w:fldCharType="end"/>
      </w:r>
      <w:r w:rsidR="004F0469">
        <w:t xml:space="preserve"> through </w:t>
      </w:r>
      <w:r w:rsidR="004F0469">
        <w:fldChar w:fldCharType="begin"/>
      </w:r>
      <w:r w:rsidR="004F0469">
        <w:instrText xml:space="preserve"> REF _Ref484533255 \h </w:instrText>
      </w:r>
      <w:r w:rsidR="004F0469">
        <w:fldChar w:fldCharType="separate"/>
      </w:r>
      <w:r w:rsidR="00C407F4" w:rsidRPr="004F0469">
        <w:t xml:space="preserve">Figure </w:t>
      </w:r>
      <w:r w:rsidR="00C407F4">
        <w:rPr>
          <w:noProof/>
        </w:rPr>
        <w:t>4</w:t>
      </w:r>
      <w:r w:rsidR="00C407F4" w:rsidRPr="004F0469">
        <w:noBreakHyphen/>
      </w:r>
      <w:r w:rsidR="00C407F4">
        <w:rPr>
          <w:noProof/>
        </w:rPr>
        <w:t>30</w:t>
      </w:r>
      <w:r w:rsidR="004F0469">
        <w:fldChar w:fldCharType="end"/>
      </w:r>
      <w:r w:rsidR="004F0469">
        <w:t>.</w:t>
      </w:r>
    </w:p>
    <w:p w14:paraId="59C93A3C" w14:textId="77777777" w:rsidR="00131F07" w:rsidRDefault="00131F07" w:rsidP="00E97BD7"/>
    <w:p w14:paraId="17CC019E" w14:textId="77777777" w:rsidR="00131F07" w:rsidRPr="004F0469" w:rsidRDefault="00131F07" w:rsidP="004F0469">
      <w:pPr>
        <w:pStyle w:val="Caption"/>
      </w:pPr>
      <w:bookmarkStart w:id="839" w:name="_Ref484533254"/>
      <w:bookmarkStart w:id="840" w:name="_Toc484437028"/>
      <w:bookmarkStart w:id="841" w:name="_Toc485125545"/>
      <w:r w:rsidRPr="004F0469">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4F0469">
        <w:noBreakHyphen/>
      </w:r>
      <w:r w:rsidR="00272F76">
        <w:fldChar w:fldCharType="begin"/>
      </w:r>
      <w:r w:rsidR="00272F76">
        <w:instrText xml:space="preserve"> SEQ Figure \* ARABIC \s 1 </w:instrText>
      </w:r>
      <w:r w:rsidR="00272F76">
        <w:fldChar w:fldCharType="separate"/>
      </w:r>
      <w:r w:rsidR="00C407F4">
        <w:rPr>
          <w:noProof/>
        </w:rPr>
        <w:t>28</w:t>
      </w:r>
      <w:r w:rsidR="00272F76">
        <w:rPr>
          <w:noProof/>
        </w:rPr>
        <w:fldChar w:fldCharType="end"/>
      </w:r>
      <w:bookmarkEnd w:id="839"/>
      <w:r w:rsidRPr="004F0469">
        <w:t>. Results Viewer Overview Tab</w:t>
      </w:r>
      <w:bookmarkEnd w:id="840"/>
      <w:bookmarkEnd w:id="841"/>
    </w:p>
    <w:p w14:paraId="0866BA82" w14:textId="77777777" w:rsidR="00131F07" w:rsidRDefault="001202B7" w:rsidP="001202B7">
      <w:pPr>
        <w:jc w:val="center"/>
      </w:pPr>
      <w:r w:rsidRPr="001202B7">
        <w:rPr>
          <w:noProof/>
        </w:rPr>
        <w:drawing>
          <wp:inline distT="0" distB="0" distL="0" distR="0" wp14:anchorId="369311FB" wp14:editId="43259E7A">
            <wp:extent cx="5762625" cy="3697548"/>
            <wp:effectExtent l="19050" t="19050" r="952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16920" r="23077" b="2299"/>
                    <a:stretch/>
                  </pic:blipFill>
                  <pic:spPr bwMode="auto">
                    <a:xfrm>
                      <a:off x="0" y="0"/>
                      <a:ext cx="5779293" cy="3708243"/>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680DB1DD" w14:textId="77777777" w:rsidR="001202B7" w:rsidRDefault="001202B7" w:rsidP="001202B7">
      <w:pPr>
        <w:keepNext/>
        <w:spacing w:after="120"/>
        <w:jc w:val="center"/>
        <w:rPr>
          <w:b/>
          <w:bCs/>
          <w:color w:val="3F4042"/>
          <w:szCs w:val="20"/>
        </w:rPr>
      </w:pPr>
    </w:p>
    <w:p w14:paraId="706D64AB" w14:textId="77777777" w:rsidR="00131F07" w:rsidRPr="004F0469" w:rsidRDefault="00131F07" w:rsidP="004F0469">
      <w:pPr>
        <w:pStyle w:val="Caption"/>
      </w:pPr>
      <w:bookmarkStart w:id="842" w:name="_Toc484437029"/>
      <w:bookmarkStart w:id="843" w:name="_Toc485125546"/>
      <w:r w:rsidRPr="004F0469">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4F0469">
        <w:noBreakHyphen/>
      </w:r>
      <w:r w:rsidR="00272F76">
        <w:fldChar w:fldCharType="begin"/>
      </w:r>
      <w:r w:rsidR="00272F76">
        <w:instrText xml:space="preserve"> SEQ Figure \* ARABIC \s 1 </w:instrText>
      </w:r>
      <w:r w:rsidR="00272F76">
        <w:fldChar w:fldCharType="separate"/>
      </w:r>
      <w:r w:rsidR="00C407F4">
        <w:rPr>
          <w:noProof/>
        </w:rPr>
        <w:t>29</w:t>
      </w:r>
      <w:r w:rsidR="00272F76">
        <w:rPr>
          <w:noProof/>
        </w:rPr>
        <w:fldChar w:fldCharType="end"/>
      </w:r>
      <w:r w:rsidRPr="004F0469">
        <w:t>. Results Viewer Scenario Comparison</w:t>
      </w:r>
      <w:bookmarkEnd w:id="842"/>
      <w:bookmarkEnd w:id="843"/>
    </w:p>
    <w:p w14:paraId="2FBBD7DA" w14:textId="77777777" w:rsidR="00131F07" w:rsidRDefault="001202B7" w:rsidP="001202B7">
      <w:pPr>
        <w:keepNext/>
        <w:spacing w:after="120"/>
        <w:jc w:val="center"/>
        <w:rPr>
          <w:b/>
          <w:bCs/>
          <w:color w:val="3F4042"/>
          <w:szCs w:val="20"/>
        </w:rPr>
      </w:pPr>
      <w:r w:rsidRPr="001202B7">
        <w:rPr>
          <w:noProof/>
        </w:rPr>
        <w:drawing>
          <wp:inline distT="0" distB="0" distL="0" distR="0" wp14:anchorId="153D956D" wp14:editId="769A27AC">
            <wp:extent cx="5581650" cy="5671981"/>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18532" r="51015"/>
                    <a:stretch/>
                  </pic:blipFill>
                  <pic:spPr bwMode="auto">
                    <a:xfrm>
                      <a:off x="0" y="0"/>
                      <a:ext cx="5592542" cy="5683049"/>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5454970B" w14:textId="77777777" w:rsidR="001202B7" w:rsidRDefault="001202B7" w:rsidP="001202B7">
      <w:pPr>
        <w:keepNext/>
        <w:spacing w:after="120"/>
        <w:jc w:val="center"/>
        <w:rPr>
          <w:b/>
          <w:bCs/>
          <w:color w:val="3F4042"/>
          <w:szCs w:val="20"/>
        </w:rPr>
      </w:pPr>
    </w:p>
    <w:p w14:paraId="4C335A76" w14:textId="77777777" w:rsidR="001202B7" w:rsidRDefault="001202B7">
      <w:pPr>
        <w:spacing w:line="240" w:lineRule="auto"/>
        <w:rPr>
          <w:b/>
          <w:bCs/>
          <w:color w:val="3F4042"/>
          <w:szCs w:val="20"/>
        </w:rPr>
      </w:pPr>
      <w:r>
        <w:rPr>
          <w:b/>
          <w:bCs/>
          <w:color w:val="3F4042"/>
          <w:szCs w:val="20"/>
        </w:rPr>
        <w:br w:type="page"/>
      </w:r>
    </w:p>
    <w:p w14:paraId="6922360F" w14:textId="77777777" w:rsidR="00131F07" w:rsidRPr="004F0469" w:rsidRDefault="00131F07" w:rsidP="004F0469">
      <w:pPr>
        <w:pStyle w:val="Caption"/>
      </w:pPr>
      <w:bookmarkStart w:id="844" w:name="_Ref484533255"/>
      <w:bookmarkStart w:id="845" w:name="_Toc484437030"/>
      <w:bookmarkStart w:id="846" w:name="_Toc485125547"/>
      <w:r w:rsidRPr="004F0469">
        <w:lastRenderedPageBreak/>
        <w:t xml:space="preserve">Figure </w:t>
      </w:r>
      <w:r w:rsidR="00272F76">
        <w:fldChar w:fldCharType="begin"/>
      </w:r>
      <w:r w:rsidR="00272F76">
        <w:instrText xml:space="preserve"> STYLEREF 1 \s </w:instrText>
      </w:r>
      <w:r w:rsidR="00272F76">
        <w:fldChar w:fldCharType="separate"/>
      </w:r>
      <w:r w:rsidR="00C407F4">
        <w:rPr>
          <w:noProof/>
        </w:rPr>
        <w:t>4</w:t>
      </w:r>
      <w:r w:rsidR="00272F76">
        <w:rPr>
          <w:noProof/>
        </w:rPr>
        <w:fldChar w:fldCharType="end"/>
      </w:r>
      <w:r w:rsidR="00642996" w:rsidRPr="004F0469">
        <w:noBreakHyphen/>
      </w:r>
      <w:r w:rsidR="00272F76">
        <w:fldChar w:fldCharType="begin"/>
      </w:r>
      <w:r w:rsidR="00272F76">
        <w:instrText xml:space="preserve"> SEQ Figure \* ARABIC \s 1 </w:instrText>
      </w:r>
      <w:r w:rsidR="00272F76">
        <w:fldChar w:fldCharType="separate"/>
      </w:r>
      <w:r w:rsidR="00C407F4">
        <w:rPr>
          <w:noProof/>
        </w:rPr>
        <w:t>30</w:t>
      </w:r>
      <w:r w:rsidR="00272F76">
        <w:rPr>
          <w:noProof/>
        </w:rPr>
        <w:fldChar w:fldCharType="end"/>
      </w:r>
      <w:bookmarkEnd w:id="844"/>
      <w:r w:rsidRPr="004F0469">
        <w:t>. Results Viewer End Use</w:t>
      </w:r>
      <w:r w:rsidR="00EA4438" w:rsidRPr="004F0469">
        <w:t>s</w:t>
      </w:r>
      <w:bookmarkEnd w:id="845"/>
      <w:bookmarkEnd w:id="846"/>
    </w:p>
    <w:p w14:paraId="6080CB71" w14:textId="77777777" w:rsidR="001202B7" w:rsidRDefault="001202B7" w:rsidP="001202B7">
      <w:pPr>
        <w:keepNext/>
        <w:spacing w:after="120"/>
        <w:jc w:val="center"/>
        <w:rPr>
          <w:b/>
          <w:bCs/>
          <w:color w:val="3F4042"/>
          <w:szCs w:val="20"/>
        </w:rPr>
      </w:pPr>
      <w:r w:rsidRPr="001202B7">
        <w:rPr>
          <w:noProof/>
        </w:rPr>
        <w:drawing>
          <wp:inline distT="0" distB="0" distL="0" distR="0" wp14:anchorId="12F0F0B7" wp14:editId="404F6071">
            <wp:extent cx="5546809" cy="4962525"/>
            <wp:effectExtent l="19050" t="19050" r="158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20345" r="45600"/>
                    <a:stretch/>
                  </pic:blipFill>
                  <pic:spPr bwMode="auto">
                    <a:xfrm>
                      <a:off x="0" y="0"/>
                      <a:ext cx="5561933" cy="4976056"/>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4809A0C4" w14:textId="77777777" w:rsidR="001202B7" w:rsidRPr="001326E6" w:rsidRDefault="001202B7" w:rsidP="001202B7">
      <w:pPr>
        <w:keepNext/>
        <w:spacing w:after="120"/>
        <w:jc w:val="center"/>
        <w:rPr>
          <w:b/>
          <w:bCs/>
          <w:color w:val="3F4042"/>
          <w:szCs w:val="20"/>
        </w:rPr>
      </w:pPr>
    </w:p>
    <w:p w14:paraId="34695C91" w14:textId="77777777" w:rsidR="00131F07" w:rsidRPr="001326E6" w:rsidRDefault="00131F07" w:rsidP="00131F07">
      <w:pPr>
        <w:keepNext/>
        <w:spacing w:after="120"/>
        <w:jc w:val="center"/>
        <w:rPr>
          <w:b/>
          <w:bCs/>
          <w:color w:val="3F4042"/>
          <w:szCs w:val="20"/>
        </w:rPr>
      </w:pPr>
    </w:p>
    <w:p w14:paraId="4910E697" w14:textId="77777777" w:rsidR="00131F07" w:rsidRPr="00131F07" w:rsidRDefault="00131F07" w:rsidP="00131F07"/>
    <w:p w14:paraId="286B0660" w14:textId="77777777" w:rsidR="00131F07" w:rsidRPr="00131F07" w:rsidRDefault="00131F07" w:rsidP="00131F07"/>
    <w:p w14:paraId="4418F396" w14:textId="44129C89" w:rsidR="007E4D11" w:rsidRPr="001A3C04" w:rsidRDefault="007E4D11" w:rsidP="007E4D11">
      <w:pPr>
        <w:pStyle w:val="Heading1"/>
      </w:pPr>
      <w:bookmarkStart w:id="847" w:name="_Toc485126577"/>
      <w:r>
        <w:lastRenderedPageBreak/>
        <w:t>Comparision to 2015 Study</w:t>
      </w:r>
      <w:bookmarkEnd w:id="847"/>
      <w:r>
        <w:t xml:space="preserve"> </w:t>
      </w:r>
    </w:p>
    <w:p w14:paraId="68E3E0E2" w14:textId="77777777" w:rsidR="007E4D11" w:rsidRDefault="007E4D11" w:rsidP="00E97BD7">
      <w:r>
        <w:t xml:space="preserve">Several recent changes in policy lead to significant changes in the way potential is expressed. </w:t>
      </w:r>
    </w:p>
    <w:p w14:paraId="13D43E06" w14:textId="039D96C0" w:rsidR="007E4D11" w:rsidRDefault="007E4D11" w:rsidP="007E4D11">
      <w:pPr>
        <w:pStyle w:val="ListParagraph"/>
        <w:numPr>
          <w:ilvl w:val="0"/>
          <w:numId w:val="82"/>
        </w:numPr>
      </w:pPr>
      <w:r>
        <w:t>Market potential in the 2018 study is expressed in terms of net savings</w:t>
      </w:r>
    </w:p>
    <w:p w14:paraId="4FACF9EC" w14:textId="56A4950F" w:rsidR="007E4D11" w:rsidRDefault="007E4D11" w:rsidP="007E4D11">
      <w:pPr>
        <w:pStyle w:val="ListParagraph"/>
        <w:numPr>
          <w:ilvl w:val="0"/>
          <w:numId w:val="82"/>
        </w:numPr>
      </w:pPr>
      <w:r>
        <w:t>Multiple scenarios are presented based on various cost effectiveness test parameters</w:t>
      </w:r>
    </w:p>
    <w:p w14:paraId="7B50EB5C" w14:textId="41D671D6" w:rsidR="007E4D11" w:rsidRDefault="007E4D11" w:rsidP="007E4D11">
      <w:pPr>
        <w:pStyle w:val="ListParagraph"/>
        <w:numPr>
          <w:ilvl w:val="0"/>
          <w:numId w:val="82"/>
        </w:numPr>
      </w:pPr>
      <w:r>
        <w:t>The scope of savings from BROs and Low income are expanded in the 2018 study.</w:t>
      </w:r>
    </w:p>
    <w:p w14:paraId="5AD9F210" w14:textId="3F4DE0DA" w:rsidR="007E4D11" w:rsidRDefault="007E4D11" w:rsidP="007E4D11"/>
    <w:p w14:paraId="29B7EE41" w14:textId="7D3CFEB0" w:rsidR="007E4D11" w:rsidRDefault="007E4D11" w:rsidP="007E4D11">
      <w:r>
        <w:t xml:space="preserve">This section compares savings from the 2018 study to the 2015 study. To make an even comparison, 2018 rebate program results in this section are expressed as gross savings instead of net. </w:t>
      </w:r>
      <w:r w:rsidR="006F57E9">
        <w:t>Comparisons are made for the calendar year 2018 (the first year of the forecast for the 2018 study) and 2024 (the last eyar of the forecast for the 2015 study)</w:t>
      </w:r>
    </w:p>
    <w:p w14:paraId="52867D36" w14:textId="5706BF89" w:rsidR="00BB255F" w:rsidRDefault="00BB255F" w:rsidP="007E4D11"/>
    <w:p w14:paraId="6BC40774" w14:textId="74BC317C" w:rsidR="00E47D2E" w:rsidRDefault="006F57E9" w:rsidP="00FB45A3">
      <w:r>
        <w:fldChar w:fldCharType="begin"/>
      </w:r>
      <w:r>
        <w:instrText xml:space="preserve"> REF _Ref485125974 \h </w:instrText>
      </w:r>
      <w:r>
        <w:fldChar w:fldCharType="separate"/>
      </w:r>
      <w:r>
        <w:t xml:space="preserve">Table </w:t>
      </w:r>
      <w:r>
        <w:rPr>
          <w:noProof/>
        </w:rPr>
        <w:t>5</w:t>
      </w:r>
      <w:r>
        <w:noBreakHyphen/>
      </w:r>
      <w:r>
        <w:rPr>
          <w:noProof/>
        </w:rPr>
        <w:t>1</w:t>
      </w:r>
      <w:r>
        <w:fldChar w:fldCharType="end"/>
      </w:r>
      <w:r>
        <w:t xml:space="preserve"> and </w:t>
      </w:r>
      <w:r>
        <w:fldChar w:fldCharType="begin"/>
      </w:r>
      <w:r>
        <w:instrText xml:space="preserve"> REF _Ref485125975 \h </w:instrText>
      </w:r>
      <w:r>
        <w:fldChar w:fldCharType="separate"/>
      </w:r>
      <w:r>
        <w:t xml:space="preserve">Table </w:t>
      </w:r>
      <w:r>
        <w:rPr>
          <w:noProof/>
        </w:rPr>
        <w:t>5</w:t>
      </w:r>
      <w:r>
        <w:noBreakHyphen/>
      </w:r>
      <w:r>
        <w:rPr>
          <w:noProof/>
        </w:rPr>
        <w:t>2</w:t>
      </w:r>
      <w:r>
        <w:fldChar w:fldCharType="end"/>
      </w:r>
      <w:r>
        <w:t xml:space="preserve"> show electric and gas rebate program savings. The </w:t>
      </w:r>
      <w:r w:rsidRPr="006F57E9">
        <w:t>TRC | Refe</w:t>
      </w:r>
      <w:r w:rsidR="00FB45A3">
        <w:t xml:space="preserve">rence and mTRC (GHG Adder #1) </w:t>
      </w:r>
      <w:r w:rsidRPr="006F57E9">
        <w:t xml:space="preserve">cases </w:t>
      </w:r>
      <w:r>
        <w:t xml:space="preserve">show lower </w:t>
      </w:r>
      <w:r w:rsidR="00FB45A3">
        <w:t xml:space="preserve">electric </w:t>
      </w:r>
      <w:r>
        <w:t xml:space="preserve">savings than the 2015 Study results. This implies the drop in avoided costs decreases program savings and the IOU proposed GHG adder is not enough to bring avoided costs back up to the level of the 2015 study. </w:t>
      </w:r>
      <w:r w:rsidRPr="006F57E9">
        <w:t>In the mTRC (GHG Adder #2) case, 2018 values are slightly below the values from the 2015 Study, and 2024 values are noticeably higher than in the 2</w:t>
      </w:r>
      <w:r w:rsidR="00FB45A3">
        <w:t xml:space="preserve">015 study. Values for the PAC scenarios </w:t>
      </w:r>
      <w:r w:rsidRPr="006F57E9">
        <w:t>in the 2018 Study are substantially higher than in the 2015 Study.</w:t>
      </w:r>
      <w:r w:rsidR="00FB45A3">
        <w:t xml:space="preserve"> </w:t>
      </w:r>
    </w:p>
    <w:p w14:paraId="39EEBD07" w14:textId="209019D7" w:rsidR="00FB45A3" w:rsidRDefault="00FB45A3" w:rsidP="00FB45A3"/>
    <w:p w14:paraId="533C1F73" w14:textId="291F7E61" w:rsidR="00FB45A3" w:rsidRDefault="00FB45A3" w:rsidP="00FB45A3">
      <w:r w:rsidRPr="00FB45A3">
        <w:t>Gross gas rebate program savings in the 2018 Study were lower than in the 2015 Study for the TRC | Reference scenario, but substantially higher than the 2015 Study for all other scenarios. PAC | Aggressive sees the highest savings in 2018, and mTRC (GHG Adder #2) | Reference achieves the highest 2024 savings.</w:t>
      </w:r>
    </w:p>
    <w:p w14:paraId="29C456A9" w14:textId="77777777" w:rsidR="006F57E9" w:rsidRDefault="006F57E9" w:rsidP="007E4D11"/>
    <w:p w14:paraId="155A5951" w14:textId="67F02A07" w:rsidR="00E47D2E" w:rsidRDefault="00E47D2E" w:rsidP="00E47D2E">
      <w:pPr>
        <w:pStyle w:val="Caption"/>
      </w:pPr>
      <w:bookmarkStart w:id="848" w:name="_Ref485125974"/>
      <w:bookmarkStart w:id="849" w:name="_Toc485125693"/>
      <w:r>
        <w:t xml:space="preserve">Table </w:t>
      </w:r>
      <w:r w:rsidR="00272F76">
        <w:fldChar w:fldCharType="begin"/>
      </w:r>
      <w:r w:rsidR="00272F76">
        <w:instrText xml:space="preserve"> STYLEREF 1 \s </w:instrText>
      </w:r>
      <w:r w:rsidR="00272F76">
        <w:fldChar w:fldCharType="separate"/>
      </w:r>
      <w:r w:rsidR="006F57E9">
        <w:rPr>
          <w:noProof/>
        </w:rPr>
        <w:t>5</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6F57E9">
        <w:rPr>
          <w:noProof/>
        </w:rPr>
        <w:t>1</w:t>
      </w:r>
      <w:r w:rsidR="00272F76">
        <w:rPr>
          <w:noProof/>
        </w:rPr>
        <w:fldChar w:fldCharType="end"/>
      </w:r>
      <w:bookmarkEnd w:id="848"/>
      <w:r>
        <w:t xml:space="preserve">. Rebate Program Results Comparison </w:t>
      </w:r>
      <w:r w:rsidR="00AC166A">
        <w:t>–</w:t>
      </w:r>
      <w:r>
        <w:t xml:space="preserve"> </w:t>
      </w:r>
      <w:r w:rsidR="00AC166A">
        <w:t>Gross</w:t>
      </w:r>
      <w:r>
        <w:t xml:space="preserve"> Electric</w:t>
      </w:r>
      <w:r w:rsidR="00AC166A">
        <w:t xml:space="preserve"> Savings</w:t>
      </w:r>
      <w:bookmarkEnd w:id="849"/>
    </w:p>
    <w:tbl>
      <w:tblPr>
        <w:tblStyle w:val="EnergyTable6"/>
        <w:tblW w:w="0" w:type="auto"/>
        <w:tblLook w:val="04A0" w:firstRow="1" w:lastRow="0" w:firstColumn="1" w:lastColumn="0" w:noHBand="0" w:noVBand="1"/>
      </w:tblPr>
      <w:tblGrid>
        <w:gridCol w:w="1915"/>
        <w:gridCol w:w="1915"/>
        <w:gridCol w:w="1915"/>
        <w:gridCol w:w="1915"/>
        <w:gridCol w:w="1916"/>
      </w:tblGrid>
      <w:tr w:rsidR="00E47D2E" w:rsidRPr="00E47D2E" w14:paraId="24A50F3E" w14:textId="77777777" w:rsidTr="00E47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1D46CAF" w14:textId="77777777" w:rsidR="00E47D2E" w:rsidRPr="00E47D2E" w:rsidRDefault="00E47D2E" w:rsidP="00E47D2E">
            <w:pPr>
              <w:rPr>
                <w:rFonts w:ascii="Arial Narrow" w:hAnsi="Arial Narrow"/>
                <w:szCs w:val="20"/>
              </w:rPr>
            </w:pPr>
          </w:p>
        </w:tc>
        <w:tc>
          <w:tcPr>
            <w:tcW w:w="3830" w:type="dxa"/>
            <w:gridSpan w:val="2"/>
          </w:tcPr>
          <w:p w14:paraId="3BBC91A8" w14:textId="024078F5" w:rsidR="00E47D2E" w:rsidRPr="00E47D2E" w:rsidRDefault="00E47D2E" w:rsidP="00E47D2E">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2018</w:t>
            </w:r>
          </w:p>
        </w:tc>
        <w:tc>
          <w:tcPr>
            <w:tcW w:w="3831" w:type="dxa"/>
            <w:gridSpan w:val="2"/>
          </w:tcPr>
          <w:p w14:paraId="6837181D" w14:textId="71788F70" w:rsidR="00E47D2E" w:rsidRPr="00E47D2E" w:rsidRDefault="00E47D2E" w:rsidP="00E47D2E">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2024</w:t>
            </w:r>
          </w:p>
        </w:tc>
      </w:tr>
      <w:tr w:rsidR="00E47D2E" w:rsidRPr="00E47D2E" w14:paraId="2D441B6B" w14:textId="77777777" w:rsidTr="00E47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1CA434E" w14:textId="77777777" w:rsidR="00E47D2E" w:rsidRPr="00E47D2E" w:rsidRDefault="00E47D2E" w:rsidP="00E47D2E">
            <w:pPr>
              <w:rPr>
                <w:rFonts w:ascii="Arial Narrow" w:hAnsi="Arial Narrow"/>
                <w:szCs w:val="20"/>
              </w:rPr>
            </w:pPr>
          </w:p>
        </w:tc>
        <w:tc>
          <w:tcPr>
            <w:tcW w:w="1915" w:type="dxa"/>
          </w:tcPr>
          <w:p w14:paraId="7784FB8C" w14:textId="1AF63ADC"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(GWh)</w:t>
            </w:r>
          </w:p>
        </w:tc>
        <w:tc>
          <w:tcPr>
            <w:tcW w:w="1915" w:type="dxa"/>
          </w:tcPr>
          <w:p w14:paraId="43B31F92" w14:textId="68CED772"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c>
          <w:tcPr>
            <w:tcW w:w="1915" w:type="dxa"/>
          </w:tcPr>
          <w:p w14:paraId="49CF0BAA" w14:textId="3D61530A"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(GWh)</w:t>
            </w:r>
          </w:p>
        </w:tc>
        <w:tc>
          <w:tcPr>
            <w:tcW w:w="1916" w:type="dxa"/>
          </w:tcPr>
          <w:p w14:paraId="26FF5A9E" w14:textId="6C7A3870"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r>
      <w:tr w:rsidR="00E47D2E" w:rsidRPr="00E47D2E" w14:paraId="116987D2" w14:textId="77777777" w:rsidTr="00E47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B4676EB" w14:textId="0E30E52B" w:rsidR="00E47D2E" w:rsidRPr="00E47D2E" w:rsidRDefault="00E47D2E" w:rsidP="00E47D2E">
            <w:pPr>
              <w:rPr>
                <w:rFonts w:ascii="Arial Narrow" w:hAnsi="Arial Narrow"/>
                <w:szCs w:val="20"/>
              </w:rPr>
            </w:pPr>
            <w:r w:rsidRPr="00E47D2E">
              <w:rPr>
                <w:rFonts w:ascii="Arial Narrow" w:hAnsi="Arial Narrow"/>
                <w:szCs w:val="20"/>
              </w:rPr>
              <w:t>2015 Study</w:t>
            </w:r>
          </w:p>
        </w:tc>
        <w:tc>
          <w:tcPr>
            <w:tcW w:w="1915" w:type="dxa"/>
          </w:tcPr>
          <w:p w14:paraId="094CF475" w14:textId="43C721D1" w:rsidR="00E47D2E" w:rsidRPr="00E47D2E" w:rsidRDefault="0036699F"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1,024</w:t>
            </w:r>
          </w:p>
        </w:tc>
        <w:tc>
          <w:tcPr>
            <w:tcW w:w="1915" w:type="dxa"/>
          </w:tcPr>
          <w:p w14:paraId="684AF34F" w14:textId="3F2B5FA9" w:rsidR="00E47D2E" w:rsidRPr="00E47D2E" w:rsidRDefault="00E47D2E"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c>
          <w:tcPr>
            <w:tcW w:w="1915" w:type="dxa"/>
          </w:tcPr>
          <w:p w14:paraId="1E65107E" w14:textId="1E9B49D3" w:rsidR="00E47D2E" w:rsidRPr="00E47D2E" w:rsidRDefault="0036699F"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1,156</w:t>
            </w:r>
          </w:p>
        </w:tc>
        <w:tc>
          <w:tcPr>
            <w:tcW w:w="1916" w:type="dxa"/>
          </w:tcPr>
          <w:p w14:paraId="26366FBE" w14:textId="50AA3904" w:rsidR="00E47D2E" w:rsidRPr="00E47D2E" w:rsidRDefault="00E47D2E"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r>
      <w:tr w:rsidR="00E47D2E" w:rsidRPr="00E47D2E" w14:paraId="3237CCE4" w14:textId="77777777" w:rsidTr="00E47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88C34D2" w14:textId="4EC2BC8D" w:rsidR="00E47D2E" w:rsidRPr="00E47D2E" w:rsidRDefault="00E47D2E" w:rsidP="00E47D2E">
            <w:pPr>
              <w:rPr>
                <w:rFonts w:ascii="Arial Narrow" w:hAnsi="Arial Narrow"/>
                <w:szCs w:val="20"/>
              </w:rPr>
            </w:pPr>
            <w:r w:rsidRPr="00E47D2E">
              <w:rPr>
                <w:rFonts w:ascii="Arial Narrow" w:hAnsi="Arial Narrow"/>
                <w:szCs w:val="20"/>
              </w:rPr>
              <w:t>2018 Study - TRC | Reference</w:t>
            </w:r>
          </w:p>
        </w:tc>
        <w:tc>
          <w:tcPr>
            <w:tcW w:w="1915" w:type="dxa"/>
          </w:tcPr>
          <w:p w14:paraId="55D3123D" w14:textId="2164263B"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894</w:t>
            </w:r>
          </w:p>
        </w:tc>
        <w:tc>
          <w:tcPr>
            <w:tcW w:w="1915" w:type="dxa"/>
          </w:tcPr>
          <w:p w14:paraId="1D6F7F9C" w14:textId="67E859FD"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-13%</w:t>
            </w:r>
          </w:p>
        </w:tc>
        <w:tc>
          <w:tcPr>
            <w:tcW w:w="1915" w:type="dxa"/>
          </w:tcPr>
          <w:p w14:paraId="597F4828" w14:textId="1D1EBF53"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1,155</w:t>
            </w:r>
          </w:p>
        </w:tc>
        <w:tc>
          <w:tcPr>
            <w:tcW w:w="1916" w:type="dxa"/>
          </w:tcPr>
          <w:p w14:paraId="03000120" w14:textId="13792581"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-0.1</w:t>
            </w:r>
            <w:r w:rsidR="006D3589">
              <w:rPr>
                <w:rFonts w:ascii="Arial Narrow" w:hAnsi="Arial Narrow"/>
                <w:szCs w:val="20"/>
              </w:rPr>
              <w:t>%</w:t>
            </w:r>
          </w:p>
        </w:tc>
      </w:tr>
      <w:tr w:rsidR="00E47D2E" w:rsidRPr="00E47D2E" w14:paraId="610F6D95" w14:textId="77777777" w:rsidTr="00E47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1BC1D60" w14:textId="5B14B5BC" w:rsidR="00E47D2E" w:rsidRPr="00E47D2E" w:rsidRDefault="00E47D2E" w:rsidP="00E47D2E">
            <w:pPr>
              <w:rPr>
                <w:rFonts w:ascii="Arial Narrow" w:hAnsi="Arial Narrow"/>
                <w:szCs w:val="20"/>
              </w:rPr>
            </w:pPr>
            <w:r w:rsidRPr="00E47D2E">
              <w:rPr>
                <w:rFonts w:ascii="Arial Narrow" w:hAnsi="Arial Narrow"/>
                <w:szCs w:val="20"/>
              </w:rPr>
              <w:t>2018 Study - mTRC (GHG Adder #1) | Reference</w:t>
            </w:r>
          </w:p>
        </w:tc>
        <w:tc>
          <w:tcPr>
            <w:tcW w:w="1915" w:type="dxa"/>
          </w:tcPr>
          <w:p w14:paraId="48BFAE7C" w14:textId="43B49990" w:rsidR="00E47D2E" w:rsidRPr="00E47D2E" w:rsidRDefault="002B643D"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964</w:t>
            </w:r>
          </w:p>
        </w:tc>
        <w:tc>
          <w:tcPr>
            <w:tcW w:w="1915" w:type="dxa"/>
          </w:tcPr>
          <w:p w14:paraId="7C95B73D" w14:textId="588FB6C8" w:rsidR="00E47D2E" w:rsidRPr="00E47D2E" w:rsidRDefault="002B643D"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-6%</w:t>
            </w:r>
          </w:p>
        </w:tc>
        <w:tc>
          <w:tcPr>
            <w:tcW w:w="1915" w:type="dxa"/>
          </w:tcPr>
          <w:p w14:paraId="16A3AA74" w14:textId="3BF56B8D" w:rsidR="00E47D2E" w:rsidRPr="00E47D2E" w:rsidRDefault="002B643D"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1,242</w:t>
            </w:r>
          </w:p>
        </w:tc>
        <w:tc>
          <w:tcPr>
            <w:tcW w:w="1916" w:type="dxa"/>
          </w:tcPr>
          <w:p w14:paraId="1FCEF165" w14:textId="343814F0" w:rsidR="00E47D2E" w:rsidRPr="00E47D2E" w:rsidRDefault="00416D32"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r w:rsidR="002B643D">
              <w:rPr>
                <w:rFonts w:ascii="Arial Narrow" w:hAnsi="Arial Narrow"/>
                <w:szCs w:val="20"/>
              </w:rPr>
              <w:t>7</w:t>
            </w:r>
            <w:r w:rsidR="006D3589">
              <w:rPr>
                <w:rFonts w:ascii="Arial Narrow" w:hAnsi="Arial Narrow"/>
                <w:szCs w:val="20"/>
              </w:rPr>
              <w:t>%</w:t>
            </w:r>
          </w:p>
        </w:tc>
      </w:tr>
      <w:tr w:rsidR="00E47D2E" w:rsidRPr="00E47D2E" w14:paraId="4481FCEA" w14:textId="77777777" w:rsidTr="00E47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EBC852" w14:textId="311F9A48" w:rsidR="00E47D2E" w:rsidRPr="00E47D2E" w:rsidRDefault="00E47D2E" w:rsidP="00E47D2E">
            <w:pPr>
              <w:rPr>
                <w:rFonts w:ascii="Arial Narrow" w:hAnsi="Arial Narrow"/>
                <w:szCs w:val="20"/>
              </w:rPr>
            </w:pPr>
            <w:r w:rsidRPr="00E47D2E">
              <w:rPr>
                <w:rFonts w:ascii="Arial Narrow" w:hAnsi="Arial Narrow"/>
                <w:szCs w:val="20"/>
              </w:rPr>
              <w:t>2018 Study - mTRC (GHG Adder #2) | Reference</w:t>
            </w:r>
          </w:p>
        </w:tc>
        <w:tc>
          <w:tcPr>
            <w:tcW w:w="1915" w:type="dxa"/>
          </w:tcPr>
          <w:p w14:paraId="1B70A771" w14:textId="3DD6FD2B" w:rsidR="00E47D2E" w:rsidRPr="00E47D2E" w:rsidRDefault="002B643D" w:rsidP="002B643D">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984</w:t>
            </w:r>
          </w:p>
        </w:tc>
        <w:tc>
          <w:tcPr>
            <w:tcW w:w="1915" w:type="dxa"/>
          </w:tcPr>
          <w:p w14:paraId="4BD44FA0" w14:textId="44B54B41"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-4</w:t>
            </w:r>
            <w:r w:rsidR="006D3589">
              <w:rPr>
                <w:rFonts w:ascii="Arial Narrow" w:hAnsi="Arial Narrow"/>
                <w:szCs w:val="20"/>
              </w:rPr>
              <w:t>%</w:t>
            </w:r>
          </w:p>
        </w:tc>
        <w:tc>
          <w:tcPr>
            <w:tcW w:w="1915" w:type="dxa"/>
          </w:tcPr>
          <w:p w14:paraId="2AFF8218" w14:textId="2C83A9F1"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1,350</w:t>
            </w:r>
          </w:p>
        </w:tc>
        <w:tc>
          <w:tcPr>
            <w:tcW w:w="1916" w:type="dxa"/>
          </w:tcPr>
          <w:p w14:paraId="272EABCF" w14:textId="3FB46183"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+17</w:t>
            </w:r>
            <w:r w:rsidR="006D3589">
              <w:rPr>
                <w:rFonts w:ascii="Arial Narrow" w:hAnsi="Arial Narrow"/>
                <w:szCs w:val="20"/>
              </w:rPr>
              <w:t>%</w:t>
            </w:r>
          </w:p>
        </w:tc>
      </w:tr>
      <w:tr w:rsidR="00E47D2E" w:rsidRPr="00E47D2E" w14:paraId="37E7B4E8" w14:textId="77777777" w:rsidTr="00E47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49D0793F" w14:textId="4D011D76" w:rsidR="00E47D2E" w:rsidRPr="00E47D2E" w:rsidRDefault="00E47D2E" w:rsidP="00E47D2E">
            <w:pPr>
              <w:rPr>
                <w:rFonts w:ascii="Arial Narrow" w:hAnsi="Arial Narrow"/>
                <w:szCs w:val="20"/>
              </w:rPr>
            </w:pPr>
            <w:r w:rsidRPr="00E47D2E">
              <w:rPr>
                <w:rFonts w:ascii="Arial Narrow" w:hAnsi="Arial Narrow"/>
                <w:szCs w:val="20"/>
              </w:rPr>
              <w:t>2018 Study - PAC | Reference</w:t>
            </w:r>
          </w:p>
        </w:tc>
        <w:tc>
          <w:tcPr>
            <w:tcW w:w="1915" w:type="dxa"/>
          </w:tcPr>
          <w:p w14:paraId="5DC8305D" w14:textId="731001CA" w:rsidR="00E47D2E" w:rsidRPr="00E47D2E" w:rsidRDefault="002B643D"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1,278</w:t>
            </w:r>
          </w:p>
        </w:tc>
        <w:tc>
          <w:tcPr>
            <w:tcW w:w="1915" w:type="dxa"/>
          </w:tcPr>
          <w:p w14:paraId="63F44EC1" w14:textId="37C2B41A" w:rsidR="00E47D2E" w:rsidRPr="00E47D2E" w:rsidRDefault="002B643D"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+25</w:t>
            </w:r>
            <w:r w:rsidR="006D3589">
              <w:rPr>
                <w:rFonts w:ascii="Arial Narrow" w:hAnsi="Arial Narrow"/>
                <w:szCs w:val="20"/>
              </w:rPr>
              <w:t>%</w:t>
            </w:r>
          </w:p>
        </w:tc>
        <w:tc>
          <w:tcPr>
            <w:tcW w:w="1915" w:type="dxa"/>
          </w:tcPr>
          <w:p w14:paraId="2E7E1C54" w14:textId="1D1EAE8F" w:rsidR="00E47D2E" w:rsidRPr="00E47D2E" w:rsidRDefault="002B643D"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1,493</w:t>
            </w:r>
          </w:p>
        </w:tc>
        <w:tc>
          <w:tcPr>
            <w:tcW w:w="1916" w:type="dxa"/>
          </w:tcPr>
          <w:p w14:paraId="371190AB" w14:textId="67E9B523" w:rsidR="00E47D2E" w:rsidRPr="00E47D2E" w:rsidRDefault="002B643D" w:rsidP="00E47D2E">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+29</w:t>
            </w:r>
            <w:r w:rsidR="006D3589">
              <w:rPr>
                <w:rFonts w:ascii="Arial Narrow" w:hAnsi="Arial Narrow"/>
                <w:szCs w:val="20"/>
              </w:rPr>
              <w:t>%</w:t>
            </w:r>
          </w:p>
        </w:tc>
      </w:tr>
      <w:tr w:rsidR="00E47D2E" w:rsidRPr="00E47D2E" w14:paraId="3C68BB2E" w14:textId="77777777" w:rsidTr="00E47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C5E6530" w14:textId="6BAE737F" w:rsidR="00E47D2E" w:rsidRPr="00E47D2E" w:rsidRDefault="00E47D2E" w:rsidP="00E47D2E">
            <w:pPr>
              <w:rPr>
                <w:rFonts w:ascii="Arial Narrow" w:hAnsi="Arial Narrow"/>
                <w:szCs w:val="20"/>
              </w:rPr>
            </w:pPr>
            <w:r w:rsidRPr="00E47D2E">
              <w:rPr>
                <w:rFonts w:ascii="Arial Narrow" w:hAnsi="Arial Narrow"/>
                <w:szCs w:val="20"/>
              </w:rPr>
              <w:t>2018 Study - PAC | Aggressive</w:t>
            </w:r>
          </w:p>
        </w:tc>
        <w:tc>
          <w:tcPr>
            <w:tcW w:w="1915" w:type="dxa"/>
          </w:tcPr>
          <w:p w14:paraId="2C5CBE73" w14:textId="04532FB2"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1,350</w:t>
            </w:r>
          </w:p>
        </w:tc>
        <w:tc>
          <w:tcPr>
            <w:tcW w:w="1915" w:type="dxa"/>
          </w:tcPr>
          <w:p w14:paraId="7D031DB6" w14:textId="514F0100"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+32</w:t>
            </w:r>
            <w:r w:rsidR="006D3589">
              <w:rPr>
                <w:rFonts w:ascii="Arial Narrow" w:hAnsi="Arial Narrow"/>
                <w:szCs w:val="20"/>
              </w:rPr>
              <w:t>%</w:t>
            </w:r>
          </w:p>
        </w:tc>
        <w:tc>
          <w:tcPr>
            <w:tcW w:w="1915" w:type="dxa"/>
          </w:tcPr>
          <w:p w14:paraId="7B97CA72" w14:textId="6E0AA722"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1,581</w:t>
            </w:r>
          </w:p>
        </w:tc>
        <w:tc>
          <w:tcPr>
            <w:tcW w:w="1916" w:type="dxa"/>
          </w:tcPr>
          <w:p w14:paraId="093E7705" w14:textId="2CD77D56" w:rsidR="00E47D2E" w:rsidRPr="00E47D2E" w:rsidRDefault="002B643D" w:rsidP="00E47D2E">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+37</w:t>
            </w:r>
            <w:r w:rsidR="007911B6">
              <w:rPr>
                <w:rFonts w:ascii="Arial Narrow" w:hAnsi="Arial Narrow"/>
                <w:szCs w:val="20"/>
              </w:rPr>
              <w:t>%</w:t>
            </w:r>
          </w:p>
        </w:tc>
      </w:tr>
    </w:tbl>
    <w:p w14:paraId="2050E06C" w14:textId="57BBDDC1" w:rsidR="00E47D2E" w:rsidRDefault="00E47D2E" w:rsidP="007E4D11"/>
    <w:p w14:paraId="1C8EC2B6" w14:textId="063E93BF" w:rsidR="00E47D2E" w:rsidRDefault="00E47D2E" w:rsidP="00E47D2E">
      <w:pPr>
        <w:pStyle w:val="Caption"/>
      </w:pPr>
      <w:bookmarkStart w:id="850" w:name="_Ref485125975"/>
      <w:bookmarkStart w:id="851" w:name="_Toc485125694"/>
      <w:r>
        <w:t xml:space="preserve">Table </w:t>
      </w:r>
      <w:r w:rsidR="00272F76">
        <w:fldChar w:fldCharType="begin"/>
      </w:r>
      <w:r w:rsidR="00272F76">
        <w:instrText xml:space="preserve"> STYLEREF 1 \s </w:instrText>
      </w:r>
      <w:r w:rsidR="00272F76">
        <w:fldChar w:fldCharType="separate"/>
      </w:r>
      <w:r w:rsidR="006F57E9">
        <w:rPr>
          <w:noProof/>
        </w:rPr>
        <w:t>5</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6F57E9">
        <w:rPr>
          <w:noProof/>
        </w:rPr>
        <w:t>2</w:t>
      </w:r>
      <w:r w:rsidR="00272F76">
        <w:rPr>
          <w:noProof/>
        </w:rPr>
        <w:fldChar w:fldCharType="end"/>
      </w:r>
      <w:bookmarkEnd w:id="850"/>
      <w:r>
        <w:t xml:space="preserve">. Rebate Program Results Comparison </w:t>
      </w:r>
      <w:r w:rsidR="00AC166A">
        <w:t>–</w:t>
      </w:r>
      <w:r>
        <w:t xml:space="preserve"> </w:t>
      </w:r>
      <w:r w:rsidR="00AC166A">
        <w:t xml:space="preserve">Gross </w:t>
      </w:r>
      <w:r>
        <w:t>Gas</w:t>
      </w:r>
      <w:r w:rsidR="00AC166A">
        <w:t xml:space="preserve"> Savings</w:t>
      </w:r>
      <w:bookmarkEnd w:id="851"/>
    </w:p>
    <w:tbl>
      <w:tblPr>
        <w:tblStyle w:val="EnergyTable6"/>
        <w:tblW w:w="0" w:type="auto"/>
        <w:tblLook w:val="04A0" w:firstRow="1" w:lastRow="0" w:firstColumn="1" w:lastColumn="0" w:noHBand="0" w:noVBand="1"/>
      </w:tblPr>
      <w:tblGrid>
        <w:gridCol w:w="1915"/>
        <w:gridCol w:w="1915"/>
        <w:gridCol w:w="1915"/>
        <w:gridCol w:w="1915"/>
        <w:gridCol w:w="1916"/>
      </w:tblGrid>
      <w:tr w:rsidR="00E47D2E" w:rsidRPr="00E47D2E" w14:paraId="15A4F61B" w14:textId="77777777" w:rsidTr="00D61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653F7D4" w14:textId="77777777" w:rsidR="00E47D2E" w:rsidRPr="00E47D2E" w:rsidRDefault="00E47D2E" w:rsidP="00D61850">
            <w:pPr>
              <w:rPr>
                <w:rFonts w:ascii="Arial Narrow" w:hAnsi="Arial Narrow"/>
                <w:szCs w:val="20"/>
              </w:rPr>
            </w:pPr>
          </w:p>
        </w:tc>
        <w:tc>
          <w:tcPr>
            <w:tcW w:w="3830" w:type="dxa"/>
            <w:gridSpan w:val="2"/>
          </w:tcPr>
          <w:p w14:paraId="0E577881" w14:textId="77777777" w:rsidR="00E47D2E" w:rsidRPr="00E47D2E" w:rsidRDefault="00E47D2E"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2018</w:t>
            </w:r>
          </w:p>
        </w:tc>
        <w:tc>
          <w:tcPr>
            <w:tcW w:w="3831" w:type="dxa"/>
            <w:gridSpan w:val="2"/>
          </w:tcPr>
          <w:p w14:paraId="4CB6A356" w14:textId="77777777" w:rsidR="00E47D2E" w:rsidRPr="00E47D2E" w:rsidRDefault="00E47D2E"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2024</w:t>
            </w:r>
          </w:p>
        </w:tc>
      </w:tr>
      <w:tr w:rsidR="00E47D2E" w:rsidRPr="00E47D2E" w14:paraId="55593277"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48237CE" w14:textId="77777777" w:rsidR="00E47D2E" w:rsidRPr="00E47D2E" w:rsidRDefault="00E47D2E" w:rsidP="00E47D2E">
            <w:pPr>
              <w:rPr>
                <w:rFonts w:ascii="Arial Narrow" w:hAnsi="Arial Narrow"/>
                <w:szCs w:val="20"/>
              </w:rPr>
            </w:pPr>
          </w:p>
        </w:tc>
        <w:tc>
          <w:tcPr>
            <w:tcW w:w="1915" w:type="dxa"/>
          </w:tcPr>
          <w:p w14:paraId="42A3DD69" w14:textId="0917918E"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Pr>
                <w:rFonts w:ascii="Arial Narrow" w:hAnsi="Arial Narrow"/>
                <w:b/>
                <w:szCs w:val="20"/>
              </w:rPr>
              <w:t>MMtherms</w:t>
            </w:r>
            <w:r w:rsidRPr="00E47D2E">
              <w:rPr>
                <w:rFonts w:ascii="Arial Narrow" w:hAnsi="Arial Narrow"/>
                <w:b/>
                <w:szCs w:val="20"/>
              </w:rPr>
              <w:t>)</w:t>
            </w:r>
          </w:p>
        </w:tc>
        <w:tc>
          <w:tcPr>
            <w:tcW w:w="1915" w:type="dxa"/>
          </w:tcPr>
          <w:p w14:paraId="2371DD7D" w14:textId="77777777"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c>
          <w:tcPr>
            <w:tcW w:w="1915" w:type="dxa"/>
          </w:tcPr>
          <w:p w14:paraId="624ABDCE" w14:textId="50B91195"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Pr>
                <w:rFonts w:ascii="Arial Narrow" w:hAnsi="Arial Narrow"/>
                <w:b/>
                <w:szCs w:val="20"/>
              </w:rPr>
              <w:t>MMtherms</w:t>
            </w:r>
            <w:r w:rsidRPr="00E47D2E">
              <w:rPr>
                <w:rFonts w:ascii="Arial Narrow" w:hAnsi="Arial Narrow"/>
                <w:b/>
                <w:szCs w:val="20"/>
              </w:rPr>
              <w:t>)</w:t>
            </w:r>
          </w:p>
        </w:tc>
        <w:tc>
          <w:tcPr>
            <w:tcW w:w="1916" w:type="dxa"/>
          </w:tcPr>
          <w:p w14:paraId="686066EB" w14:textId="77777777" w:rsidR="00E47D2E" w:rsidRPr="00E47D2E" w:rsidRDefault="00E47D2E" w:rsidP="00E47D2E">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r>
      <w:tr w:rsidR="00E47D2E" w:rsidRPr="00E47D2E" w14:paraId="39C5DC37"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9F1EB0D" w14:textId="77777777" w:rsidR="00E47D2E" w:rsidRPr="00E47D2E" w:rsidRDefault="00E47D2E" w:rsidP="00D61850">
            <w:pPr>
              <w:rPr>
                <w:rFonts w:ascii="Arial Narrow" w:hAnsi="Arial Narrow"/>
                <w:szCs w:val="20"/>
              </w:rPr>
            </w:pPr>
            <w:r w:rsidRPr="00E47D2E">
              <w:rPr>
                <w:rFonts w:ascii="Arial Narrow" w:hAnsi="Arial Narrow"/>
                <w:szCs w:val="20"/>
              </w:rPr>
              <w:t>2015 Study</w:t>
            </w:r>
          </w:p>
        </w:tc>
        <w:tc>
          <w:tcPr>
            <w:tcW w:w="1915" w:type="dxa"/>
          </w:tcPr>
          <w:p w14:paraId="30D33A2D" w14:textId="1E7D8281" w:rsidR="00E47D2E" w:rsidRPr="00E47D2E" w:rsidRDefault="0036699F"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29</w:t>
            </w:r>
            <w:r w:rsidR="000B3A59">
              <w:rPr>
                <w:rFonts w:ascii="Arial Narrow" w:hAnsi="Arial Narrow"/>
                <w:szCs w:val="20"/>
              </w:rPr>
              <w:t>.3</w:t>
            </w:r>
          </w:p>
        </w:tc>
        <w:tc>
          <w:tcPr>
            <w:tcW w:w="1915" w:type="dxa"/>
          </w:tcPr>
          <w:p w14:paraId="326B8BC4" w14:textId="77777777" w:rsidR="00E47D2E" w:rsidRPr="00E47D2E" w:rsidRDefault="00E47D2E"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c>
          <w:tcPr>
            <w:tcW w:w="1915" w:type="dxa"/>
          </w:tcPr>
          <w:p w14:paraId="62DDB99D" w14:textId="49F771C4" w:rsidR="00E47D2E" w:rsidRPr="00E47D2E" w:rsidRDefault="000B3A5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34.7</w:t>
            </w:r>
          </w:p>
        </w:tc>
        <w:tc>
          <w:tcPr>
            <w:tcW w:w="1916" w:type="dxa"/>
          </w:tcPr>
          <w:p w14:paraId="6F26ACF3" w14:textId="77777777" w:rsidR="00E47D2E" w:rsidRPr="00E47D2E" w:rsidRDefault="00E47D2E"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r>
      <w:tr w:rsidR="000B3A59" w:rsidRPr="00E47D2E" w14:paraId="169BCB65"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69E0038" w14:textId="77777777" w:rsidR="000B3A59" w:rsidRPr="00E47D2E" w:rsidRDefault="000B3A59" w:rsidP="000B3A59">
            <w:pPr>
              <w:rPr>
                <w:rFonts w:ascii="Arial Narrow" w:hAnsi="Arial Narrow"/>
                <w:szCs w:val="20"/>
              </w:rPr>
            </w:pPr>
            <w:r w:rsidRPr="00E47D2E">
              <w:rPr>
                <w:rFonts w:ascii="Arial Narrow" w:hAnsi="Arial Narrow"/>
                <w:szCs w:val="20"/>
              </w:rPr>
              <w:t>2018 Study - TRC | Reference</w:t>
            </w:r>
          </w:p>
        </w:tc>
        <w:tc>
          <w:tcPr>
            <w:tcW w:w="1915" w:type="dxa"/>
          </w:tcPr>
          <w:p w14:paraId="267B672C" w14:textId="79D638DE"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25.1</w:t>
            </w:r>
          </w:p>
        </w:tc>
        <w:tc>
          <w:tcPr>
            <w:tcW w:w="1915" w:type="dxa"/>
          </w:tcPr>
          <w:p w14:paraId="6731BC27" w14:textId="6577E9BA"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-14%</w:t>
            </w:r>
          </w:p>
        </w:tc>
        <w:tc>
          <w:tcPr>
            <w:tcW w:w="1915" w:type="dxa"/>
          </w:tcPr>
          <w:p w14:paraId="7A0C14B5" w14:textId="19AE0D11"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30.4</w:t>
            </w:r>
          </w:p>
        </w:tc>
        <w:tc>
          <w:tcPr>
            <w:tcW w:w="1916" w:type="dxa"/>
          </w:tcPr>
          <w:p w14:paraId="3C835D37" w14:textId="33CA8510"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-12%</w:t>
            </w:r>
          </w:p>
        </w:tc>
      </w:tr>
      <w:tr w:rsidR="000B3A59" w:rsidRPr="00E47D2E" w14:paraId="2EEE40C8"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1D68EF2" w14:textId="77777777" w:rsidR="000B3A59" w:rsidRPr="00E47D2E" w:rsidRDefault="000B3A59" w:rsidP="000B3A59">
            <w:pPr>
              <w:rPr>
                <w:rFonts w:ascii="Arial Narrow" w:hAnsi="Arial Narrow"/>
                <w:szCs w:val="20"/>
              </w:rPr>
            </w:pPr>
            <w:r w:rsidRPr="00E47D2E">
              <w:rPr>
                <w:rFonts w:ascii="Arial Narrow" w:hAnsi="Arial Narrow"/>
                <w:szCs w:val="20"/>
              </w:rPr>
              <w:t>2018 Study - mTRC (GHG Adder #1) | Reference</w:t>
            </w:r>
          </w:p>
        </w:tc>
        <w:tc>
          <w:tcPr>
            <w:tcW w:w="1915" w:type="dxa"/>
          </w:tcPr>
          <w:p w14:paraId="4F36CF07" w14:textId="6F3FA427"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33.9</w:t>
            </w:r>
          </w:p>
        </w:tc>
        <w:tc>
          <w:tcPr>
            <w:tcW w:w="1915" w:type="dxa"/>
          </w:tcPr>
          <w:p w14:paraId="04B115CA" w14:textId="14EADB35"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+16%</w:t>
            </w:r>
          </w:p>
        </w:tc>
        <w:tc>
          <w:tcPr>
            <w:tcW w:w="1915" w:type="dxa"/>
          </w:tcPr>
          <w:p w14:paraId="189D9C7C" w14:textId="0601DFFA"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49.2</w:t>
            </w:r>
          </w:p>
        </w:tc>
        <w:tc>
          <w:tcPr>
            <w:tcW w:w="1916" w:type="dxa"/>
          </w:tcPr>
          <w:p w14:paraId="7188FA11" w14:textId="6B5583BE"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+42%</w:t>
            </w:r>
          </w:p>
        </w:tc>
      </w:tr>
      <w:tr w:rsidR="000B3A59" w:rsidRPr="00E47D2E" w14:paraId="592992B5"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53813FF" w14:textId="77777777" w:rsidR="000B3A59" w:rsidRPr="00E47D2E" w:rsidRDefault="000B3A59" w:rsidP="000B3A59">
            <w:pPr>
              <w:rPr>
                <w:rFonts w:ascii="Arial Narrow" w:hAnsi="Arial Narrow"/>
                <w:szCs w:val="20"/>
              </w:rPr>
            </w:pPr>
            <w:r w:rsidRPr="00E47D2E">
              <w:rPr>
                <w:rFonts w:ascii="Arial Narrow" w:hAnsi="Arial Narrow"/>
                <w:szCs w:val="20"/>
              </w:rPr>
              <w:t>2018 Study - mTRC (GHG Adder #2) | Reference</w:t>
            </w:r>
          </w:p>
        </w:tc>
        <w:tc>
          <w:tcPr>
            <w:tcW w:w="1915" w:type="dxa"/>
          </w:tcPr>
          <w:p w14:paraId="5363E139" w14:textId="6C128139"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42.1</w:t>
            </w:r>
          </w:p>
        </w:tc>
        <w:tc>
          <w:tcPr>
            <w:tcW w:w="1915" w:type="dxa"/>
          </w:tcPr>
          <w:p w14:paraId="39C41B67" w14:textId="5ED5E1C2"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+43%</w:t>
            </w:r>
          </w:p>
        </w:tc>
        <w:tc>
          <w:tcPr>
            <w:tcW w:w="1915" w:type="dxa"/>
          </w:tcPr>
          <w:p w14:paraId="335C1423" w14:textId="24D9F369"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68.0</w:t>
            </w:r>
          </w:p>
        </w:tc>
        <w:tc>
          <w:tcPr>
            <w:tcW w:w="1916" w:type="dxa"/>
          </w:tcPr>
          <w:p w14:paraId="6E7D54C2" w14:textId="2F95FFE2"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+96%</w:t>
            </w:r>
          </w:p>
        </w:tc>
      </w:tr>
      <w:tr w:rsidR="000B3A59" w:rsidRPr="00E47D2E" w14:paraId="3136DCDE"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AEE09E3" w14:textId="77777777" w:rsidR="000B3A59" w:rsidRPr="00E47D2E" w:rsidRDefault="000B3A59" w:rsidP="000B3A59">
            <w:pPr>
              <w:rPr>
                <w:rFonts w:ascii="Arial Narrow" w:hAnsi="Arial Narrow"/>
                <w:szCs w:val="20"/>
              </w:rPr>
            </w:pPr>
            <w:r w:rsidRPr="00E47D2E">
              <w:rPr>
                <w:rFonts w:ascii="Arial Narrow" w:hAnsi="Arial Narrow"/>
                <w:szCs w:val="20"/>
              </w:rPr>
              <w:t>2018 Study - PAC | Reference</w:t>
            </w:r>
          </w:p>
        </w:tc>
        <w:tc>
          <w:tcPr>
            <w:tcW w:w="1915" w:type="dxa"/>
          </w:tcPr>
          <w:p w14:paraId="08FE2508" w14:textId="0B9B02B1"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38.1</w:t>
            </w:r>
          </w:p>
        </w:tc>
        <w:tc>
          <w:tcPr>
            <w:tcW w:w="1915" w:type="dxa"/>
          </w:tcPr>
          <w:p w14:paraId="18DF5609" w14:textId="5B33C475"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+30%</w:t>
            </w:r>
          </w:p>
        </w:tc>
        <w:tc>
          <w:tcPr>
            <w:tcW w:w="1915" w:type="dxa"/>
          </w:tcPr>
          <w:p w14:paraId="4AF45E9A" w14:textId="4FEA441B"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51.4</w:t>
            </w:r>
          </w:p>
        </w:tc>
        <w:tc>
          <w:tcPr>
            <w:tcW w:w="1916" w:type="dxa"/>
          </w:tcPr>
          <w:p w14:paraId="1BDE10CA" w14:textId="60B9A00B" w:rsidR="000B3A59" w:rsidRPr="00E47D2E" w:rsidRDefault="000B3A59" w:rsidP="000B3A59">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+48%</w:t>
            </w:r>
          </w:p>
        </w:tc>
      </w:tr>
      <w:tr w:rsidR="000B3A59" w:rsidRPr="00E47D2E" w14:paraId="064FCF0C"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0C3EF11" w14:textId="77777777" w:rsidR="000B3A59" w:rsidRPr="00E47D2E" w:rsidRDefault="000B3A59" w:rsidP="000B3A59">
            <w:pPr>
              <w:rPr>
                <w:rFonts w:ascii="Arial Narrow" w:hAnsi="Arial Narrow"/>
                <w:szCs w:val="20"/>
              </w:rPr>
            </w:pPr>
            <w:r w:rsidRPr="00E47D2E">
              <w:rPr>
                <w:rFonts w:ascii="Arial Narrow" w:hAnsi="Arial Narrow"/>
                <w:szCs w:val="20"/>
              </w:rPr>
              <w:t>2018 Study - PAC | Aggressive</w:t>
            </w:r>
          </w:p>
        </w:tc>
        <w:tc>
          <w:tcPr>
            <w:tcW w:w="1915" w:type="dxa"/>
          </w:tcPr>
          <w:p w14:paraId="17B71E6B" w14:textId="190A1D0B"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39.6</w:t>
            </w:r>
          </w:p>
        </w:tc>
        <w:tc>
          <w:tcPr>
            <w:tcW w:w="1915" w:type="dxa"/>
          </w:tcPr>
          <w:p w14:paraId="6716AE09" w14:textId="5CDDD2E4"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+35%</w:t>
            </w:r>
          </w:p>
        </w:tc>
        <w:tc>
          <w:tcPr>
            <w:tcW w:w="1915" w:type="dxa"/>
          </w:tcPr>
          <w:p w14:paraId="6C1F6DD4" w14:textId="6E570085"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53.6</w:t>
            </w:r>
          </w:p>
        </w:tc>
        <w:tc>
          <w:tcPr>
            <w:tcW w:w="1916" w:type="dxa"/>
          </w:tcPr>
          <w:p w14:paraId="0CC540B3" w14:textId="2209D7F4" w:rsidR="000B3A59" w:rsidRPr="00E47D2E" w:rsidRDefault="000B3A59" w:rsidP="000B3A59">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+54%</w:t>
            </w:r>
          </w:p>
        </w:tc>
      </w:tr>
    </w:tbl>
    <w:p w14:paraId="2965BD03" w14:textId="77777777" w:rsidR="00E47D2E" w:rsidRDefault="00E47D2E" w:rsidP="007E4D11"/>
    <w:p w14:paraId="1BEC4202" w14:textId="07DC36FE" w:rsidR="007E4D11" w:rsidRDefault="006F57E9" w:rsidP="007E4D11">
      <w:r>
        <w:fldChar w:fldCharType="begin"/>
      </w:r>
      <w:r>
        <w:instrText xml:space="preserve"> REF _Ref485125991 \h </w:instrText>
      </w:r>
      <w:r>
        <w:fldChar w:fldCharType="separate"/>
      </w:r>
      <w:r>
        <w:t xml:space="preserve">Table </w:t>
      </w:r>
      <w:r>
        <w:rPr>
          <w:noProof/>
        </w:rPr>
        <w:t>5</w:t>
      </w:r>
      <w:r>
        <w:noBreakHyphen/>
      </w:r>
      <w:r>
        <w:rPr>
          <w:noProof/>
        </w:rPr>
        <w:t>3</w:t>
      </w:r>
      <w:r>
        <w:fldChar w:fldCharType="end"/>
      </w:r>
      <w:r w:rsidR="00FB45A3">
        <w:t xml:space="preserve"> and </w:t>
      </w:r>
      <w:r>
        <w:fldChar w:fldCharType="begin"/>
      </w:r>
      <w:r>
        <w:instrText xml:space="preserve"> REF _Ref485125992 \h </w:instrText>
      </w:r>
      <w:r>
        <w:fldChar w:fldCharType="separate"/>
      </w:r>
      <w:r>
        <w:t xml:space="preserve">Table </w:t>
      </w:r>
      <w:r>
        <w:rPr>
          <w:noProof/>
        </w:rPr>
        <w:t>5</w:t>
      </w:r>
      <w:r>
        <w:noBreakHyphen/>
      </w:r>
      <w:r>
        <w:rPr>
          <w:noProof/>
        </w:rPr>
        <w:t>4</w:t>
      </w:r>
      <w:r>
        <w:fldChar w:fldCharType="end"/>
      </w:r>
      <w:r w:rsidR="00FB45A3">
        <w:t xml:space="preserve"> show BROs results for electric and gas compared to the previous study. BROs savings are significantly higher compared to the previous study primarily owing to the expanded scope of BROs interventions and data updates. </w:t>
      </w:r>
    </w:p>
    <w:p w14:paraId="037D9C21" w14:textId="77777777" w:rsidR="006F57E9" w:rsidRDefault="006F57E9" w:rsidP="007E4D11"/>
    <w:p w14:paraId="723D3710" w14:textId="23ADEF10" w:rsidR="00596050" w:rsidRDefault="00596050" w:rsidP="00596050">
      <w:pPr>
        <w:pStyle w:val="Caption"/>
      </w:pPr>
      <w:bookmarkStart w:id="852" w:name="_Ref485125991"/>
      <w:bookmarkStart w:id="853" w:name="_Toc485125695"/>
      <w:r>
        <w:t xml:space="preserve">Table </w:t>
      </w:r>
      <w:r w:rsidR="00272F76">
        <w:fldChar w:fldCharType="begin"/>
      </w:r>
      <w:r w:rsidR="00272F76">
        <w:instrText xml:space="preserve"> STYLEREF 1 \s </w:instrText>
      </w:r>
      <w:r w:rsidR="00272F76">
        <w:fldChar w:fldCharType="separate"/>
      </w:r>
      <w:r w:rsidR="006F57E9">
        <w:rPr>
          <w:noProof/>
        </w:rPr>
        <w:t>5</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6F57E9">
        <w:rPr>
          <w:noProof/>
        </w:rPr>
        <w:t>3</w:t>
      </w:r>
      <w:r w:rsidR="00272F76">
        <w:rPr>
          <w:noProof/>
        </w:rPr>
        <w:fldChar w:fldCharType="end"/>
      </w:r>
      <w:bookmarkEnd w:id="852"/>
      <w:r>
        <w:t>. BROs Results Comparison - Electric</w:t>
      </w:r>
      <w:bookmarkEnd w:id="853"/>
    </w:p>
    <w:tbl>
      <w:tblPr>
        <w:tblStyle w:val="EnergyTable6"/>
        <w:tblW w:w="0" w:type="auto"/>
        <w:tblLook w:val="04A0" w:firstRow="1" w:lastRow="0" w:firstColumn="1" w:lastColumn="0" w:noHBand="0" w:noVBand="1"/>
      </w:tblPr>
      <w:tblGrid>
        <w:gridCol w:w="1915"/>
        <w:gridCol w:w="1915"/>
        <w:gridCol w:w="1915"/>
        <w:gridCol w:w="1915"/>
        <w:gridCol w:w="1916"/>
      </w:tblGrid>
      <w:tr w:rsidR="00596050" w:rsidRPr="00E47D2E" w14:paraId="70BEF804" w14:textId="77777777" w:rsidTr="00D61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17644C5" w14:textId="77777777" w:rsidR="00596050" w:rsidRPr="00E47D2E" w:rsidRDefault="00596050" w:rsidP="00D61850">
            <w:pPr>
              <w:rPr>
                <w:rFonts w:ascii="Arial Narrow" w:hAnsi="Arial Narrow"/>
                <w:szCs w:val="20"/>
              </w:rPr>
            </w:pPr>
          </w:p>
        </w:tc>
        <w:tc>
          <w:tcPr>
            <w:tcW w:w="3830" w:type="dxa"/>
            <w:gridSpan w:val="2"/>
          </w:tcPr>
          <w:p w14:paraId="2138F908" w14:textId="77777777" w:rsidR="00596050" w:rsidRPr="00E47D2E" w:rsidRDefault="00596050"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2018</w:t>
            </w:r>
          </w:p>
        </w:tc>
        <w:tc>
          <w:tcPr>
            <w:tcW w:w="3831" w:type="dxa"/>
            <w:gridSpan w:val="2"/>
          </w:tcPr>
          <w:p w14:paraId="21B67BFA" w14:textId="77777777" w:rsidR="00596050" w:rsidRPr="00E47D2E" w:rsidRDefault="00596050"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2024</w:t>
            </w:r>
          </w:p>
        </w:tc>
      </w:tr>
      <w:tr w:rsidR="00596050" w:rsidRPr="00E47D2E" w14:paraId="2F4893C8"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93D9541" w14:textId="77777777" w:rsidR="00596050" w:rsidRPr="00E47D2E" w:rsidRDefault="00596050" w:rsidP="00D61850">
            <w:pPr>
              <w:rPr>
                <w:rFonts w:ascii="Arial Narrow" w:hAnsi="Arial Narrow"/>
                <w:szCs w:val="20"/>
              </w:rPr>
            </w:pPr>
          </w:p>
        </w:tc>
        <w:tc>
          <w:tcPr>
            <w:tcW w:w="1915" w:type="dxa"/>
          </w:tcPr>
          <w:p w14:paraId="7A93DCB7"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(GWh)</w:t>
            </w:r>
          </w:p>
        </w:tc>
        <w:tc>
          <w:tcPr>
            <w:tcW w:w="1915" w:type="dxa"/>
          </w:tcPr>
          <w:p w14:paraId="15874D39"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c>
          <w:tcPr>
            <w:tcW w:w="1915" w:type="dxa"/>
          </w:tcPr>
          <w:p w14:paraId="02AA3730"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(GWh)</w:t>
            </w:r>
          </w:p>
        </w:tc>
        <w:tc>
          <w:tcPr>
            <w:tcW w:w="1916" w:type="dxa"/>
          </w:tcPr>
          <w:p w14:paraId="5713D7BF"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r>
      <w:tr w:rsidR="00596050" w:rsidRPr="00E47D2E" w14:paraId="6CA05D42"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E5A1E86" w14:textId="77777777" w:rsidR="00596050" w:rsidRPr="00E47D2E" w:rsidRDefault="00596050" w:rsidP="00D61850">
            <w:pPr>
              <w:rPr>
                <w:rFonts w:ascii="Arial Narrow" w:hAnsi="Arial Narrow"/>
                <w:szCs w:val="20"/>
              </w:rPr>
            </w:pPr>
            <w:r w:rsidRPr="00E47D2E">
              <w:rPr>
                <w:rFonts w:ascii="Arial Narrow" w:hAnsi="Arial Narrow"/>
                <w:szCs w:val="20"/>
              </w:rPr>
              <w:t>2015 Study</w:t>
            </w:r>
          </w:p>
        </w:tc>
        <w:tc>
          <w:tcPr>
            <w:tcW w:w="1915" w:type="dxa"/>
          </w:tcPr>
          <w:p w14:paraId="3251BD5E" w14:textId="39FB2A28" w:rsidR="00596050" w:rsidRPr="00E47D2E" w:rsidRDefault="0036699F"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153</w:t>
            </w:r>
          </w:p>
        </w:tc>
        <w:tc>
          <w:tcPr>
            <w:tcW w:w="1915" w:type="dxa"/>
          </w:tcPr>
          <w:p w14:paraId="04DA8BF4" w14:textId="77777777" w:rsidR="00596050" w:rsidRPr="00E47D2E" w:rsidRDefault="00596050"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c>
          <w:tcPr>
            <w:tcW w:w="1915" w:type="dxa"/>
          </w:tcPr>
          <w:p w14:paraId="4F37CA16" w14:textId="6CFEEC20" w:rsidR="00596050" w:rsidRPr="00E47D2E" w:rsidRDefault="0036699F"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176</w:t>
            </w:r>
          </w:p>
        </w:tc>
        <w:tc>
          <w:tcPr>
            <w:tcW w:w="1916" w:type="dxa"/>
          </w:tcPr>
          <w:p w14:paraId="2A507B8B" w14:textId="77777777" w:rsidR="00596050" w:rsidRPr="00E47D2E" w:rsidRDefault="00596050"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r>
      <w:tr w:rsidR="00596050" w:rsidRPr="00E47D2E" w14:paraId="248C1CDC"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F269E0B" w14:textId="359CA342" w:rsidR="00596050" w:rsidRPr="00E47D2E" w:rsidRDefault="00596050" w:rsidP="00D61850">
            <w:pPr>
              <w:rPr>
                <w:rFonts w:ascii="Arial Narrow" w:hAnsi="Arial Narrow"/>
                <w:szCs w:val="20"/>
              </w:rPr>
            </w:pPr>
            <w:r w:rsidRPr="00E47D2E">
              <w:rPr>
                <w:rFonts w:ascii="Arial Narrow" w:hAnsi="Arial Narrow"/>
                <w:szCs w:val="20"/>
              </w:rPr>
              <w:t>2018 Study -</w:t>
            </w:r>
            <w:r>
              <w:rPr>
                <w:rFonts w:ascii="Arial Narrow" w:hAnsi="Arial Narrow"/>
                <w:szCs w:val="20"/>
              </w:rPr>
              <w:t xml:space="preserve"> </w:t>
            </w:r>
            <w:r w:rsidRPr="00E47D2E">
              <w:rPr>
                <w:rFonts w:ascii="Arial Narrow" w:hAnsi="Arial Narrow"/>
                <w:szCs w:val="20"/>
              </w:rPr>
              <w:t xml:space="preserve"> Reference</w:t>
            </w:r>
          </w:p>
        </w:tc>
        <w:tc>
          <w:tcPr>
            <w:tcW w:w="1915" w:type="dxa"/>
          </w:tcPr>
          <w:p w14:paraId="6789E994" w14:textId="745C7F72" w:rsidR="00596050" w:rsidRPr="00E47D2E" w:rsidRDefault="006D3589" w:rsidP="00D618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213</w:t>
            </w:r>
          </w:p>
        </w:tc>
        <w:tc>
          <w:tcPr>
            <w:tcW w:w="1915" w:type="dxa"/>
          </w:tcPr>
          <w:p w14:paraId="30D2CDF3" w14:textId="4E30D9E8" w:rsidR="00596050" w:rsidRPr="00E47D2E" w:rsidRDefault="007911B6" w:rsidP="00D618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+39%</w:t>
            </w:r>
          </w:p>
        </w:tc>
        <w:tc>
          <w:tcPr>
            <w:tcW w:w="1915" w:type="dxa"/>
          </w:tcPr>
          <w:p w14:paraId="2233AE6F" w14:textId="396D1681" w:rsidR="00596050" w:rsidRPr="00E47D2E" w:rsidRDefault="006D3589" w:rsidP="00D618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417</w:t>
            </w:r>
          </w:p>
        </w:tc>
        <w:tc>
          <w:tcPr>
            <w:tcW w:w="1916" w:type="dxa"/>
          </w:tcPr>
          <w:p w14:paraId="33B792EB" w14:textId="4A8DA846" w:rsidR="00596050" w:rsidRPr="00E47D2E" w:rsidRDefault="007911B6" w:rsidP="00D618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+137%</w:t>
            </w:r>
          </w:p>
        </w:tc>
      </w:tr>
      <w:tr w:rsidR="00596050" w:rsidRPr="00E47D2E" w14:paraId="0E657980"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0C48696" w14:textId="5108879F" w:rsidR="00596050" w:rsidRPr="00E47D2E" w:rsidRDefault="00596050" w:rsidP="00D61850">
            <w:pPr>
              <w:rPr>
                <w:rFonts w:ascii="Arial Narrow" w:hAnsi="Arial Narrow"/>
                <w:szCs w:val="20"/>
              </w:rPr>
            </w:pPr>
            <w:r w:rsidRPr="00E47D2E">
              <w:rPr>
                <w:rFonts w:ascii="Arial Narrow" w:hAnsi="Arial Narrow"/>
                <w:szCs w:val="20"/>
              </w:rPr>
              <w:t>2018 Study - Aggressive</w:t>
            </w:r>
          </w:p>
        </w:tc>
        <w:tc>
          <w:tcPr>
            <w:tcW w:w="1915" w:type="dxa"/>
          </w:tcPr>
          <w:p w14:paraId="7E6C009B" w14:textId="5BCC0BB3" w:rsidR="00596050" w:rsidRPr="00E47D2E" w:rsidRDefault="006D358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264</w:t>
            </w:r>
          </w:p>
        </w:tc>
        <w:tc>
          <w:tcPr>
            <w:tcW w:w="1915" w:type="dxa"/>
          </w:tcPr>
          <w:p w14:paraId="10602B87" w14:textId="5593581C" w:rsidR="00596050" w:rsidRPr="00E47D2E" w:rsidRDefault="007911B6"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+73%</w:t>
            </w:r>
          </w:p>
        </w:tc>
        <w:tc>
          <w:tcPr>
            <w:tcW w:w="1915" w:type="dxa"/>
          </w:tcPr>
          <w:p w14:paraId="54729F33" w14:textId="02E908FD" w:rsidR="00596050" w:rsidRPr="00E47D2E" w:rsidRDefault="006D358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654</w:t>
            </w:r>
          </w:p>
        </w:tc>
        <w:tc>
          <w:tcPr>
            <w:tcW w:w="1916" w:type="dxa"/>
          </w:tcPr>
          <w:p w14:paraId="4C525A78" w14:textId="325AA750" w:rsidR="00596050" w:rsidRPr="00E47D2E" w:rsidRDefault="000B3A5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+271</w:t>
            </w:r>
            <w:r w:rsidR="007911B6">
              <w:rPr>
                <w:rFonts w:ascii="Arial Narrow" w:hAnsi="Arial Narrow"/>
                <w:szCs w:val="20"/>
              </w:rPr>
              <w:t>%</w:t>
            </w:r>
          </w:p>
        </w:tc>
      </w:tr>
    </w:tbl>
    <w:p w14:paraId="65F2D70C" w14:textId="4F3E3643" w:rsidR="00596050" w:rsidRDefault="00596050" w:rsidP="00596050"/>
    <w:p w14:paraId="10326644" w14:textId="41425A68" w:rsidR="00596050" w:rsidRDefault="00596050" w:rsidP="00FB45A3">
      <w:pPr>
        <w:pStyle w:val="Caption"/>
      </w:pPr>
      <w:bookmarkStart w:id="854" w:name="_Ref485125992"/>
      <w:bookmarkStart w:id="855" w:name="_Toc485125696"/>
      <w:r>
        <w:lastRenderedPageBreak/>
        <w:t xml:space="preserve">Table </w:t>
      </w:r>
      <w:r w:rsidR="00272F76">
        <w:fldChar w:fldCharType="begin"/>
      </w:r>
      <w:r w:rsidR="00272F76">
        <w:instrText xml:space="preserve"> STYLEREF 1 \s </w:instrText>
      </w:r>
      <w:r w:rsidR="00272F76">
        <w:fldChar w:fldCharType="separate"/>
      </w:r>
      <w:r w:rsidR="006F57E9">
        <w:rPr>
          <w:noProof/>
        </w:rPr>
        <w:t>5</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6F57E9">
        <w:rPr>
          <w:noProof/>
        </w:rPr>
        <w:t>4</w:t>
      </w:r>
      <w:r w:rsidR="00272F76">
        <w:rPr>
          <w:noProof/>
        </w:rPr>
        <w:fldChar w:fldCharType="end"/>
      </w:r>
      <w:bookmarkEnd w:id="854"/>
      <w:r>
        <w:t>. BROs Program Results Comparison - Gas</w:t>
      </w:r>
      <w:bookmarkEnd w:id="855"/>
    </w:p>
    <w:tbl>
      <w:tblPr>
        <w:tblStyle w:val="EnergyTable6"/>
        <w:tblW w:w="0" w:type="auto"/>
        <w:tblLook w:val="04A0" w:firstRow="1" w:lastRow="0" w:firstColumn="1" w:lastColumn="0" w:noHBand="0" w:noVBand="1"/>
      </w:tblPr>
      <w:tblGrid>
        <w:gridCol w:w="1915"/>
        <w:gridCol w:w="1915"/>
        <w:gridCol w:w="1915"/>
        <w:gridCol w:w="1915"/>
        <w:gridCol w:w="1916"/>
      </w:tblGrid>
      <w:tr w:rsidR="00596050" w:rsidRPr="00E47D2E" w14:paraId="1ED1D42E" w14:textId="77777777" w:rsidTr="00D61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889FD31" w14:textId="77777777" w:rsidR="00596050" w:rsidRPr="00E47D2E" w:rsidRDefault="00596050" w:rsidP="00FB45A3">
            <w:pPr>
              <w:keepNext/>
              <w:rPr>
                <w:rFonts w:ascii="Arial Narrow" w:hAnsi="Arial Narrow"/>
                <w:szCs w:val="20"/>
              </w:rPr>
            </w:pPr>
          </w:p>
        </w:tc>
        <w:tc>
          <w:tcPr>
            <w:tcW w:w="3830" w:type="dxa"/>
            <w:gridSpan w:val="2"/>
          </w:tcPr>
          <w:p w14:paraId="60C32D5F" w14:textId="77777777" w:rsidR="00596050" w:rsidRPr="00E47D2E" w:rsidRDefault="00596050" w:rsidP="00FB45A3">
            <w:pPr>
              <w:keepNex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2018</w:t>
            </w:r>
          </w:p>
        </w:tc>
        <w:tc>
          <w:tcPr>
            <w:tcW w:w="3831" w:type="dxa"/>
            <w:gridSpan w:val="2"/>
          </w:tcPr>
          <w:p w14:paraId="3AB076FE" w14:textId="77777777" w:rsidR="00596050" w:rsidRPr="00E47D2E" w:rsidRDefault="00596050" w:rsidP="00FB45A3">
            <w:pPr>
              <w:keepNex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2024</w:t>
            </w:r>
          </w:p>
        </w:tc>
      </w:tr>
      <w:tr w:rsidR="00596050" w:rsidRPr="00E47D2E" w14:paraId="229D9C5A"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2C59D62" w14:textId="77777777" w:rsidR="00596050" w:rsidRPr="00E47D2E" w:rsidRDefault="00596050" w:rsidP="00FB45A3">
            <w:pPr>
              <w:keepNext/>
              <w:rPr>
                <w:rFonts w:ascii="Arial Narrow" w:hAnsi="Arial Narrow"/>
                <w:szCs w:val="20"/>
              </w:rPr>
            </w:pPr>
          </w:p>
        </w:tc>
        <w:tc>
          <w:tcPr>
            <w:tcW w:w="1915" w:type="dxa"/>
          </w:tcPr>
          <w:p w14:paraId="2233AD0B" w14:textId="77777777" w:rsidR="00596050" w:rsidRPr="00E47D2E" w:rsidRDefault="00596050"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Pr>
                <w:rFonts w:ascii="Arial Narrow" w:hAnsi="Arial Narrow"/>
                <w:b/>
                <w:szCs w:val="20"/>
              </w:rPr>
              <w:t>MMtherms</w:t>
            </w:r>
            <w:r w:rsidRPr="00E47D2E">
              <w:rPr>
                <w:rFonts w:ascii="Arial Narrow" w:hAnsi="Arial Narrow"/>
                <w:b/>
                <w:szCs w:val="20"/>
              </w:rPr>
              <w:t>)</w:t>
            </w:r>
          </w:p>
        </w:tc>
        <w:tc>
          <w:tcPr>
            <w:tcW w:w="1915" w:type="dxa"/>
          </w:tcPr>
          <w:p w14:paraId="33823CF6" w14:textId="77777777" w:rsidR="00596050" w:rsidRPr="00E47D2E" w:rsidRDefault="00596050"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c>
          <w:tcPr>
            <w:tcW w:w="1915" w:type="dxa"/>
          </w:tcPr>
          <w:p w14:paraId="26698B86" w14:textId="77777777" w:rsidR="00596050" w:rsidRPr="00E47D2E" w:rsidRDefault="00596050"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Pr>
                <w:rFonts w:ascii="Arial Narrow" w:hAnsi="Arial Narrow"/>
                <w:b/>
                <w:szCs w:val="20"/>
              </w:rPr>
              <w:t>MMtherms</w:t>
            </w:r>
            <w:r w:rsidRPr="00E47D2E">
              <w:rPr>
                <w:rFonts w:ascii="Arial Narrow" w:hAnsi="Arial Narrow"/>
                <w:b/>
                <w:szCs w:val="20"/>
              </w:rPr>
              <w:t>)</w:t>
            </w:r>
          </w:p>
        </w:tc>
        <w:tc>
          <w:tcPr>
            <w:tcW w:w="1916" w:type="dxa"/>
          </w:tcPr>
          <w:p w14:paraId="3A1A6B92" w14:textId="77777777" w:rsidR="00596050" w:rsidRPr="00E47D2E" w:rsidRDefault="00596050"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r>
      <w:tr w:rsidR="00596050" w:rsidRPr="00E47D2E" w14:paraId="35CFA464"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383FA25" w14:textId="77777777" w:rsidR="00596050" w:rsidRPr="00E47D2E" w:rsidRDefault="00596050" w:rsidP="00FB45A3">
            <w:pPr>
              <w:keepNext/>
              <w:rPr>
                <w:rFonts w:ascii="Arial Narrow" w:hAnsi="Arial Narrow"/>
                <w:szCs w:val="20"/>
              </w:rPr>
            </w:pPr>
            <w:r w:rsidRPr="00E47D2E">
              <w:rPr>
                <w:rFonts w:ascii="Arial Narrow" w:hAnsi="Arial Narrow"/>
                <w:szCs w:val="20"/>
              </w:rPr>
              <w:t>2015 Study</w:t>
            </w:r>
          </w:p>
        </w:tc>
        <w:tc>
          <w:tcPr>
            <w:tcW w:w="1915" w:type="dxa"/>
          </w:tcPr>
          <w:p w14:paraId="492021ED" w14:textId="73EE7E3D" w:rsidR="00596050" w:rsidRPr="00E47D2E" w:rsidRDefault="00343A9A" w:rsidP="00FB45A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5</w:t>
            </w:r>
            <w:r w:rsidR="000B3A59">
              <w:rPr>
                <w:rFonts w:ascii="Arial Narrow" w:hAnsi="Arial Narrow"/>
                <w:szCs w:val="20"/>
              </w:rPr>
              <w:t>.3</w:t>
            </w:r>
          </w:p>
        </w:tc>
        <w:tc>
          <w:tcPr>
            <w:tcW w:w="1915" w:type="dxa"/>
          </w:tcPr>
          <w:p w14:paraId="70C25BAF" w14:textId="77777777" w:rsidR="00596050" w:rsidRPr="00E47D2E" w:rsidRDefault="00596050" w:rsidP="00FB45A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c>
          <w:tcPr>
            <w:tcW w:w="1915" w:type="dxa"/>
          </w:tcPr>
          <w:p w14:paraId="6B443990" w14:textId="3CEB8D3D" w:rsidR="00596050" w:rsidRPr="00E47D2E" w:rsidRDefault="00343A9A" w:rsidP="00FB45A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6</w:t>
            </w:r>
            <w:r w:rsidR="000B3A59">
              <w:rPr>
                <w:rFonts w:ascii="Arial Narrow" w:hAnsi="Arial Narrow"/>
                <w:szCs w:val="20"/>
              </w:rPr>
              <w:t>.1</w:t>
            </w:r>
          </w:p>
        </w:tc>
        <w:tc>
          <w:tcPr>
            <w:tcW w:w="1916" w:type="dxa"/>
          </w:tcPr>
          <w:p w14:paraId="33614638" w14:textId="77777777" w:rsidR="00596050" w:rsidRPr="00E47D2E" w:rsidRDefault="00596050" w:rsidP="00FB45A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r>
      <w:tr w:rsidR="00596050" w:rsidRPr="00E47D2E" w14:paraId="0290B2DF"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9E26631" w14:textId="77777777" w:rsidR="00596050" w:rsidRPr="00E47D2E" w:rsidRDefault="00596050" w:rsidP="00FB45A3">
            <w:pPr>
              <w:keepNext/>
              <w:rPr>
                <w:rFonts w:ascii="Arial Narrow" w:hAnsi="Arial Narrow"/>
                <w:szCs w:val="20"/>
              </w:rPr>
            </w:pPr>
            <w:r w:rsidRPr="00E47D2E">
              <w:rPr>
                <w:rFonts w:ascii="Arial Narrow" w:hAnsi="Arial Narrow"/>
                <w:szCs w:val="20"/>
              </w:rPr>
              <w:t>2018 Study -</w:t>
            </w:r>
            <w:r>
              <w:rPr>
                <w:rFonts w:ascii="Arial Narrow" w:hAnsi="Arial Narrow"/>
                <w:szCs w:val="20"/>
              </w:rPr>
              <w:t xml:space="preserve"> </w:t>
            </w:r>
            <w:r w:rsidRPr="00E47D2E">
              <w:rPr>
                <w:rFonts w:ascii="Arial Narrow" w:hAnsi="Arial Narrow"/>
                <w:szCs w:val="20"/>
              </w:rPr>
              <w:t xml:space="preserve"> Reference</w:t>
            </w:r>
          </w:p>
        </w:tc>
        <w:tc>
          <w:tcPr>
            <w:tcW w:w="1915" w:type="dxa"/>
          </w:tcPr>
          <w:p w14:paraId="7D776C25" w14:textId="6870E59B" w:rsidR="00596050" w:rsidRPr="00E47D2E" w:rsidRDefault="006D3589"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12</w:t>
            </w:r>
            <w:r w:rsidR="000B3A59">
              <w:rPr>
                <w:rFonts w:ascii="Arial Narrow" w:hAnsi="Arial Narrow"/>
                <w:szCs w:val="20"/>
              </w:rPr>
              <w:t>.0</w:t>
            </w:r>
          </w:p>
        </w:tc>
        <w:tc>
          <w:tcPr>
            <w:tcW w:w="1915" w:type="dxa"/>
          </w:tcPr>
          <w:p w14:paraId="697CBB81" w14:textId="5B63FBAB" w:rsidR="00596050" w:rsidRPr="00E47D2E" w:rsidRDefault="000B3A59"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+126</w:t>
            </w:r>
            <w:r w:rsidR="00343A9A">
              <w:rPr>
                <w:rFonts w:ascii="Arial Narrow" w:hAnsi="Arial Narrow"/>
                <w:szCs w:val="20"/>
              </w:rPr>
              <w:t>%</w:t>
            </w:r>
          </w:p>
        </w:tc>
        <w:tc>
          <w:tcPr>
            <w:tcW w:w="1915" w:type="dxa"/>
          </w:tcPr>
          <w:p w14:paraId="71322BA3" w14:textId="54FD081F" w:rsidR="00596050" w:rsidRPr="00E47D2E" w:rsidRDefault="000B3A59"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17.7</w:t>
            </w:r>
          </w:p>
        </w:tc>
        <w:tc>
          <w:tcPr>
            <w:tcW w:w="1916" w:type="dxa"/>
          </w:tcPr>
          <w:p w14:paraId="2CC0FC02" w14:textId="64298917" w:rsidR="00596050" w:rsidRPr="00E47D2E" w:rsidRDefault="000B3A59" w:rsidP="00FB45A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+191</w:t>
            </w:r>
            <w:r w:rsidR="00343A9A">
              <w:rPr>
                <w:rFonts w:ascii="Arial Narrow" w:hAnsi="Arial Narrow"/>
                <w:szCs w:val="20"/>
              </w:rPr>
              <w:t>%</w:t>
            </w:r>
          </w:p>
        </w:tc>
      </w:tr>
      <w:tr w:rsidR="00596050" w:rsidRPr="00E47D2E" w14:paraId="23BBCF4D"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42AB5D6" w14:textId="77777777" w:rsidR="00596050" w:rsidRPr="00E47D2E" w:rsidRDefault="00596050" w:rsidP="00D61850">
            <w:pPr>
              <w:rPr>
                <w:rFonts w:ascii="Arial Narrow" w:hAnsi="Arial Narrow"/>
                <w:szCs w:val="20"/>
              </w:rPr>
            </w:pPr>
            <w:r w:rsidRPr="00E47D2E">
              <w:rPr>
                <w:rFonts w:ascii="Arial Narrow" w:hAnsi="Arial Narrow"/>
                <w:szCs w:val="20"/>
              </w:rPr>
              <w:t>2018 Study - Aggressive</w:t>
            </w:r>
          </w:p>
        </w:tc>
        <w:tc>
          <w:tcPr>
            <w:tcW w:w="1915" w:type="dxa"/>
          </w:tcPr>
          <w:p w14:paraId="758E7549" w14:textId="7B0746CC" w:rsidR="00596050" w:rsidRPr="00E47D2E" w:rsidRDefault="006D358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13</w:t>
            </w:r>
            <w:r w:rsidR="000B3A59">
              <w:rPr>
                <w:rFonts w:ascii="Arial Narrow" w:hAnsi="Arial Narrow"/>
                <w:szCs w:val="20"/>
              </w:rPr>
              <w:t>.0</w:t>
            </w:r>
          </w:p>
        </w:tc>
        <w:tc>
          <w:tcPr>
            <w:tcW w:w="1915" w:type="dxa"/>
          </w:tcPr>
          <w:p w14:paraId="7536583C" w14:textId="18C39932" w:rsidR="00596050" w:rsidRPr="00E47D2E" w:rsidRDefault="000B3A5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+146</w:t>
            </w:r>
            <w:r w:rsidR="00343A9A">
              <w:rPr>
                <w:rFonts w:ascii="Arial Narrow" w:hAnsi="Arial Narrow"/>
                <w:szCs w:val="20"/>
              </w:rPr>
              <w:t>%</w:t>
            </w:r>
          </w:p>
        </w:tc>
        <w:tc>
          <w:tcPr>
            <w:tcW w:w="1915" w:type="dxa"/>
          </w:tcPr>
          <w:p w14:paraId="40E3E7EA" w14:textId="39FADA9C" w:rsidR="00596050" w:rsidRPr="00E47D2E" w:rsidRDefault="006D358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24</w:t>
            </w:r>
            <w:r w:rsidR="000B3A59">
              <w:rPr>
                <w:rFonts w:ascii="Arial Narrow" w:hAnsi="Arial Narrow"/>
                <w:szCs w:val="20"/>
              </w:rPr>
              <w:t>.1</w:t>
            </w:r>
          </w:p>
        </w:tc>
        <w:tc>
          <w:tcPr>
            <w:tcW w:w="1916" w:type="dxa"/>
          </w:tcPr>
          <w:p w14:paraId="0244C810" w14:textId="35D10190" w:rsidR="00596050" w:rsidRPr="00E47D2E" w:rsidRDefault="000B3A59" w:rsidP="00D618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+297</w:t>
            </w:r>
            <w:r w:rsidR="00343A9A">
              <w:rPr>
                <w:rFonts w:ascii="Arial Narrow" w:hAnsi="Arial Narrow"/>
                <w:szCs w:val="20"/>
              </w:rPr>
              <w:t>%</w:t>
            </w:r>
          </w:p>
        </w:tc>
      </w:tr>
    </w:tbl>
    <w:p w14:paraId="20B484A7" w14:textId="52E397CC" w:rsidR="00596050" w:rsidRDefault="00596050" w:rsidP="00596050"/>
    <w:p w14:paraId="68FE60FC" w14:textId="7A920D10" w:rsidR="00FB45A3" w:rsidRDefault="006F57E9" w:rsidP="00FB45A3">
      <w:pPr>
        <w:pStyle w:val="CommentText"/>
      </w:pPr>
      <w:r>
        <w:fldChar w:fldCharType="begin"/>
      </w:r>
      <w:r>
        <w:instrText xml:space="preserve"> REF _Ref485126001 \h </w:instrText>
      </w:r>
      <w:r>
        <w:fldChar w:fldCharType="separate"/>
      </w:r>
      <w:r>
        <w:t xml:space="preserve">Table </w:t>
      </w:r>
      <w:r>
        <w:rPr>
          <w:noProof/>
        </w:rPr>
        <w:t>5</w:t>
      </w:r>
      <w:r>
        <w:noBreakHyphen/>
      </w:r>
      <w:r>
        <w:rPr>
          <w:noProof/>
        </w:rPr>
        <w:t>5</w:t>
      </w:r>
      <w:r>
        <w:fldChar w:fldCharType="end"/>
      </w:r>
      <w:r w:rsidR="00FB45A3">
        <w:t xml:space="preserve"> show </w:t>
      </w:r>
      <w:r>
        <w:fldChar w:fldCharType="begin"/>
      </w:r>
      <w:r>
        <w:instrText xml:space="preserve"> REF _Ref485126002 \h </w:instrText>
      </w:r>
      <w:r>
        <w:fldChar w:fldCharType="separate"/>
      </w:r>
      <w:r>
        <w:t xml:space="preserve">Table </w:t>
      </w:r>
      <w:r>
        <w:rPr>
          <w:noProof/>
        </w:rPr>
        <w:t>5</w:t>
      </w:r>
      <w:r>
        <w:noBreakHyphen/>
      </w:r>
      <w:r>
        <w:rPr>
          <w:noProof/>
        </w:rPr>
        <w:t>6</w:t>
      </w:r>
      <w:r>
        <w:fldChar w:fldCharType="end"/>
      </w:r>
      <w:r w:rsidR="00FB45A3">
        <w:t xml:space="preserve"> C&amp;S results for electric and gas compared to the previous study. As mentioned earlier in </w:t>
      </w:r>
      <w:r w:rsidR="00FB45A3">
        <w:fldChar w:fldCharType="begin"/>
      </w:r>
      <w:r w:rsidR="00FB45A3">
        <w:instrText xml:space="preserve"> REF _Ref485126446 \n \h </w:instrText>
      </w:r>
      <w:r w:rsidR="00FB45A3">
        <w:fldChar w:fldCharType="separate"/>
      </w:r>
      <w:r w:rsidR="00FB45A3">
        <w:t>4.1.3</w:t>
      </w:r>
      <w:r w:rsidR="00FB45A3">
        <w:fldChar w:fldCharType="end"/>
      </w:r>
      <w:r w:rsidR="00FB45A3">
        <w:t xml:space="preserve"> savings from C&amp;S are significantly higher than those estimated in the 2015 PG study. The primary reason for increased savings are due to:</w:t>
      </w:r>
    </w:p>
    <w:p w14:paraId="01DB8302" w14:textId="77777777" w:rsidR="00FB45A3" w:rsidRDefault="00FB45A3" w:rsidP="00FB45A3">
      <w:pPr>
        <w:pStyle w:val="CommentText"/>
        <w:numPr>
          <w:ilvl w:val="0"/>
          <w:numId w:val="72"/>
        </w:numPr>
      </w:pPr>
      <w:r>
        <w:t>Evaluated 2013 T24 savings are higher than those unevaluated savings estimated in the 2015 study</w:t>
      </w:r>
    </w:p>
    <w:p w14:paraId="5D3DA6F0" w14:textId="77777777" w:rsidR="00FB45A3" w:rsidRDefault="00FB45A3" w:rsidP="00FB45A3">
      <w:pPr>
        <w:pStyle w:val="CommentText"/>
        <w:numPr>
          <w:ilvl w:val="0"/>
          <w:numId w:val="72"/>
        </w:numPr>
      </w:pPr>
      <w:r>
        <w:t>IOU claims for 2016 Title 24 are higher than those savings estimated in the 2015 study</w:t>
      </w:r>
    </w:p>
    <w:p w14:paraId="213A1C69" w14:textId="77777777" w:rsidR="00FB45A3" w:rsidRDefault="00FB45A3" w:rsidP="00FB45A3">
      <w:pPr>
        <w:pStyle w:val="CommentText"/>
        <w:numPr>
          <w:ilvl w:val="0"/>
          <w:numId w:val="72"/>
        </w:numPr>
      </w:pPr>
      <w:r>
        <w:t>Inclusion of estimates for 2019 T24 in the 2018 study; these were not previously included in the mid case of the 2015 PG study</w:t>
      </w:r>
    </w:p>
    <w:p w14:paraId="4D609CBE" w14:textId="77777777" w:rsidR="00FB45A3" w:rsidRDefault="00FB45A3" w:rsidP="00FB45A3">
      <w:pPr>
        <w:pStyle w:val="CommentText"/>
        <w:numPr>
          <w:ilvl w:val="0"/>
          <w:numId w:val="72"/>
        </w:numPr>
      </w:pPr>
      <w:r>
        <w:t>Additional/updated federal standards claimed by the IOUs not included in the 2015 study</w:t>
      </w:r>
    </w:p>
    <w:p w14:paraId="0D31704C" w14:textId="5FF57891" w:rsidR="00FB45A3" w:rsidRDefault="00FB45A3" w:rsidP="00596050"/>
    <w:p w14:paraId="3030E65D" w14:textId="195E35EC" w:rsidR="00596050" w:rsidRDefault="00596050" w:rsidP="00596050">
      <w:pPr>
        <w:pStyle w:val="Caption"/>
      </w:pPr>
      <w:bookmarkStart w:id="856" w:name="_Ref485126001"/>
      <w:bookmarkStart w:id="857" w:name="_Toc485125697"/>
      <w:r>
        <w:t xml:space="preserve">Table </w:t>
      </w:r>
      <w:r w:rsidR="00272F76">
        <w:fldChar w:fldCharType="begin"/>
      </w:r>
      <w:r w:rsidR="00272F76">
        <w:instrText xml:space="preserve"> STYLEREF 1 \s </w:instrText>
      </w:r>
      <w:r w:rsidR="00272F76">
        <w:fldChar w:fldCharType="separate"/>
      </w:r>
      <w:r w:rsidR="006F57E9">
        <w:rPr>
          <w:noProof/>
        </w:rPr>
        <w:t>5</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6F57E9">
        <w:rPr>
          <w:noProof/>
        </w:rPr>
        <w:t>5</w:t>
      </w:r>
      <w:r w:rsidR="00272F76">
        <w:rPr>
          <w:noProof/>
        </w:rPr>
        <w:fldChar w:fldCharType="end"/>
      </w:r>
      <w:bookmarkEnd w:id="856"/>
      <w:r>
        <w:t>. C&amp;S Program Results Comparison - Electric</w:t>
      </w:r>
      <w:bookmarkEnd w:id="857"/>
    </w:p>
    <w:tbl>
      <w:tblPr>
        <w:tblStyle w:val="EnergyTable6"/>
        <w:tblW w:w="0" w:type="auto"/>
        <w:tblLook w:val="04A0" w:firstRow="1" w:lastRow="0" w:firstColumn="1" w:lastColumn="0" w:noHBand="0" w:noVBand="1"/>
      </w:tblPr>
      <w:tblGrid>
        <w:gridCol w:w="1915"/>
        <w:gridCol w:w="1915"/>
        <w:gridCol w:w="1915"/>
        <w:gridCol w:w="1915"/>
        <w:gridCol w:w="1916"/>
      </w:tblGrid>
      <w:tr w:rsidR="00596050" w:rsidRPr="00E47D2E" w14:paraId="755ED55A" w14:textId="77777777" w:rsidTr="00D61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F02530D" w14:textId="77777777" w:rsidR="00596050" w:rsidRPr="00E47D2E" w:rsidRDefault="00596050" w:rsidP="00D61850">
            <w:pPr>
              <w:rPr>
                <w:rFonts w:ascii="Arial Narrow" w:hAnsi="Arial Narrow"/>
                <w:szCs w:val="20"/>
              </w:rPr>
            </w:pPr>
          </w:p>
        </w:tc>
        <w:tc>
          <w:tcPr>
            <w:tcW w:w="3830" w:type="dxa"/>
            <w:gridSpan w:val="2"/>
          </w:tcPr>
          <w:p w14:paraId="77390EAF" w14:textId="77777777" w:rsidR="00596050" w:rsidRPr="00E47D2E" w:rsidRDefault="00596050"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2018</w:t>
            </w:r>
          </w:p>
        </w:tc>
        <w:tc>
          <w:tcPr>
            <w:tcW w:w="3831" w:type="dxa"/>
            <w:gridSpan w:val="2"/>
          </w:tcPr>
          <w:p w14:paraId="62F53E2B" w14:textId="77777777" w:rsidR="00596050" w:rsidRPr="00E47D2E" w:rsidRDefault="00596050"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2024</w:t>
            </w:r>
          </w:p>
        </w:tc>
      </w:tr>
      <w:tr w:rsidR="00596050" w:rsidRPr="00E47D2E" w14:paraId="7098E751"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22BE6D0" w14:textId="77777777" w:rsidR="00596050" w:rsidRPr="00E47D2E" w:rsidRDefault="00596050" w:rsidP="00D61850">
            <w:pPr>
              <w:rPr>
                <w:rFonts w:ascii="Arial Narrow" w:hAnsi="Arial Narrow"/>
                <w:szCs w:val="20"/>
              </w:rPr>
            </w:pPr>
          </w:p>
        </w:tc>
        <w:tc>
          <w:tcPr>
            <w:tcW w:w="1915" w:type="dxa"/>
          </w:tcPr>
          <w:p w14:paraId="7942A2FC" w14:textId="0BE0495B"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sidR="00BF45AC">
              <w:rPr>
                <w:rFonts w:ascii="Arial Narrow" w:hAnsi="Arial Narrow"/>
                <w:b/>
                <w:szCs w:val="20"/>
              </w:rPr>
              <w:t>GWh</w:t>
            </w:r>
            <w:r w:rsidRPr="00E47D2E">
              <w:rPr>
                <w:rFonts w:ascii="Arial Narrow" w:hAnsi="Arial Narrow"/>
                <w:b/>
                <w:szCs w:val="20"/>
              </w:rPr>
              <w:t>)</w:t>
            </w:r>
          </w:p>
        </w:tc>
        <w:tc>
          <w:tcPr>
            <w:tcW w:w="1915" w:type="dxa"/>
          </w:tcPr>
          <w:p w14:paraId="0C738D32"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c>
          <w:tcPr>
            <w:tcW w:w="1915" w:type="dxa"/>
          </w:tcPr>
          <w:p w14:paraId="47FC5D27" w14:textId="3A16A7B4"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sidR="00BF45AC">
              <w:rPr>
                <w:rFonts w:ascii="Arial Narrow" w:hAnsi="Arial Narrow"/>
                <w:b/>
                <w:szCs w:val="20"/>
              </w:rPr>
              <w:t>GWh</w:t>
            </w:r>
            <w:r w:rsidRPr="00E47D2E">
              <w:rPr>
                <w:rFonts w:ascii="Arial Narrow" w:hAnsi="Arial Narrow"/>
                <w:b/>
                <w:szCs w:val="20"/>
              </w:rPr>
              <w:t>)</w:t>
            </w:r>
          </w:p>
        </w:tc>
        <w:tc>
          <w:tcPr>
            <w:tcW w:w="1916" w:type="dxa"/>
          </w:tcPr>
          <w:p w14:paraId="378E7E88"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r>
      <w:tr w:rsidR="00596050" w:rsidRPr="00E47D2E" w14:paraId="7B76A1F4"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4EF0C4E" w14:textId="05551F47" w:rsidR="00596050" w:rsidRPr="00E47D2E" w:rsidRDefault="00596050" w:rsidP="00596050">
            <w:pPr>
              <w:rPr>
                <w:rFonts w:ascii="Arial Narrow" w:hAnsi="Arial Narrow"/>
                <w:szCs w:val="20"/>
              </w:rPr>
            </w:pPr>
            <w:r w:rsidRPr="00E47D2E">
              <w:rPr>
                <w:rFonts w:ascii="Arial Narrow" w:hAnsi="Arial Narrow"/>
                <w:szCs w:val="20"/>
              </w:rPr>
              <w:t>2015 Study</w:t>
            </w:r>
          </w:p>
        </w:tc>
        <w:tc>
          <w:tcPr>
            <w:tcW w:w="1915" w:type="dxa"/>
          </w:tcPr>
          <w:p w14:paraId="51B7EC2B" w14:textId="507D4A67" w:rsidR="00596050" w:rsidRPr="00E47D2E" w:rsidRDefault="0036699F"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925</w:t>
            </w:r>
          </w:p>
        </w:tc>
        <w:tc>
          <w:tcPr>
            <w:tcW w:w="1915" w:type="dxa"/>
          </w:tcPr>
          <w:p w14:paraId="17EC13AD" w14:textId="77777777" w:rsidR="00596050" w:rsidRPr="00E47D2E" w:rsidRDefault="00596050"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c>
          <w:tcPr>
            <w:tcW w:w="1915" w:type="dxa"/>
          </w:tcPr>
          <w:p w14:paraId="56BB9675" w14:textId="2B7021C9" w:rsidR="00596050" w:rsidRPr="00E47D2E" w:rsidRDefault="0036699F"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543</w:t>
            </w:r>
          </w:p>
        </w:tc>
        <w:tc>
          <w:tcPr>
            <w:tcW w:w="1916" w:type="dxa"/>
          </w:tcPr>
          <w:p w14:paraId="7587F2B3" w14:textId="77777777" w:rsidR="00596050" w:rsidRPr="00E47D2E" w:rsidRDefault="00596050"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r>
      <w:tr w:rsidR="00596050" w:rsidRPr="00E47D2E" w14:paraId="31E808B7"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1300142" w14:textId="60727675" w:rsidR="00596050" w:rsidRPr="00E47D2E" w:rsidRDefault="00596050" w:rsidP="00596050">
            <w:pPr>
              <w:rPr>
                <w:rFonts w:ascii="Arial Narrow" w:hAnsi="Arial Narrow"/>
                <w:szCs w:val="20"/>
              </w:rPr>
            </w:pPr>
            <w:r w:rsidRPr="00E47D2E">
              <w:rPr>
                <w:rFonts w:ascii="Arial Narrow" w:hAnsi="Arial Narrow"/>
                <w:szCs w:val="20"/>
              </w:rPr>
              <w:t>2018 Study</w:t>
            </w:r>
          </w:p>
        </w:tc>
        <w:tc>
          <w:tcPr>
            <w:tcW w:w="1915" w:type="dxa"/>
          </w:tcPr>
          <w:p w14:paraId="79ACFEF0" w14:textId="079A4C3E" w:rsidR="00596050" w:rsidRPr="00E47D2E" w:rsidRDefault="006D3589"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1508</w:t>
            </w:r>
          </w:p>
        </w:tc>
        <w:tc>
          <w:tcPr>
            <w:tcW w:w="1915" w:type="dxa"/>
          </w:tcPr>
          <w:p w14:paraId="7CBD45B4" w14:textId="7044AF40" w:rsidR="00596050" w:rsidRPr="00E47D2E" w:rsidRDefault="007911B6"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+63%</w:t>
            </w:r>
          </w:p>
        </w:tc>
        <w:tc>
          <w:tcPr>
            <w:tcW w:w="1915" w:type="dxa"/>
          </w:tcPr>
          <w:p w14:paraId="042808CC" w14:textId="1462C0CE" w:rsidR="00596050" w:rsidRPr="00E47D2E" w:rsidRDefault="006D3589"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1623</w:t>
            </w:r>
          </w:p>
        </w:tc>
        <w:tc>
          <w:tcPr>
            <w:tcW w:w="1916" w:type="dxa"/>
          </w:tcPr>
          <w:p w14:paraId="0EE63E13" w14:textId="700168BC" w:rsidR="00596050" w:rsidRPr="00E47D2E" w:rsidRDefault="007911B6"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+199%</w:t>
            </w:r>
          </w:p>
        </w:tc>
      </w:tr>
    </w:tbl>
    <w:p w14:paraId="2EF2A3A5" w14:textId="77777777" w:rsidR="00596050" w:rsidRDefault="00596050" w:rsidP="00596050"/>
    <w:p w14:paraId="3460CA83" w14:textId="36A32814" w:rsidR="00596050" w:rsidRDefault="00596050" w:rsidP="00596050">
      <w:pPr>
        <w:pStyle w:val="Caption"/>
      </w:pPr>
      <w:bookmarkStart w:id="858" w:name="_Ref485126002"/>
      <w:bookmarkStart w:id="859" w:name="_Toc485125698"/>
      <w:r>
        <w:t xml:space="preserve">Table </w:t>
      </w:r>
      <w:r w:rsidR="00272F76">
        <w:fldChar w:fldCharType="begin"/>
      </w:r>
      <w:r w:rsidR="00272F76">
        <w:instrText xml:space="preserve"> STYLEREF 1 \s </w:instrText>
      </w:r>
      <w:r w:rsidR="00272F76">
        <w:fldChar w:fldCharType="separate"/>
      </w:r>
      <w:r w:rsidR="006F57E9">
        <w:rPr>
          <w:noProof/>
        </w:rPr>
        <w:t>5</w:t>
      </w:r>
      <w:r w:rsidR="00272F76">
        <w:rPr>
          <w:noProof/>
        </w:rPr>
        <w:fldChar w:fldCharType="end"/>
      </w:r>
      <w:r>
        <w:noBreakHyphen/>
      </w:r>
      <w:r w:rsidR="00272F76">
        <w:fldChar w:fldCharType="begin"/>
      </w:r>
      <w:r w:rsidR="00272F76">
        <w:instrText xml:space="preserve"> SEQ Table \* ARABIC \s 1 </w:instrText>
      </w:r>
      <w:r w:rsidR="00272F76">
        <w:fldChar w:fldCharType="separate"/>
      </w:r>
      <w:r w:rsidR="006F57E9">
        <w:rPr>
          <w:noProof/>
        </w:rPr>
        <w:t>6</w:t>
      </w:r>
      <w:r w:rsidR="00272F76">
        <w:rPr>
          <w:noProof/>
        </w:rPr>
        <w:fldChar w:fldCharType="end"/>
      </w:r>
      <w:bookmarkEnd w:id="858"/>
      <w:r>
        <w:t>. C&amp;S Program Results Comparison - Gas</w:t>
      </w:r>
      <w:bookmarkEnd w:id="859"/>
    </w:p>
    <w:tbl>
      <w:tblPr>
        <w:tblStyle w:val="EnergyTable6"/>
        <w:tblW w:w="0" w:type="auto"/>
        <w:tblLook w:val="04A0" w:firstRow="1" w:lastRow="0" w:firstColumn="1" w:lastColumn="0" w:noHBand="0" w:noVBand="1"/>
      </w:tblPr>
      <w:tblGrid>
        <w:gridCol w:w="1915"/>
        <w:gridCol w:w="1915"/>
        <w:gridCol w:w="1915"/>
        <w:gridCol w:w="1915"/>
        <w:gridCol w:w="1916"/>
      </w:tblGrid>
      <w:tr w:rsidR="00596050" w:rsidRPr="00E47D2E" w14:paraId="28E1F001" w14:textId="77777777" w:rsidTr="00D61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F6EA149" w14:textId="77777777" w:rsidR="00596050" w:rsidRPr="00E47D2E" w:rsidRDefault="00596050" w:rsidP="00D61850">
            <w:pPr>
              <w:rPr>
                <w:rFonts w:ascii="Arial Narrow" w:hAnsi="Arial Narrow"/>
                <w:szCs w:val="20"/>
              </w:rPr>
            </w:pPr>
          </w:p>
        </w:tc>
        <w:tc>
          <w:tcPr>
            <w:tcW w:w="3830" w:type="dxa"/>
            <w:gridSpan w:val="2"/>
          </w:tcPr>
          <w:p w14:paraId="722E3C91" w14:textId="77777777" w:rsidR="00596050" w:rsidRPr="00E47D2E" w:rsidRDefault="00596050"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2018</w:t>
            </w:r>
          </w:p>
        </w:tc>
        <w:tc>
          <w:tcPr>
            <w:tcW w:w="3831" w:type="dxa"/>
            <w:gridSpan w:val="2"/>
          </w:tcPr>
          <w:p w14:paraId="72D678B7" w14:textId="77777777" w:rsidR="00596050" w:rsidRPr="00E47D2E" w:rsidRDefault="00596050" w:rsidP="00D61850">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E47D2E">
              <w:rPr>
                <w:rFonts w:ascii="Arial Narrow" w:hAnsi="Arial Narrow"/>
                <w:szCs w:val="20"/>
              </w:rPr>
              <w:t>2024</w:t>
            </w:r>
          </w:p>
        </w:tc>
      </w:tr>
      <w:tr w:rsidR="00596050" w:rsidRPr="00E47D2E" w14:paraId="4D3E6604"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EC12303" w14:textId="77777777" w:rsidR="00596050" w:rsidRPr="00E47D2E" w:rsidRDefault="00596050" w:rsidP="00D61850">
            <w:pPr>
              <w:rPr>
                <w:rFonts w:ascii="Arial Narrow" w:hAnsi="Arial Narrow"/>
                <w:szCs w:val="20"/>
              </w:rPr>
            </w:pPr>
          </w:p>
        </w:tc>
        <w:tc>
          <w:tcPr>
            <w:tcW w:w="1915" w:type="dxa"/>
          </w:tcPr>
          <w:p w14:paraId="52692353" w14:textId="5B3C77BB"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sidR="00BF45AC">
              <w:rPr>
                <w:rFonts w:ascii="Arial Narrow" w:hAnsi="Arial Narrow"/>
                <w:b/>
                <w:szCs w:val="20"/>
              </w:rPr>
              <w:t>MMtherms</w:t>
            </w:r>
            <w:r w:rsidRPr="00E47D2E">
              <w:rPr>
                <w:rFonts w:ascii="Arial Narrow" w:hAnsi="Arial Narrow"/>
                <w:b/>
                <w:szCs w:val="20"/>
              </w:rPr>
              <w:t>)</w:t>
            </w:r>
          </w:p>
        </w:tc>
        <w:tc>
          <w:tcPr>
            <w:tcW w:w="1915" w:type="dxa"/>
          </w:tcPr>
          <w:p w14:paraId="267CFD19"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c>
          <w:tcPr>
            <w:tcW w:w="1915" w:type="dxa"/>
          </w:tcPr>
          <w:p w14:paraId="240668AC" w14:textId="73471B2D"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E47D2E">
              <w:rPr>
                <w:rFonts w:ascii="Arial Narrow" w:hAnsi="Arial Narrow"/>
                <w:b/>
                <w:szCs w:val="20"/>
              </w:rPr>
              <w:t>Market Potential (</w:t>
            </w:r>
            <w:r w:rsidR="00BF45AC">
              <w:rPr>
                <w:rFonts w:ascii="Arial Narrow" w:hAnsi="Arial Narrow"/>
                <w:b/>
                <w:szCs w:val="20"/>
              </w:rPr>
              <w:t>MMtherms</w:t>
            </w:r>
            <w:r w:rsidRPr="00E47D2E">
              <w:rPr>
                <w:rFonts w:ascii="Arial Narrow" w:hAnsi="Arial Narrow"/>
                <w:b/>
                <w:szCs w:val="20"/>
              </w:rPr>
              <w:t>)</w:t>
            </w:r>
          </w:p>
        </w:tc>
        <w:tc>
          <w:tcPr>
            <w:tcW w:w="1916" w:type="dxa"/>
          </w:tcPr>
          <w:p w14:paraId="24EA57FE" w14:textId="77777777" w:rsidR="00596050" w:rsidRPr="00E47D2E" w:rsidRDefault="00596050" w:rsidP="00D61850">
            <w:pPr>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Pr>
                <w:rFonts w:ascii="Arial Narrow" w:hAnsi="Arial Narrow"/>
                <w:b/>
                <w:szCs w:val="20"/>
              </w:rPr>
              <w:t>Percent D</w:t>
            </w:r>
            <w:r w:rsidRPr="00E47D2E">
              <w:rPr>
                <w:rFonts w:ascii="Arial Narrow" w:hAnsi="Arial Narrow"/>
                <w:b/>
                <w:szCs w:val="20"/>
              </w:rPr>
              <w:t xml:space="preserve">ifference </w:t>
            </w:r>
            <w:r>
              <w:rPr>
                <w:rFonts w:ascii="Arial Narrow" w:hAnsi="Arial Narrow"/>
                <w:b/>
                <w:szCs w:val="20"/>
              </w:rPr>
              <w:t>R</w:t>
            </w:r>
            <w:r w:rsidRPr="00E47D2E">
              <w:rPr>
                <w:rFonts w:ascii="Arial Narrow" w:hAnsi="Arial Narrow"/>
                <w:b/>
                <w:szCs w:val="20"/>
              </w:rPr>
              <w:t>elative to 2015 study</w:t>
            </w:r>
          </w:p>
        </w:tc>
      </w:tr>
      <w:tr w:rsidR="00596050" w:rsidRPr="00E47D2E" w14:paraId="471BB862" w14:textId="77777777" w:rsidTr="00D61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DDC90E0" w14:textId="762FC692" w:rsidR="00596050" w:rsidRPr="00E47D2E" w:rsidRDefault="00596050" w:rsidP="00596050">
            <w:pPr>
              <w:rPr>
                <w:rFonts w:ascii="Arial Narrow" w:hAnsi="Arial Narrow"/>
                <w:szCs w:val="20"/>
              </w:rPr>
            </w:pPr>
            <w:r w:rsidRPr="00E47D2E">
              <w:rPr>
                <w:rFonts w:ascii="Arial Narrow" w:hAnsi="Arial Narrow"/>
                <w:szCs w:val="20"/>
              </w:rPr>
              <w:t>2015 Study</w:t>
            </w:r>
          </w:p>
        </w:tc>
        <w:tc>
          <w:tcPr>
            <w:tcW w:w="1915" w:type="dxa"/>
          </w:tcPr>
          <w:p w14:paraId="41AED105" w14:textId="447B7D2D" w:rsidR="00596050" w:rsidRPr="00E47D2E" w:rsidRDefault="00BB1768"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16.7</w:t>
            </w:r>
          </w:p>
        </w:tc>
        <w:tc>
          <w:tcPr>
            <w:tcW w:w="1915" w:type="dxa"/>
          </w:tcPr>
          <w:p w14:paraId="6A95792B" w14:textId="77777777" w:rsidR="00596050" w:rsidRPr="00E47D2E" w:rsidRDefault="00596050"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c>
          <w:tcPr>
            <w:tcW w:w="1915" w:type="dxa"/>
          </w:tcPr>
          <w:p w14:paraId="035643FC" w14:textId="0299C7CB" w:rsidR="00596050" w:rsidRPr="00E47D2E" w:rsidRDefault="00BB1768"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14.5</w:t>
            </w:r>
          </w:p>
        </w:tc>
        <w:tc>
          <w:tcPr>
            <w:tcW w:w="1916" w:type="dxa"/>
          </w:tcPr>
          <w:p w14:paraId="1F7ADA77" w14:textId="77777777" w:rsidR="00596050" w:rsidRPr="00E47D2E" w:rsidRDefault="00596050" w:rsidP="00596050">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t>
            </w:r>
          </w:p>
        </w:tc>
      </w:tr>
      <w:tr w:rsidR="00596050" w:rsidRPr="00E47D2E" w14:paraId="79C10F21" w14:textId="77777777" w:rsidTr="00D6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D7D6770" w14:textId="6EC7100B" w:rsidR="00596050" w:rsidRPr="00E47D2E" w:rsidRDefault="00596050" w:rsidP="00596050">
            <w:pPr>
              <w:rPr>
                <w:rFonts w:ascii="Arial Narrow" w:hAnsi="Arial Narrow"/>
                <w:szCs w:val="20"/>
              </w:rPr>
            </w:pPr>
            <w:r w:rsidRPr="00E47D2E">
              <w:rPr>
                <w:rFonts w:ascii="Arial Narrow" w:hAnsi="Arial Narrow"/>
                <w:szCs w:val="20"/>
              </w:rPr>
              <w:t>2018 Study</w:t>
            </w:r>
          </w:p>
        </w:tc>
        <w:tc>
          <w:tcPr>
            <w:tcW w:w="1915" w:type="dxa"/>
          </w:tcPr>
          <w:p w14:paraId="1EF5F361" w14:textId="11D45697" w:rsidR="00596050" w:rsidRPr="00E47D2E" w:rsidRDefault="006D3589"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36</w:t>
            </w:r>
            <w:r w:rsidR="00BB1768">
              <w:rPr>
                <w:rFonts w:ascii="Arial Narrow" w:hAnsi="Arial Narrow"/>
                <w:szCs w:val="20"/>
              </w:rPr>
              <w:t>.3</w:t>
            </w:r>
          </w:p>
        </w:tc>
        <w:tc>
          <w:tcPr>
            <w:tcW w:w="1915" w:type="dxa"/>
          </w:tcPr>
          <w:p w14:paraId="5C8692D9" w14:textId="350DD95F" w:rsidR="00596050" w:rsidRPr="00E47D2E" w:rsidRDefault="00BB1768"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118</w:t>
            </w:r>
            <w:r w:rsidR="007911B6">
              <w:rPr>
                <w:rFonts w:ascii="Arial Narrow" w:hAnsi="Arial Narrow"/>
                <w:szCs w:val="20"/>
              </w:rPr>
              <w:t>%</w:t>
            </w:r>
          </w:p>
        </w:tc>
        <w:tc>
          <w:tcPr>
            <w:tcW w:w="1915" w:type="dxa"/>
          </w:tcPr>
          <w:p w14:paraId="31BC7B08" w14:textId="53DC8B8D" w:rsidR="00596050" w:rsidRPr="00E47D2E" w:rsidRDefault="00BB1768"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54.7</w:t>
            </w:r>
          </w:p>
        </w:tc>
        <w:tc>
          <w:tcPr>
            <w:tcW w:w="1916" w:type="dxa"/>
          </w:tcPr>
          <w:p w14:paraId="26C8A079" w14:textId="51350A04" w:rsidR="00596050" w:rsidRPr="00E47D2E" w:rsidRDefault="00BB1768" w:rsidP="00596050">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27</w:t>
            </w:r>
            <w:r w:rsidR="007911B6">
              <w:rPr>
                <w:rFonts w:ascii="Arial Narrow" w:hAnsi="Arial Narrow"/>
                <w:szCs w:val="20"/>
              </w:rPr>
              <w:t>7%</w:t>
            </w:r>
          </w:p>
        </w:tc>
      </w:tr>
    </w:tbl>
    <w:p w14:paraId="4555AB9D" w14:textId="77777777" w:rsidR="00596050" w:rsidRDefault="00596050" w:rsidP="00596050"/>
    <w:p w14:paraId="116FD157" w14:textId="77777777" w:rsidR="00596050" w:rsidRDefault="00596050" w:rsidP="007E4D11">
      <w:pPr>
        <w:sectPr w:rsidR="00596050" w:rsidSect="00146A54">
          <w:pgSz w:w="12240" w:h="15840" w:code="1"/>
          <w:pgMar w:top="1440" w:right="1440" w:bottom="1440" w:left="1440" w:header="720" w:footer="720" w:gutter="0"/>
          <w:cols w:space="720"/>
          <w:docGrid w:linePitch="360"/>
        </w:sectPr>
      </w:pPr>
    </w:p>
    <w:p w14:paraId="3390F806" w14:textId="77777777" w:rsidR="00DB788B" w:rsidRPr="00DA7405" w:rsidRDefault="00E97BD7" w:rsidP="001D4FF7">
      <w:pPr>
        <w:pStyle w:val="Heading5"/>
      </w:pPr>
      <w:bookmarkStart w:id="860" w:name="_Ref477255194"/>
      <w:bookmarkStart w:id="861" w:name="_Toc478990531"/>
      <w:bookmarkStart w:id="862" w:name="_Toc479768609"/>
      <w:bookmarkStart w:id="863" w:name="_Toc482357333"/>
      <w:bookmarkStart w:id="864" w:name="_Toc482634308"/>
      <w:bookmarkStart w:id="865" w:name="_Toc482626440"/>
      <w:bookmarkStart w:id="866" w:name="_Toc484092515"/>
      <w:bookmarkStart w:id="867" w:name="_Toc484172721"/>
      <w:bookmarkStart w:id="868" w:name="_Toc484183057"/>
      <w:bookmarkStart w:id="869" w:name="_Toc485126578"/>
      <w:r>
        <w:lastRenderedPageBreak/>
        <w:t>Calibration</w:t>
      </w:r>
      <w:bookmarkEnd w:id="860"/>
      <w:bookmarkEnd w:id="861"/>
      <w:bookmarkEnd w:id="862"/>
      <w:bookmarkEnd w:id="863"/>
      <w:bookmarkEnd w:id="864"/>
      <w:bookmarkEnd w:id="865"/>
      <w:bookmarkEnd w:id="866"/>
      <w:bookmarkEnd w:id="867"/>
      <w:bookmarkEnd w:id="868"/>
      <w:bookmarkEnd w:id="869"/>
    </w:p>
    <w:p w14:paraId="5B87C0CA" w14:textId="77777777" w:rsidR="00053BD2" w:rsidRPr="00DA7405" w:rsidRDefault="00E97BD7" w:rsidP="005D56D0">
      <w:pPr>
        <w:pStyle w:val="Heading6"/>
      </w:pPr>
      <w:bookmarkStart w:id="870" w:name="_Toc478990532"/>
      <w:bookmarkStart w:id="871" w:name="_Toc479768610"/>
      <w:bookmarkStart w:id="872" w:name="_Toc482357334"/>
      <w:bookmarkStart w:id="873" w:name="_Toc482634309"/>
      <w:bookmarkStart w:id="874" w:name="_Toc482626441"/>
      <w:bookmarkStart w:id="875" w:name="_Toc484092516"/>
      <w:bookmarkStart w:id="876" w:name="_Toc484172722"/>
      <w:bookmarkStart w:id="877" w:name="_Toc484183058"/>
      <w:bookmarkStart w:id="878" w:name="_Toc485126579"/>
      <w:r>
        <w:t>Overview</w:t>
      </w:r>
      <w:bookmarkEnd w:id="870"/>
      <w:bookmarkEnd w:id="871"/>
      <w:bookmarkEnd w:id="872"/>
      <w:bookmarkEnd w:id="873"/>
      <w:bookmarkEnd w:id="874"/>
      <w:bookmarkEnd w:id="875"/>
      <w:bookmarkEnd w:id="876"/>
      <w:bookmarkEnd w:id="877"/>
      <w:bookmarkEnd w:id="878"/>
    </w:p>
    <w:p w14:paraId="01FBF195" w14:textId="77777777" w:rsidR="00E97BD7" w:rsidRPr="004F0469" w:rsidRDefault="00E97BD7" w:rsidP="00E97BD7">
      <w:r w:rsidRPr="004F0469">
        <w:t>Forecasting is the inherently uncertain process of estimating future outcomes by applying a model to historic and current observations. As with all forecasts, the PG model results cannot be empirically validated a priori, as there is no future basis against which one can compare simulated versus actual results. Despite that all future estimates are untestable at the time they are made, forecasts can still warrant confidence when historic observations can be shown to reliably correspond with generally accepted theory and models.</w:t>
      </w:r>
    </w:p>
    <w:p w14:paraId="396F9FB2" w14:textId="77777777" w:rsidR="00E97BD7" w:rsidRPr="004F0469" w:rsidRDefault="00E97BD7" w:rsidP="00E97BD7"/>
    <w:p w14:paraId="0A4E3CD9" w14:textId="77777777" w:rsidR="00E97BD7" w:rsidRPr="004F0469" w:rsidRDefault="00E97BD7" w:rsidP="00E97BD7">
      <w:r w:rsidRPr="004F0469">
        <w:t>Calibration provides both the forecaster and stakeholders with a degree of confidence that simulated results are reasonable and reliable. Calibration is intended to achieve three main purposes:</w:t>
      </w:r>
    </w:p>
    <w:p w14:paraId="7680F864" w14:textId="77777777" w:rsidR="00E97BD7" w:rsidRPr="004F0469" w:rsidRDefault="00E97BD7" w:rsidP="004E4E36">
      <w:pPr>
        <w:pStyle w:val="ListParagraph"/>
        <w:numPr>
          <w:ilvl w:val="0"/>
          <w:numId w:val="16"/>
        </w:numPr>
      </w:pPr>
      <w:r w:rsidRPr="004F0469">
        <w:t>Ground the model in actual market conditions and ensure the model reproduces historic program achievements;</w:t>
      </w:r>
    </w:p>
    <w:p w14:paraId="4CC610EF" w14:textId="77777777" w:rsidR="00E97BD7" w:rsidRPr="004F0469" w:rsidRDefault="00E97BD7" w:rsidP="004E4E36">
      <w:pPr>
        <w:pStyle w:val="ListParagraph"/>
        <w:numPr>
          <w:ilvl w:val="0"/>
          <w:numId w:val="16"/>
        </w:numPr>
      </w:pPr>
      <w:r w:rsidRPr="004F0469">
        <w:t>Ensure a realistic starting point from which future projects are made; and</w:t>
      </w:r>
    </w:p>
    <w:p w14:paraId="65847D5C" w14:textId="77777777" w:rsidR="00E97BD7" w:rsidRPr="004F0469" w:rsidRDefault="00E97BD7" w:rsidP="004E4E36">
      <w:pPr>
        <w:pStyle w:val="ListParagraph"/>
        <w:numPr>
          <w:ilvl w:val="0"/>
          <w:numId w:val="16"/>
        </w:numPr>
      </w:pPr>
      <w:r w:rsidRPr="004F0469">
        <w:t xml:space="preserve">Account for varying levels of market barriers across different types of technologies and end uses. </w:t>
      </w:r>
    </w:p>
    <w:p w14:paraId="26CA18C7" w14:textId="77777777" w:rsidR="00E97BD7" w:rsidRPr="008B4CCB" w:rsidRDefault="00E97BD7" w:rsidP="00E97BD7">
      <w:pPr>
        <w:rPr>
          <w:highlight w:val="yellow"/>
        </w:rPr>
      </w:pPr>
    </w:p>
    <w:p w14:paraId="3225426A" w14:textId="77777777" w:rsidR="00E97BD7" w:rsidRPr="00ED04DD" w:rsidRDefault="00E97BD7" w:rsidP="00E97BD7">
      <w:r w:rsidRPr="00ED04DD">
        <w:t xml:space="preserve">The PG model is calibrated by reviewing </w:t>
      </w:r>
      <w:r w:rsidR="007E4DED" w:rsidRPr="00ED04DD">
        <w:t>historic program data from 2013 to 2015</w:t>
      </w:r>
      <w:r w:rsidRPr="00ED04DD">
        <w:t xml:space="preserve"> to assess how the market has reacted to program offerings in the past. The Navigant team used </w:t>
      </w:r>
      <w:r w:rsidR="007E4DED" w:rsidRPr="00ED04DD">
        <w:t xml:space="preserve">2013-2015 IOU-reported spending </w:t>
      </w:r>
      <w:r w:rsidR="007E4DED">
        <w:t xml:space="preserve">and savings </w:t>
      </w:r>
      <w:r w:rsidR="007E4DED" w:rsidRPr="00ED04DD">
        <w:t xml:space="preserve">data </w:t>
      </w:r>
      <w:r w:rsidRPr="00ED04DD">
        <w:t>as the calibration data</w:t>
      </w:r>
      <w:r w:rsidR="007E4DED" w:rsidRPr="00ED04DD">
        <w:t>.</w:t>
      </w:r>
    </w:p>
    <w:p w14:paraId="5A71B838" w14:textId="77777777" w:rsidR="00E97BD7" w:rsidRPr="008B4CCB" w:rsidRDefault="00E97BD7" w:rsidP="00E97BD7">
      <w:pPr>
        <w:rPr>
          <w:highlight w:val="yellow"/>
        </w:rPr>
      </w:pPr>
    </w:p>
    <w:p w14:paraId="57B522C5" w14:textId="77777777" w:rsidR="00E97BD7" w:rsidRPr="00ED04DD" w:rsidRDefault="00E97BD7" w:rsidP="00E97BD7">
      <w:r w:rsidRPr="00ED04DD">
        <w:t xml:space="preserve">The calibration data are used to inform the appropriate values for the customer willingness and awareness parameters that drive measure adoption during the model time horizon. These parameters are then considered to account for the range of factors—technological, economic, market, and program factors— that contribute to historic program achievements. This includes consumers’ awareness of programs and their willingness to participate in them. </w:t>
      </w:r>
    </w:p>
    <w:p w14:paraId="5B03C505" w14:textId="77777777" w:rsidR="00E97BD7" w:rsidRPr="008B4CCB" w:rsidRDefault="00E97BD7" w:rsidP="00E97BD7">
      <w:pPr>
        <w:rPr>
          <w:highlight w:val="yellow"/>
        </w:rPr>
      </w:pPr>
    </w:p>
    <w:p w14:paraId="3AAA2869" w14:textId="77777777" w:rsidR="002744EA" w:rsidRPr="00ED04DD" w:rsidRDefault="00E97BD7" w:rsidP="00E97BD7">
      <w:r w:rsidRPr="00ED04DD">
        <w:t xml:space="preserve">This calibration method (a) tracks what measures have been installed or planned for installation over an historic </w:t>
      </w:r>
      <w:r w:rsidR="007E4DED" w:rsidRPr="00ED04DD">
        <w:t xml:space="preserve">three-year </w:t>
      </w:r>
      <w:r w:rsidRPr="00ED04DD">
        <w:t xml:space="preserve">period and (b) forecasts how remaining stocks of equipment will be upgraded, including the influence of various factors such as new codes and standards, or new delivery mechanisms. </w:t>
      </w:r>
    </w:p>
    <w:p w14:paraId="2CDD0496" w14:textId="77777777" w:rsidR="003E6937" w:rsidRPr="00ED04DD" w:rsidRDefault="003E6937" w:rsidP="003E6937">
      <w:pPr>
        <w:pStyle w:val="Heading6"/>
      </w:pPr>
      <w:bookmarkStart w:id="879" w:name="_Toc478990533"/>
      <w:bookmarkStart w:id="880" w:name="_Toc479768611"/>
      <w:bookmarkStart w:id="881" w:name="_Toc482357335"/>
      <w:bookmarkStart w:id="882" w:name="_Toc482634310"/>
      <w:bookmarkStart w:id="883" w:name="_Toc482626442"/>
      <w:bookmarkStart w:id="884" w:name="_Toc484092517"/>
      <w:bookmarkStart w:id="885" w:name="_Toc484172723"/>
      <w:bookmarkStart w:id="886" w:name="_Toc484183059"/>
      <w:bookmarkStart w:id="887" w:name="_Toc485126580"/>
      <w:r w:rsidRPr="00ED04DD">
        <w:t>Necessity of Calibration</w:t>
      </w:r>
      <w:bookmarkEnd w:id="879"/>
      <w:bookmarkEnd w:id="880"/>
      <w:bookmarkEnd w:id="881"/>
      <w:bookmarkEnd w:id="882"/>
      <w:bookmarkEnd w:id="883"/>
      <w:bookmarkEnd w:id="884"/>
      <w:bookmarkEnd w:id="885"/>
      <w:bookmarkEnd w:id="886"/>
      <w:bookmarkEnd w:id="887"/>
    </w:p>
    <w:p w14:paraId="3605AA10" w14:textId="77777777" w:rsidR="003E6937" w:rsidRPr="00ED04DD" w:rsidRDefault="003E6937" w:rsidP="003E6937">
      <w:r w:rsidRPr="00ED04DD">
        <w:t xml:space="preserve">Calibration refers to the standard process of adjusting model parameters such that model results align with observed data. In evaluative statistical models, calibration is called regression, and goodness of fit is typically the main focus since the models are usually simple. In situations of complex dynamics and non-linearity (as in this study), model sophistication and adequacy can become the main focus. But grounding the model in observation remains equally necessary. The ability of a forecast to reasonably simulate observed data affords credibility and confidence to forecast estimates. </w:t>
      </w:r>
    </w:p>
    <w:p w14:paraId="1259EACD" w14:textId="77777777" w:rsidR="003E6937" w:rsidRPr="008B4CCB" w:rsidRDefault="003E6937" w:rsidP="003E6937">
      <w:pPr>
        <w:rPr>
          <w:highlight w:val="yellow"/>
        </w:rPr>
      </w:pPr>
    </w:p>
    <w:p w14:paraId="1E917CC9" w14:textId="77777777" w:rsidR="003E6937" w:rsidRPr="00ED04DD" w:rsidRDefault="003E6937" w:rsidP="003E6937">
      <w:r w:rsidRPr="00ED04DD">
        <w:t xml:space="preserve">Although there are data supporting all underlying parameters in the PG model, much of the data are at an aggregate level that can be inadequate to forecast differences across the various classes of technologies and end uses. The customer willingness-to-adopt factor is a good example of this effect. Customers may </w:t>
      </w:r>
      <w:r w:rsidRPr="00ED04DD">
        <w:lastRenderedPageBreak/>
        <w:t>exhibit certain average purchase tendencies in adopting measures based on their financial characteristics. Nevertheless, there may be features of certain end use technologies that cause customer behavior to vary from the average. Residential building envelope is an end use where adoption of measures like insulation is consistently lower than would be predicted compared with other end uses. Residential lighting adoption, on the other hand, performs better than the average predicted customer purchase tendencies, even after adjusting for differences in financial attractiveness. We often think of these differences as the influence of non-financial product attributes or of market barriers.</w:t>
      </w:r>
    </w:p>
    <w:p w14:paraId="4E6CFB58" w14:textId="77777777" w:rsidR="003E6937" w:rsidRPr="008B4CCB" w:rsidRDefault="003E6937" w:rsidP="003E6937">
      <w:pPr>
        <w:rPr>
          <w:highlight w:val="yellow"/>
        </w:rPr>
      </w:pPr>
    </w:p>
    <w:p w14:paraId="45F32E05" w14:textId="77777777" w:rsidR="003E6937" w:rsidRPr="00ED04DD" w:rsidRDefault="00ED04DD" w:rsidP="003E6937">
      <w:r>
        <w:t xml:space="preserve">Figure A-1 </w:t>
      </w:r>
      <w:r w:rsidR="003E6937" w:rsidRPr="00ED04DD">
        <w:t>below illustrates the concept of calibration. The chart on the left shows how certain end uses may over predict (</w:t>
      </w:r>
      <w:r>
        <w:t>blue</w:t>
      </w:r>
      <w:r w:rsidR="003E6937" w:rsidRPr="00ED04DD">
        <w:t>) or under predict (</w:t>
      </w:r>
      <w:r>
        <w:t>green</w:t>
      </w:r>
      <w:r w:rsidR="003E6937" w:rsidRPr="00ED04DD">
        <w:t xml:space="preserve">) adoption compared to observations of program participation. By adjusting </w:t>
      </w:r>
      <w:r w:rsidR="00EB58CC">
        <w:t>the calibration levers</w:t>
      </w:r>
      <w:r w:rsidR="003E6937" w:rsidRPr="00ED04DD">
        <w:t>, as illustrated in the right chart below, the modeled results in past years become aligned with reported historical program achievements.</w:t>
      </w:r>
    </w:p>
    <w:p w14:paraId="1D39417F" w14:textId="77777777" w:rsidR="003E6937" w:rsidRPr="008B4CCB" w:rsidRDefault="003E6937" w:rsidP="003E6937">
      <w:pPr>
        <w:pStyle w:val="Caption"/>
        <w:rPr>
          <w:highlight w:val="yellow"/>
        </w:rPr>
      </w:pPr>
    </w:p>
    <w:p w14:paraId="38926A25" w14:textId="77777777" w:rsidR="00FC3873" w:rsidRPr="00323BFA" w:rsidRDefault="00FC3873" w:rsidP="00FC3873">
      <w:pPr>
        <w:pStyle w:val="Caption"/>
      </w:pPr>
      <w:bookmarkStart w:id="888" w:name="_Toc482634240"/>
      <w:bookmarkStart w:id="889" w:name="_Toc484436991"/>
      <w:bookmarkStart w:id="890" w:name="_Toc485125548"/>
      <w:r w:rsidRPr="00323BFA">
        <w:t xml:space="preserve">Figure </w:t>
      </w:r>
      <w:r w:rsidR="00272F76">
        <w:fldChar w:fldCharType="begin"/>
      </w:r>
      <w:r w:rsidR="00272F76">
        <w:instrText xml:space="preserve"> STYLEREF 5 \s </w:instrText>
      </w:r>
      <w:r w:rsidR="00272F76">
        <w:fldChar w:fldCharType="separate"/>
      </w:r>
      <w:r w:rsidR="00C407F4">
        <w:rPr>
          <w:noProof/>
        </w:rPr>
        <w:t>A</w:t>
      </w:r>
      <w:r w:rsidR="00272F76">
        <w:rPr>
          <w:noProof/>
        </w:rPr>
        <w:fldChar w:fldCharType="end"/>
      </w:r>
      <w:r w:rsidRPr="00323BFA">
        <w:noBreakHyphen/>
      </w:r>
      <w:r w:rsidR="00272F76">
        <w:fldChar w:fldCharType="begin"/>
      </w:r>
      <w:r w:rsidR="00272F76">
        <w:instrText xml:space="preserve"> SEQ Figure_Apx \</w:instrText>
      </w:r>
      <w:r w:rsidR="00272F76">
        <w:instrText xml:space="preserve">* ARABIC \s 5 </w:instrText>
      </w:r>
      <w:r w:rsidR="00272F76">
        <w:fldChar w:fldCharType="separate"/>
      </w:r>
      <w:r w:rsidR="00C407F4">
        <w:rPr>
          <w:noProof/>
        </w:rPr>
        <w:t>1</w:t>
      </w:r>
      <w:r w:rsidR="00272F76">
        <w:rPr>
          <w:noProof/>
        </w:rPr>
        <w:fldChar w:fldCharType="end"/>
      </w:r>
      <w:r w:rsidRPr="00323BFA">
        <w:t>. The Concept of Calibrating</w:t>
      </w:r>
      <w:bookmarkEnd w:id="888"/>
      <w:bookmarkEnd w:id="889"/>
      <w:bookmarkEnd w:id="890"/>
    </w:p>
    <w:p w14:paraId="63FEF271" w14:textId="77777777" w:rsidR="00FC3873" w:rsidRPr="008B4CCB" w:rsidRDefault="00ED04DD" w:rsidP="00FC3873">
      <w:pPr>
        <w:keepNext/>
        <w:jc w:val="center"/>
        <w:rPr>
          <w:highlight w:val="yellow"/>
        </w:rPr>
      </w:pPr>
      <w:r w:rsidRPr="00ED04DD">
        <w:rPr>
          <w:noProof/>
        </w:rPr>
        <w:drawing>
          <wp:inline distT="0" distB="0" distL="0" distR="0" wp14:anchorId="40339F39" wp14:editId="17703530">
            <wp:extent cx="5919024" cy="230060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940" r="1229"/>
                    <a:stretch/>
                  </pic:blipFill>
                  <pic:spPr bwMode="auto">
                    <a:xfrm>
                      <a:off x="0" y="0"/>
                      <a:ext cx="5954248" cy="2314294"/>
                    </a:xfrm>
                    <a:prstGeom prst="rect">
                      <a:avLst/>
                    </a:prstGeom>
                    <a:noFill/>
                    <a:ln>
                      <a:noFill/>
                    </a:ln>
                    <a:extLst>
                      <a:ext uri="{53640926-AAD7-44D8-BBD7-CCE9431645EC}">
                        <a14:shadowObscured xmlns:a14="http://schemas.microsoft.com/office/drawing/2010/main"/>
                      </a:ext>
                    </a:extLst>
                  </pic:spPr>
                </pic:pic>
              </a:graphicData>
            </a:graphic>
          </wp:inline>
        </w:drawing>
      </w:r>
    </w:p>
    <w:p w14:paraId="46A7D38F" w14:textId="77777777" w:rsidR="00FC3873" w:rsidRPr="00323BFA" w:rsidRDefault="00FC3873" w:rsidP="00FC3873"/>
    <w:p w14:paraId="2F6BEE1D" w14:textId="77777777" w:rsidR="00FC3873" w:rsidRPr="00323BFA" w:rsidRDefault="00FC3873" w:rsidP="00FC3873">
      <w:r w:rsidRPr="00323BFA">
        <w:t>Note that model parameters and results may be increased or decreased depending on the end use.  We do not “calibrate down” on aggregate, but rather just “calibrate” the end uses both up and down as appropriate based on the data, as shown in the chart on the right above.</w:t>
      </w:r>
    </w:p>
    <w:p w14:paraId="5A9AAE38" w14:textId="77777777" w:rsidR="00FC3873" w:rsidRPr="008B4CCB" w:rsidRDefault="00FC3873" w:rsidP="00FC3873">
      <w:pPr>
        <w:rPr>
          <w:highlight w:val="yellow"/>
        </w:rPr>
      </w:pPr>
    </w:p>
    <w:p w14:paraId="7B1A7275" w14:textId="77777777" w:rsidR="00FC3873" w:rsidRPr="00323BFA" w:rsidRDefault="00FC3873" w:rsidP="00FC3873">
      <w:r w:rsidRPr="00323BFA">
        <w:t>Calibration is not an optional exercise in modeling. One might suggest that the average customer data should be sufficient to make a reliable aggregated forecast. Nevertheless, there are two important non-linearities that compel us toward a more granular parameterization:</w:t>
      </w:r>
    </w:p>
    <w:p w14:paraId="40A5E3B9" w14:textId="77777777" w:rsidR="00FC3873" w:rsidRPr="00323BFA" w:rsidRDefault="00FC3873" w:rsidP="004E4E36">
      <w:pPr>
        <w:pStyle w:val="ListParagraph"/>
        <w:numPr>
          <w:ilvl w:val="0"/>
          <w:numId w:val="17"/>
        </w:numPr>
      </w:pPr>
      <w:r w:rsidRPr="00323BFA">
        <w:t>Program portfolios are not evenly composed across end-uses. This leads to an uneven weighting issue whereby average customer willingness</w:t>
      </w:r>
      <w:r w:rsidR="00EB58CC" w:rsidRPr="00323BFA">
        <w:t xml:space="preserve"> and awareness</w:t>
      </w:r>
      <w:r w:rsidRPr="00323BFA">
        <w:t xml:space="preserve"> may not lead to the correct calculation of total savings</w:t>
      </w:r>
      <w:r w:rsidR="00EB58CC" w:rsidRPr="00323BFA">
        <w:t xml:space="preserve"> and costs</w:t>
      </w:r>
      <w:r w:rsidRPr="00323BFA">
        <w:t xml:space="preserve">. </w:t>
      </w:r>
    </w:p>
    <w:p w14:paraId="371DF55E" w14:textId="77777777" w:rsidR="0088306C" w:rsidRPr="00EB58CC" w:rsidRDefault="00FC3873" w:rsidP="004E4E36">
      <w:pPr>
        <w:pStyle w:val="ListParagraph"/>
        <w:numPr>
          <w:ilvl w:val="0"/>
          <w:numId w:val="17"/>
        </w:numPr>
      </w:pPr>
      <w:r w:rsidRPr="00323BFA">
        <w:t xml:space="preserve">The dynamics in the model regarding the timing of adoption can become incompatible with the remaining potential indicated by program achievements. For example, if the forecast results were not calibrated for CFL lighting in the residential sector, the saturation may remain inaccurately low in early years and indicate a larger remaining potential in future years. Thus calibrating upward may increase potential in the early years but decrease potential in later years. This implies that in the absence of IOU program intervention, residential CFLs would have historically had much </w:t>
      </w:r>
      <w:r w:rsidRPr="00323BFA">
        <w:lastRenderedPageBreak/>
        <w:t>lower adoption. Calibration therefore allows us to capture these program influences to more accurately reflect remaining potential.</w:t>
      </w:r>
    </w:p>
    <w:p w14:paraId="135AE3BA" w14:textId="77777777" w:rsidR="0088306C" w:rsidRPr="004F0469" w:rsidRDefault="0088306C" w:rsidP="004F0469">
      <w:pPr>
        <w:ind w:left="360"/>
      </w:pPr>
    </w:p>
    <w:p w14:paraId="20DF227A" w14:textId="77777777" w:rsidR="00FC3873" w:rsidRPr="004F0469" w:rsidRDefault="00FC3873" w:rsidP="00FC3873">
      <w:r w:rsidRPr="004F0469">
        <w:t>This discussion is intended to highlight the necessity of calibration and the effective irrelevance of uncalibrated parameters. It may be tempting to “relax” the calibrated parameters back toward the average to measure the effect of what could be possible. But the uncalibrated results can be difficult to interpret and almost certainly would not produce feasible results for certain end uses. Thus they provide no basis for a reasonable forecast. Instead, we treat the calibrated results as the most basic set of interpretable results from which alternate scenarios are developed. Changes to calibrated parameters are not returned to the uncalibrated averages, but are rather explicitly developed based on the feasibility of values that parameters might take over time and how quickly the change might occur. This is discussed more in the last section of this brief.</w:t>
      </w:r>
    </w:p>
    <w:p w14:paraId="2B3A55DF" w14:textId="77777777" w:rsidR="00FC3873" w:rsidRPr="004F0469" w:rsidRDefault="00FC3873" w:rsidP="00FC3873">
      <w:pPr>
        <w:pStyle w:val="Heading6"/>
      </w:pPr>
      <w:bookmarkStart w:id="891" w:name="_Toc478990534"/>
      <w:bookmarkStart w:id="892" w:name="_Toc479768612"/>
      <w:bookmarkStart w:id="893" w:name="_Toc482357336"/>
      <w:bookmarkStart w:id="894" w:name="_Toc482634311"/>
      <w:bookmarkStart w:id="895" w:name="_Toc482626443"/>
      <w:bookmarkStart w:id="896" w:name="_Toc484092518"/>
      <w:bookmarkStart w:id="897" w:name="_Toc484172724"/>
      <w:bookmarkStart w:id="898" w:name="_Toc484183060"/>
      <w:bookmarkStart w:id="899" w:name="_Toc485126581"/>
      <w:r w:rsidRPr="004F0469">
        <w:t>Interpreting Calibration</w:t>
      </w:r>
      <w:bookmarkEnd w:id="891"/>
      <w:bookmarkEnd w:id="892"/>
      <w:bookmarkEnd w:id="893"/>
      <w:bookmarkEnd w:id="894"/>
      <w:bookmarkEnd w:id="895"/>
      <w:bookmarkEnd w:id="896"/>
      <w:bookmarkEnd w:id="897"/>
      <w:bookmarkEnd w:id="898"/>
      <w:bookmarkEnd w:id="899"/>
    </w:p>
    <w:p w14:paraId="77FD24A6" w14:textId="77777777" w:rsidR="00FC3873" w:rsidRPr="004F0469" w:rsidRDefault="00FC3873" w:rsidP="00FC3873">
      <w:r w:rsidRPr="004F0469">
        <w:t>Calibration can constrain market potential for certain end uses when aligning model results with past IOU energy efficiency portfolio accomplishments. Although calibration provides a reasonable historic basis for estimating future market potential, past program achievements may not capture the potential due to structural changes in future programs or changes in consumer values. Calibration can be viewed as holding constant certain factors that might otherwise change future program potential, such as:</w:t>
      </w:r>
    </w:p>
    <w:p w14:paraId="4573EFF0" w14:textId="77777777" w:rsidR="00FC3873" w:rsidRPr="004F0469" w:rsidRDefault="00FC3873" w:rsidP="00FC3873"/>
    <w:p w14:paraId="0BC898F1" w14:textId="77777777" w:rsidR="00FC3873" w:rsidRPr="004F0469" w:rsidRDefault="00FC3873" w:rsidP="004E4E36">
      <w:pPr>
        <w:pStyle w:val="ListParagraph"/>
        <w:numPr>
          <w:ilvl w:val="0"/>
          <w:numId w:val="18"/>
        </w:numPr>
      </w:pPr>
      <w:r w:rsidRPr="004F0469">
        <w:t xml:space="preserve">Consumer values and attitudes toward energy efficient measures; </w:t>
      </w:r>
    </w:p>
    <w:p w14:paraId="29A0055B" w14:textId="77777777" w:rsidR="00FC3873" w:rsidRPr="004F0469" w:rsidRDefault="00FC3873" w:rsidP="004E4E36">
      <w:pPr>
        <w:pStyle w:val="ListParagraph"/>
        <w:numPr>
          <w:ilvl w:val="0"/>
          <w:numId w:val="18"/>
        </w:numPr>
      </w:pPr>
      <w:r w:rsidRPr="004F0469">
        <w:t>Market barriers associated with different end uses;</w:t>
      </w:r>
    </w:p>
    <w:p w14:paraId="7AFA498C" w14:textId="77777777" w:rsidR="00FC3873" w:rsidRPr="004F0469" w:rsidRDefault="00FC3873" w:rsidP="004E4E36">
      <w:pPr>
        <w:pStyle w:val="ListParagraph"/>
        <w:numPr>
          <w:ilvl w:val="0"/>
          <w:numId w:val="18"/>
        </w:numPr>
      </w:pPr>
      <w:r w:rsidRPr="004F0469">
        <w:t>Program efficacy in delivering measures; and</w:t>
      </w:r>
    </w:p>
    <w:p w14:paraId="6EE489BA" w14:textId="77777777" w:rsidR="00FC3873" w:rsidRPr="004F0469" w:rsidRDefault="00FC3873" w:rsidP="004E4E36">
      <w:pPr>
        <w:pStyle w:val="ListParagraph"/>
        <w:numPr>
          <w:ilvl w:val="0"/>
          <w:numId w:val="18"/>
        </w:numPr>
      </w:pPr>
      <w:r w:rsidRPr="004F0469">
        <w:t xml:space="preserve">Program spending constraints and priorities. </w:t>
      </w:r>
    </w:p>
    <w:p w14:paraId="508486CD" w14:textId="77777777" w:rsidR="00FC3873" w:rsidRPr="004F0469" w:rsidRDefault="00FC3873" w:rsidP="00FC3873"/>
    <w:p w14:paraId="07344569" w14:textId="77777777" w:rsidR="00FC3873" w:rsidRPr="004F0469" w:rsidRDefault="00FC3873" w:rsidP="00FC3873">
      <w:r w:rsidRPr="004F0469">
        <w:t xml:space="preserve">Changing values and shifting program characteristics would likely cause deviations from market potential estimates calibrated to past program achievements. </w:t>
      </w:r>
    </w:p>
    <w:p w14:paraId="7B5785F0" w14:textId="77777777" w:rsidR="00FC3873" w:rsidRPr="004F0469" w:rsidRDefault="00FC3873" w:rsidP="00FC3873"/>
    <w:p w14:paraId="67BA3C40" w14:textId="77777777" w:rsidR="00FC3873" w:rsidRPr="004F0469" w:rsidRDefault="00FC3873" w:rsidP="00FC3873">
      <w:r w:rsidRPr="004F0469">
        <w:t>Does calibrating to historic data constrain the future forecast? In a strictly numeric sense, yes. If a certain end use is calibrated downward or upward, then future adoption and its timing are affected. Nevertheless, this should not be interpreted as “calibration constrains the level of adoption that we think is possible.” Rather calibration provides a more accurate estimate of the current state of customer willingness, market barriers, program characteristics and remaining adoption potential. One forecast scenario might assume that the underlying conditions remain the same—a sort of business as usual scenario. We might develop another scenario such that it represents a transforming market based on agreed-upon end state parameter values appropriate for the end use market. For insulation that may mean a slight improvement, for water heating a greater improvement, and for lighting perhaps little change is warranted if fewer market barriers exist today.</w:t>
      </w:r>
    </w:p>
    <w:p w14:paraId="6EA64B06" w14:textId="77777777" w:rsidR="00FC3873" w:rsidRPr="004F0469" w:rsidRDefault="00FC3873" w:rsidP="00FC3873"/>
    <w:p w14:paraId="7C9914F8" w14:textId="77777777" w:rsidR="00FC3873" w:rsidRPr="00BA20F0" w:rsidRDefault="00FC3873" w:rsidP="00FC3873">
      <w:r w:rsidRPr="004F0469">
        <w:t xml:space="preserve">One interpretation is that the calibration process creates a floor for the remaining potential.  Market barriers, customer attitudes, and program efficacy generally move in the direction of improvement. The extent to which a market or program can improve should not be compared to the uncalibrated results, but rather to the vision for what is reasonably possible for the parameters describing each end use. This may require little change, some change, or greater change in parameter values for different end-uses. But </w:t>
      </w:r>
      <w:r w:rsidRPr="004F0469">
        <w:lastRenderedPageBreak/>
        <w:t xml:space="preserve">improvements to parameter values are based on their own merits and feasibility, and are independent of the uncalibrated parameter values and results. </w:t>
      </w:r>
    </w:p>
    <w:p w14:paraId="17C66E99" w14:textId="77777777" w:rsidR="00FC3873" w:rsidRPr="002A012E" w:rsidRDefault="00FC3873" w:rsidP="00FC3873">
      <w:pPr>
        <w:pStyle w:val="Heading6"/>
      </w:pPr>
      <w:bookmarkStart w:id="900" w:name="_Toc478990535"/>
      <w:bookmarkStart w:id="901" w:name="_Toc479768613"/>
      <w:bookmarkStart w:id="902" w:name="_Toc482357337"/>
      <w:bookmarkStart w:id="903" w:name="_Toc482634312"/>
      <w:bookmarkStart w:id="904" w:name="_Toc482626444"/>
      <w:bookmarkStart w:id="905" w:name="_Toc484092519"/>
      <w:bookmarkStart w:id="906" w:name="_Toc484172725"/>
      <w:bookmarkStart w:id="907" w:name="_Toc484183061"/>
      <w:bookmarkStart w:id="908" w:name="_Toc485126582"/>
      <w:r w:rsidRPr="002A012E">
        <w:t>Implementing Calibration</w:t>
      </w:r>
      <w:bookmarkEnd w:id="900"/>
      <w:bookmarkEnd w:id="901"/>
      <w:bookmarkEnd w:id="902"/>
      <w:bookmarkEnd w:id="903"/>
      <w:bookmarkEnd w:id="904"/>
      <w:bookmarkEnd w:id="905"/>
      <w:bookmarkEnd w:id="906"/>
      <w:bookmarkEnd w:id="907"/>
      <w:bookmarkEnd w:id="908"/>
    </w:p>
    <w:p w14:paraId="328DAAD7" w14:textId="77777777" w:rsidR="002A012E" w:rsidRPr="002A012E" w:rsidRDefault="002A012E" w:rsidP="00FC3873">
      <w:r w:rsidRPr="002A012E">
        <w:t>The PG model is calibrated primarily using historic program budgets. Calibration inputs include 2013-2015 IOU-reported incentive and admin expenditures in Compliance Filings</w:t>
      </w:r>
      <w:r>
        <w:rPr>
          <w:rStyle w:val="FootnoteReference"/>
        </w:rPr>
        <w:footnoteReference w:id="93"/>
      </w:r>
      <w:r w:rsidRPr="002A012E">
        <w:t>. An illustration of the calibration targets used is shown below</w:t>
      </w:r>
      <w:r>
        <w:t>:</w:t>
      </w:r>
    </w:p>
    <w:p w14:paraId="7FDFC9FA" w14:textId="77777777" w:rsidR="002A012E" w:rsidRPr="002A012E" w:rsidRDefault="002A012E" w:rsidP="00FC3873"/>
    <w:p w14:paraId="47546DC9" w14:textId="77777777" w:rsidR="002A012E" w:rsidRDefault="00CE648C" w:rsidP="002A012E">
      <w:pPr>
        <w:pStyle w:val="Caption"/>
      </w:pPr>
      <w:bookmarkStart w:id="909" w:name="_Toc484437031"/>
      <w:bookmarkStart w:id="910" w:name="_Toc485125549"/>
      <w:r w:rsidRPr="00323BFA">
        <w:t xml:space="preserve">Figure </w:t>
      </w:r>
      <w:r w:rsidR="00272F76">
        <w:fldChar w:fldCharType="begin"/>
      </w:r>
      <w:r w:rsidR="00272F76">
        <w:instrText xml:space="preserve"> STYLEREF 5 \s </w:instrText>
      </w:r>
      <w:r w:rsidR="00272F76">
        <w:fldChar w:fldCharType="separate"/>
      </w:r>
      <w:r w:rsidR="00C407F4">
        <w:rPr>
          <w:noProof/>
        </w:rPr>
        <w:t>A</w:t>
      </w:r>
      <w:r w:rsidR="00272F76">
        <w:rPr>
          <w:noProof/>
        </w:rPr>
        <w:fldChar w:fldCharType="end"/>
      </w:r>
      <w:r w:rsidRPr="00323BFA">
        <w:noBreakHyphen/>
      </w:r>
      <w:r w:rsidR="00272F76">
        <w:fldChar w:fldCharType="begin"/>
      </w:r>
      <w:r w:rsidR="00272F76">
        <w:instrText xml:space="preserve"> SEQ Figure_Apx \* ARABIC \s 5 </w:instrText>
      </w:r>
      <w:r w:rsidR="00272F76">
        <w:fldChar w:fldCharType="separate"/>
      </w:r>
      <w:r w:rsidR="00C407F4">
        <w:rPr>
          <w:noProof/>
        </w:rPr>
        <w:t>2</w:t>
      </w:r>
      <w:r w:rsidR="00272F76">
        <w:rPr>
          <w:noProof/>
        </w:rPr>
        <w:fldChar w:fldCharType="end"/>
      </w:r>
      <w:r w:rsidRPr="00323BFA">
        <w:t xml:space="preserve">. </w:t>
      </w:r>
      <w:r w:rsidR="002A012E">
        <w:t>Illustrative 2013-2015 Calibration Targets</w:t>
      </w:r>
      <w:bookmarkEnd w:id="909"/>
      <w:bookmarkEnd w:id="910"/>
    </w:p>
    <w:p w14:paraId="0D049C80" w14:textId="77777777" w:rsidR="002A012E" w:rsidRDefault="002A012E" w:rsidP="00FC3873">
      <w:pPr>
        <w:rPr>
          <w:highlight w:val="yellow"/>
        </w:rPr>
      </w:pPr>
      <w:r>
        <w:rPr>
          <w:noProof/>
          <w:highlight w:val="yellow"/>
        </w:rPr>
        <w:drawing>
          <wp:inline distT="0" distB="0" distL="0" distR="0" wp14:anchorId="46B51FFE" wp14:editId="2D993DE6">
            <wp:extent cx="6755130" cy="3255645"/>
            <wp:effectExtent l="0" t="0" r="762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55130" cy="3255645"/>
                    </a:xfrm>
                    <a:prstGeom prst="rect">
                      <a:avLst/>
                    </a:prstGeom>
                    <a:noFill/>
                  </pic:spPr>
                </pic:pic>
              </a:graphicData>
            </a:graphic>
          </wp:inline>
        </w:drawing>
      </w:r>
    </w:p>
    <w:p w14:paraId="04F4A43C" w14:textId="77777777" w:rsidR="002A012E" w:rsidRDefault="002A012E" w:rsidP="00FC3873"/>
    <w:p w14:paraId="384D3B15" w14:textId="77777777" w:rsidR="00FC3873" w:rsidRDefault="00D351A9" w:rsidP="00FC3873">
      <w:r>
        <w:t xml:space="preserve">During the calibration period, budgets are anchored to historical spending. During the forecast period, budgets can change over time based on inputs and assumptions that go into the model. </w:t>
      </w:r>
      <w:r w:rsidR="001513FB">
        <w:t>Broadly, c</w:t>
      </w:r>
      <w:r w:rsidR="00FC3873" w:rsidRPr="002A012E">
        <w:t xml:space="preserve">alibration </w:t>
      </w:r>
      <w:r>
        <w:t>examines</w:t>
      </w:r>
      <w:r w:rsidR="00FC3873" w:rsidRPr="002A012E">
        <w:t xml:space="preserve"> </w:t>
      </w:r>
      <w:r w:rsidR="001513FB">
        <w:t>two</w:t>
      </w:r>
      <w:r w:rsidR="00FC3873" w:rsidRPr="002A012E">
        <w:t xml:space="preserve"> </w:t>
      </w:r>
      <w:r>
        <w:t>categories</w:t>
      </w:r>
      <w:r w:rsidR="00FC3873" w:rsidRPr="002A012E">
        <w:t xml:space="preserve"> of </w:t>
      </w:r>
      <w:r>
        <w:t>levers</w:t>
      </w:r>
      <w:r w:rsidR="00FC3873" w:rsidRPr="002A012E">
        <w:t xml:space="preserve"> to best align results with past</w:t>
      </w:r>
      <w:r w:rsidR="001513FB">
        <w:t xml:space="preserve"> program achievements. </w:t>
      </w:r>
      <w:r>
        <w:t>A comprehensive list of the calibration levers that are used and their impact on model results is provided below.</w:t>
      </w:r>
    </w:p>
    <w:p w14:paraId="05E071B2" w14:textId="77777777" w:rsidR="001513FB" w:rsidRDefault="001513FB" w:rsidP="00FC3873"/>
    <w:p w14:paraId="0E765DB5" w14:textId="77777777" w:rsidR="00D351A9" w:rsidRDefault="00CE648C" w:rsidP="00323BFA">
      <w:pPr>
        <w:pStyle w:val="Caption"/>
      </w:pPr>
      <w:bookmarkStart w:id="911" w:name="_Toc484436978"/>
      <w:bookmarkStart w:id="912" w:name="_Toc485125601"/>
      <w:r>
        <w:lastRenderedPageBreak/>
        <w:t xml:space="preserve">Table </w:t>
      </w:r>
      <w:r w:rsidR="00272F76">
        <w:fldChar w:fldCharType="begin"/>
      </w:r>
      <w:r w:rsidR="00272F76">
        <w:instrText xml:space="preserve"> STYLEREF 5 \s </w:instrText>
      </w:r>
      <w:r w:rsidR="00272F76">
        <w:fldChar w:fldCharType="separate"/>
      </w:r>
      <w:r w:rsidR="00C407F4">
        <w:rPr>
          <w:noProof/>
        </w:rPr>
        <w:t>A</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1</w:t>
      </w:r>
      <w:r w:rsidR="00272F76">
        <w:rPr>
          <w:noProof/>
        </w:rPr>
        <w:fldChar w:fldCharType="end"/>
      </w:r>
      <w:r>
        <w:t xml:space="preserve">. </w:t>
      </w:r>
      <w:r w:rsidR="00D351A9">
        <w:t>Calibration Levers</w:t>
      </w:r>
      <w:bookmarkEnd w:id="911"/>
      <w:bookmarkEnd w:id="912"/>
    </w:p>
    <w:tbl>
      <w:tblPr>
        <w:tblStyle w:val="EnergyTable1"/>
        <w:tblW w:w="9090" w:type="dxa"/>
        <w:tblLook w:val="04A0" w:firstRow="1" w:lastRow="0" w:firstColumn="1" w:lastColumn="0" w:noHBand="0" w:noVBand="1"/>
      </w:tblPr>
      <w:tblGrid>
        <w:gridCol w:w="1764"/>
        <w:gridCol w:w="2285"/>
        <w:gridCol w:w="5041"/>
      </w:tblGrid>
      <w:tr w:rsidR="001513FB" w:rsidRPr="001513FB" w14:paraId="560276F2" w14:textId="77777777" w:rsidTr="00323BFA">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764" w:type="dxa"/>
            <w:hideMark/>
          </w:tcPr>
          <w:p w14:paraId="6DF5AA63" w14:textId="77777777" w:rsidR="001513FB" w:rsidRPr="001513FB" w:rsidRDefault="001513FB" w:rsidP="00323BFA">
            <w:pPr>
              <w:keepNext/>
              <w:spacing w:line="240" w:lineRule="auto"/>
              <w:rPr>
                <w:rFonts w:ascii="Arial Narrow" w:hAnsi="Arial Narrow" w:cs="Arial"/>
                <w:szCs w:val="20"/>
              </w:rPr>
            </w:pPr>
            <w:r w:rsidRPr="001513FB">
              <w:rPr>
                <w:rFonts w:ascii="Arial Narrow" w:eastAsiaTheme="minorEastAsia" w:hAnsi="Arial Narrow" w:cstheme="minorBidi"/>
                <w:bCs/>
                <w:color w:val="FFFFFF" w:themeColor="light1"/>
                <w:kern w:val="24"/>
                <w:szCs w:val="20"/>
              </w:rPr>
              <w:t>Category</w:t>
            </w:r>
          </w:p>
        </w:tc>
        <w:tc>
          <w:tcPr>
            <w:tcW w:w="2285" w:type="dxa"/>
            <w:hideMark/>
          </w:tcPr>
          <w:p w14:paraId="04969CAB" w14:textId="77777777" w:rsidR="001513FB" w:rsidRPr="001513FB" w:rsidRDefault="001513FB" w:rsidP="00323BFA">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513FB">
              <w:rPr>
                <w:rFonts w:ascii="Arial Narrow" w:hAnsi="Arial Narrow" w:cs="Arial"/>
                <w:bCs/>
                <w:color w:val="FFFFFF" w:themeColor="light1"/>
                <w:kern w:val="24"/>
                <w:szCs w:val="20"/>
              </w:rPr>
              <w:t>Lever</w:t>
            </w:r>
          </w:p>
        </w:tc>
        <w:tc>
          <w:tcPr>
            <w:tcW w:w="5041" w:type="dxa"/>
            <w:hideMark/>
          </w:tcPr>
          <w:p w14:paraId="2104F39C" w14:textId="77777777" w:rsidR="001513FB" w:rsidRPr="001513FB" w:rsidRDefault="001513FB" w:rsidP="00323BFA">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513FB">
              <w:rPr>
                <w:rFonts w:ascii="Arial Narrow" w:hAnsi="Arial Narrow" w:cs="Arial"/>
                <w:bCs/>
                <w:color w:val="FFFFFF" w:themeColor="light1"/>
                <w:kern w:val="24"/>
                <w:szCs w:val="20"/>
              </w:rPr>
              <w:t>Impact on Model results</w:t>
            </w:r>
          </w:p>
        </w:tc>
      </w:tr>
      <w:tr w:rsidR="001513FB" w:rsidRPr="001513FB" w14:paraId="6DC5209E" w14:textId="77777777" w:rsidTr="00323BF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764" w:type="dxa"/>
            <w:vMerge w:val="restart"/>
            <w:hideMark/>
          </w:tcPr>
          <w:p w14:paraId="379A027F" w14:textId="77777777" w:rsidR="001513FB" w:rsidRPr="001513FB" w:rsidRDefault="001513FB" w:rsidP="00323BFA">
            <w:pPr>
              <w:keepNext/>
              <w:spacing w:line="240" w:lineRule="auto"/>
              <w:jc w:val="left"/>
              <w:rPr>
                <w:rFonts w:ascii="Arial Narrow" w:hAnsi="Arial Narrow" w:cs="Arial"/>
                <w:szCs w:val="20"/>
              </w:rPr>
            </w:pPr>
            <w:r w:rsidRPr="001513FB">
              <w:rPr>
                <w:rFonts w:ascii="Arial Narrow" w:hAnsi="Arial Narrow" w:cs="Arial"/>
                <w:bCs/>
                <w:kern w:val="24"/>
                <w:szCs w:val="20"/>
              </w:rPr>
              <w:t>Awareness</w:t>
            </w:r>
          </w:p>
        </w:tc>
        <w:tc>
          <w:tcPr>
            <w:tcW w:w="2285" w:type="dxa"/>
            <w:hideMark/>
          </w:tcPr>
          <w:p w14:paraId="2A5EA126"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Initial Awareness</w:t>
            </w:r>
          </w:p>
        </w:tc>
        <w:tc>
          <w:tcPr>
            <w:tcW w:w="5041" w:type="dxa"/>
            <w:hideMark/>
          </w:tcPr>
          <w:p w14:paraId="0B58EE92"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Increasing initial awareness shortens the time required for a measure to reach 100% consumer awareness. Also sets upper bound on adoption in the first year.</w:t>
            </w:r>
          </w:p>
        </w:tc>
      </w:tr>
      <w:tr w:rsidR="001513FB" w:rsidRPr="001513FB" w14:paraId="098B9836" w14:textId="77777777" w:rsidTr="00323BFA">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auto"/>
            <w:vMerge/>
            <w:hideMark/>
          </w:tcPr>
          <w:p w14:paraId="3E813579" w14:textId="77777777" w:rsidR="001513FB" w:rsidRPr="001513FB" w:rsidRDefault="001513FB" w:rsidP="00323BFA">
            <w:pPr>
              <w:keepNext/>
              <w:spacing w:line="240" w:lineRule="auto"/>
              <w:jc w:val="left"/>
              <w:rPr>
                <w:rFonts w:ascii="Arial Narrow" w:hAnsi="Arial Narrow" w:cs="Arial"/>
                <w:szCs w:val="20"/>
              </w:rPr>
            </w:pPr>
          </w:p>
        </w:tc>
        <w:tc>
          <w:tcPr>
            <w:tcW w:w="2285" w:type="dxa"/>
            <w:hideMark/>
          </w:tcPr>
          <w:p w14:paraId="7DED4855"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Marketing Strength</w:t>
            </w:r>
          </w:p>
        </w:tc>
        <w:tc>
          <w:tcPr>
            <w:tcW w:w="5041" w:type="dxa"/>
            <w:hideMark/>
          </w:tcPr>
          <w:p w14:paraId="12FCDBDE"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Increasing marketing strength increases adoption rate of measures in the nascent stage (i.e. having low initial consumer awareness). Less useful for measures having moderate to high initial consumer awareness.</w:t>
            </w:r>
          </w:p>
        </w:tc>
      </w:tr>
      <w:tr w:rsidR="001513FB" w:rsidRPr="001513FB" w14:paraId="69DB4FF4" w14:textId="77777777" w:rsidTr="00323BF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auto"/>
            <w:vMerge/>
            <w:hideMark/>
          </w:tcPr>
          <w:p w14:paraId="4B5B0ACF" w14:textId="77777777" w:rsidR="001513FB" w:rsidRPr="001513FB" w:rsidRDefault="001513FB" w:rsidP="00323BFA">
            <w:pPr>
              <w:keepNext/>
              <w:spacing w:line="240" w:lineRule="auto"/>
              <w:jc w:val="left"/>
              <w:rPr>
                <w:rFonts w:ascii="Arial Narrow" w:hAnsi="Arial Narrow" w:cs="Arial"/>
                <w:szCs w:val="20"/>
              </w:rPr>
            </w:pPr>
          </w:p>
        </w:tc>
        <w:tc>
          <w:tcPr>
            <w:tcW w:w="2285" w:type="dxa"/>
            <w:hideMark/>
          </w:tcPr>
          <w:p w14:paraId="7EBA9411"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Word-of-Mouth (WOM) Strength</w:t>
            </w:r>
          </w:p>
        </w:tc>
        <w:tc>
          <w:tcPr>
            <w:tcW w:w="5041" w:type="dxa"/>
            <w:hideMark/>
          </w:tcPr>
          <w:p w14:paraId="56CF4D74"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Increasing WOM increases adoption ramp rate, particularly in a measure’s growth stage</w:t>
            </w:r>
            <w:r w:rsidRPr="001513FB">
              <w:rPr>
                <w:rFonts w:ascii="Arial Narrow" w:hAnsi="Arial Narrow" w:cs="Arial"/>
                <w:i/>
                <w:iCs/>
                <w:color w:val="000000" w:themeColor="dark1"/>
                <w:kern w:val="24"/>
                <w:szCs w:val="20"/>
              </w:rPr>
              <w:t>.</w:t>
            </w:r>
          </w:p>
        </w:tc>
      </w:tr>
      <w:tr w:rsidR="001513FB" w:rsidRPr="001513FB" w14:paraId="35AA6975" w14:textId="77777777" w:rsidTr="00323BFA">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764" w:type="dxa"/>
            <w:vMerge w:val="restart"/>
            <w:hideMark/>
          </w:tcPr>
          <w:p w14:paraId="1D97244D" w14:textId="77777777" w:rsidR="001513FB" w:rsidRPr="001513FB" w:rsidRDefault="001513FB" w:rsidP="00323BFA">
            <w:pPr>
              <w:keepNext/>
              <w:spacing w:line="240" w:lineRule="auto"/>
              <w:jc w:val="left"/>
              <w:rPr>
                <w:rFonts w:ascii="Arial Narrow" w:hAnsi="Arial Narrow" w:cs="Arial"/>
                <w:szCs w:val="20"/>
              </w:rPr>
            </w:pPr>
            <w:r w:rsidRPr="001513FB">
              <w:rPr>
                <w:rFonts w:ascii="Arial Narrow" w:hAnsi="Arial Narrow" w:cs="Arial"/>
                <w:bCs/>
                <w:kern w:val="24"/>
                <w:szCs w:val="20"/>
              </w:rPr>
              <w:t>Willingness</w:t>
            </w:r>
          </w:p>
        </w:tc>
        <w:tc>
          <w:tcPr>
            <w:tcW w:w="2285" w:type="dxa"/>
            <w:hideMark/>
          </w:tcPr>
          <w:p w14:paraId="4A585D96"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Implied Discount Rate (iDR)</w:t>
            </w:r>
          </w:p>
        </w:tc>
        <w:tc>
          <w:tcPr>
            <w:tcW w:w="5041" w:type="dxa"/>
            <w:hideMark/>
          </w:tcPr>
          <w:p w14:paraId="3B0B2580"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the iDR is adjusted when perceived market barriers are higher or lower than normal, or when factors other than cost effectiveness may play a larger role in purchase decisions.</w:t>
            </w:r>
          </w:p>
        </w:tc>
      </w:tr>
      <w:tr w:rsidR="001513FB" w:rsidRPr="001513FB" w14:paraId="08810580" w14:textId="77777777" w:rsidTr="00323BF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auto"/>
            <w:vMerge/>
            <w:hideMark/>
          </w:tcPr>
          <w:p w14:paraId="659C6BB1" w14:textId="77777777" w:rsidR="001513FB" w:rsidRPr="001513FB" w:rsidRDefault="001513FB" w:rsidP="00323BFA">
            <w:pPr>
              <w:keepNext/>
              <w:spacing w:line="240" w:lineRule="auto"/>
              <w:jc w:val="left"/>
              <w:rPr>
                <w:rFonts w:ascii="Arial Narrow" w:hAnsi="Arial Narrow" w:cs="Arial"/>
                <w:szCs w:val="20"/>
              </w:rPr>
            </w:pPr>
          </w:p>
        </w:tc>
        <w:tc>
          <w:tcPr>
            <w:tcW w:w="2285" w:type="dxa"/>
            <w:hideMark/>
          </w:tcPr>
          <w:p w14:paraId="3CDC5C5D"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Sensitivity</w:t>
            </w:r>
          </w:p>
        </w:tc>
        <w:tc>
          <w:tcPr>
            <w:tcW w:w="5041" w:type="dxa"/>
            <w:hideMark/>
          </w:tcPr>
          <w:p w14:paraId="6CD0274F"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the consumer sensitivity is adjusted when markets are considered mature and customer primary focus is measure cost effectiveness</w:t>
            </w:r>
          </w:p>
        </w:tc>
      </w:tr>
      <w:tr w:rsidR="001513FB" w:rsidRPr="001513FB" w14:paraId="133F7F35" w14:textId="77777777" w:rsidTr="00323BFA">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auto"/>
            <w:vMerge/>
            <w:hideMark/>
          </w:tcPr>
          <w:p w14:paraId="58BCC675" w14:textId="77777777" w:rsidR="001513FB" w:rsidRPr="001513FB" w:rsidRDefault="001513FB" w:rsidP="00D351A9">
            <w:pPr>
              <w:spacing w:line="240" w:lineRule="auto"/>
              <w:jc w:val="left"/>
              <w:rPr>
                <w:rFonts w:ascii="Arial Narrow" w:hAnsi="Arial Narrow" w:cs="Arial"/>
                <w:szCs w:val="20"/>
              </w:rPr>
            </w:pPr>
          </w:p>
        </w:tc>
        <w:tc>
          <w:tcPr>
            <w:tcW w:w="2285" w:type="dxa"/>
            <w:hideMark/>
          </w:tcPr>
          <w:p w14:paraId="5D1650DE" w14:textId="77777777" w:rsidR="001513FB" w:rsidRPr="001513FB" w:rsidRDefault="001513FB" w:rsidP="00D351A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Incentive levels</w:t>
            </w:r>
          </w:p>
        </w:tc>
        <w:tc>
          <w:tcPr>
            <w:tcW w:w="5041" w:type="dxa"/>
            <w:hideMark/>
          </w:tcPr>
          <w:p w14:paraId="3C2930BC" w14:textId="77777777" w:rsidR="001513FB" w:rsidRPr="001513FB" w:rsidRDefault="001513FB" w:rsidP="00D351A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Spending and savings are sensitive to incentive levels, so changes in incentive levels by small increments are explored.</w:t>
            </w:r>
          </w:p>
        </w:tc>
      </w:tr>
    </w:tbl>
    <w:p w14:paraId="05FFBEBE" w14:textId="77777777" w:rsidR="001513FB" w:rsidRPr="002A012E" w:rsidRDefault="001513FB" w:rsidP="00FC3873"/>
    <w:p w14:paraId="3F453220" w14:textId="77777777" w:rsidR="00FC3873" w:rsidRPr="002A012E" w:rsidRDefault="00FC3873" w:rsidP="00FC3873">
      <w:r w:rsidRPr="002A012E">
        <w:t xml:space="preserve">Parameters are adjusted to fit historic observations during the calibration period. Then the parameters are applied to the forecast period, which begins in the year of most recent density data vintage. Calibrating parameters up and down can have different effects in a dynamic model depending on the initial saturation (i.e., density) data. For example, calibrating up can increase both historic and future adoption if the initial saturation is low. If initial saturation is high, then calibrating up can increase past adoption in the model, leaving less for future years. </w:t>
      </w:r>
    </w:p>
    <w:p w14:paraId="5CA0CAD1" w14:textId="77777777" w:rsidR="00FC3873" w:rsidRPr="002A012E" w:rsidRDefault="00FC3873" w:rsidP="00FC3873"/>
    <w:p w14:paraId="1F91A1EC" w14:textId="77777777" w:rsidR="00146A54" w:rsidRDefault="00FC3873" w:rsidP="002F0833">
      <w:pPr>
        <w:sectPr w:rsidR="00146A54" w:rsidSect="00146A54">
          <w:footerReference w:type="default" r:id="rId119"/>
          <w:pgSz w:w="12240" w:h="15840" w:code="1"/>
          <w:pgMar w:top="1440" w:right="1440" w:bottom="1440" w:left="1440" w:header="720" w:footer="720" w:gutter="0"/>
          <w:pgNumType w:start="1" w:chapStyle="5"/>
          <w:cols w:space="720"/>
          <w:docGrid w:linePitch="360"/>
        </w:sectPr>
      </w:pPr>
      <w:r w:rsidRPr="002A012E">
        <w:t>Once the consumer preference parameters are calibrated, t</w:t>
      </w:r>
      <w:r w:rsidR="00D351A9">
        <w:t>he model forecast begins in 2016</w:t>
      </w:r>
      <w:r w:rsidRPr="002A012E">
        <w:t xml:space="preserve"> by applying known market saturation data of that same vintage. Forecasts indicate the saturation of measures over time under the expected IOU future program influences.</w:t>
      </w:r>
    </w:p>
    <w:p w14:paraId="30FDA716" w14:textId="77777777" w:rsidR="005669E4" w:rsidRDefault="00D30C26" w:rsidP="005669E4">
      <w:pPr>
        <w:pStyle w:val="Heading5"/>
      </w:pPr>
      <w:bookmarkStart w:id="913" w:name="_Toc478990540"/>
      <w:bookmarkStart w:id="914" w:name="_Toc479768618"/>
      <w:bookmarkStart w:id="915" w:name="_Ref482026980"/>
      <w:bookmarkStart w:id="916" w:name="_Ref482027002"/>
      <w:bookmarkStart w:id="917" w:name="_Toc482357339"/>
      <w:bookmarkStart w:id="918" w:name="_Toc482634314"/>
      <w:bookmarkStart w:id="919" w:name="_Toc482626446"/>
      <w:bookmarkStart w:id="920" w:name="_Ref484095965"/>
      <w:bookmarkStart w:id="921" w:name="_Toc484172726"/>
      <w:bookmarkStart w:id="922" w:name="_Toc484183062"/>
      <w:bookmarkStart w:id="923" w:name="_Ref484532064"/>
      <w:bookmarkStart w:id="924" w:name="_Toc485126583"/>
      <w:bookmarkStart w:id="925" w:name="_Toc484092521"/>
      <w:r>
        <w:lastRenderedPageBreak/>
        <w:t>BROS</w:t>
      </w:r>
      <w:bookmarkEnd w:id="913"/>
      <w:bookmarkEnd w:id="914"/>
      <w:bookmarkEnd w:id="915"/>
      <w:bookmarkEnd w:id="916"/>
      <w:bookmarkEnd w:id="917"/>
      <w:bookmarkEnd w:id="918"/>
      <w:bookmarkEnd w:id="919"/>
      <w:bookmarkEnd w:id="920"/>
      <w:bookmarkEnd w:id="921"/>
      <w:bookmarkEnd w:id="922"/>
      <w:bookmarkEnd w:id="923"/>
      <w:bookmarkEnd w:id="924"/>
    </w:p>
    <w:p w14:paraId="0DFFD45B" w14:textId="77777777" w:rsidR="00E01C42" w:rsidRPr="00136D49" w:rsidRDefault="00E01C42" w:rsidP="00E01C42">
      <w:bookmarkStart w:id="926" w:name="_Toc484092522"/>
      <w:bookmarkEnd w:id="925"/>
      <w:r>
        <w:t xml:space="preserve">This appendix discusses the BROs interventions that are include in the PG model. It describes each intervention and discusses data sources and assumptions. A separate spreadsheet is also made available for stakeholders to review the final detailed inputs for intervention specific each utility and building type.  </w:t>
      </w:r>
    </w:p>
    <w:p w14:paraId="2A8266F9" w14:textId="77777777" w:rsidR="00E01C42" w:rsidRDefault="00E01C42" w:rsidP="00E01C42">
      <w:pPr>
        <w:pStyle w:val="Heading6"/>
        <w:numPr>
          <w:ilvl w:val="5"/>
          <w:numId w:val="8"/>
        </w:numPr>
        <w:ind w:left="0" w:firstLine="0"/>
      </w:pPr>
      <w:bookmarkStart w:id="927" w:name="_Toc480271806"/>
      <w:bookmarkStart w:id="928" w:name="_Toc484183063"/>
      <w:bookmarkStart w:id="929" w:name="_Toc485126584"/>
      <w:r>
        <w:t xml:space="preserve">Residential - </w:t>
      </w:r>
      <w:r w:rsidRPr="00065CEA">
        <w:t>Home Energy Reports</w:t>
      </w:r>
      <w:bookmarkEnd w:id="927"/>
      <w:bookmarkEnd w:id="928"/>
      <w:bookmarkEnd w:id="929"/>
    </w:p>
    <w:p w14:paraId="67B535F9" w14:textId="77777777" w:rsidR="00E01C42" w:rsidRDefault="00E01C42" w:rsidP="00E01C42">
      <w:pPr>
        <w:rPr>
          <w:b/>
        </w:rPr>
      </w:pPr>
      <w:r w:rsidRPr="00DF089C">
        <w:rPr>
          <w:b/>
        </w:rPr>
        <w:t xml:space="preserve">Summary </w:t>
      </w:r>
    </w:p>
    <w:p w14:paraId="2DE4714B" w14:textId="77777777" w:rsidR="00E01C42" w:rsidRPr="00DF089C" w:rsidRDefault="00E01C42" w:rsidP="00E01C42">
      <w:pPr>
        <w:rPr>
          <w:b/>
        </w:rPr>
      </w:pPr>
    </w:p>
    <w:p w14:paraId="2FDB09F0" w14:textId="77777777" w:rsidR="00E01C42" w:rsidRDefault="00E01C42" w:rsidP="00E01C42">
      <w:pPr>
        <w:rPr>
          <w:szCs w:val="20"/>
        </w:rPr>
      </w:pPr>
      <w:r w:rsidRPr="0097294E">
        <w:rPr>
          <w:szCs w:val="20"/>
        </w:rPr>
        <w:t>Home Energy Reports (HER</w:t>
      </w:r>
      <w:r>
        <w:rPr>
          <w:szCs w:val="20"/>
        </w:rPr>
        <w:t>s</w:t>
      </w:r>
      <w:r w:rsidRPr="0097294E">
        <w:rPr>
          <w:szCs w:val="20"/>
        </w:rPr>
        <w:t>) are among the most prevalent and widely studied of behavioral interventions. Residential custom</w:t>
      </w:r>
      <w:r>
        <w:rPr>
          <w:szCs w:val="20"/>
        </w:rPr>
        <w:t>ers are periodically mailed HERs</w:t>
      </w:r>
      <w:r w:rsidRPr="0097294E">
        <w:rPr>
          <w:szCs w:val="20"/>
        </w:rPr>
        <w:t xml:space="preserve"> that provide feedback about their home’s energy use, including normative comparisons to similar neighbors, tips for improving energy efficiency, and occasionally messaging about rewards or incentives.</w:t>
      </w:r>
      <w:r>
        <w:rPr>
          <w:szCs w:val="20"/>
        </w:rPr>
        <w:t xml:space="preserve"> HERs</w:t>
      </w:r>
      <w:r w:rsidRPr="0097294E">
        <w:rPr>
          <w:szCs w:val="20"/>
        </w:rPr>
        <w:t xml:space="preserve"> programs are generally provided to customers </w:t>
      </w:r>
      <w:r>
        <w:rPr>
          <w:szCs w:val="20"/>
        </w:rPr>
        <w:t>on an opt-out basi</w:t>
      </w:r>
      <w:r w:rsidRPr="0097294E">
        <w:rPr>
          <w:szCs w:val="20"/>
        </w:rPr>
        <w:t>s, although utilities</w:t>
      </w:r>
      <w:r>
        <w:rPr>
          <w:szCs w:val="20"/>
        </w:rPr>
        <w:t xml:space="preserve"> in other states</w:t>
      </w:r>
      <w:r w:rsidRPr="0097294E">
        <w:rPr>
          <w:szCs w:val="20"/>
        </w:rPr>
        <w:t xml:space="preserve"> have conducted opt-in programs. </w:t>
      </w:r>
    </w:p>
    <w:p w14:paraId="0118FECE" w14:textId="77777777" w:rsidR="00E01C42" w:rsidRPr="0097294E" w:rsidRDefault="00E01C42" w:rsidP="00E01C42">
      <w:pPr>
        <w:rPr>
          <w:szCs w:val="20"/>
        </w:rPr>
      </w:pPr>
    </w:p>
    <w:p w14:paraId="36F3C44F" w14:textId="77777777" w:rsidR="00E01C42" w:rsidRDefault="00E01C42" w:rsidP="00E01C42">
      <w:pPr>
        <w:rPr>
          <w:szCs w:val="20"/>
        </w:rPr>
      </w:pPr>
      <w:r w:rsidRPr="00C81F0D">
        <w:rPr>
          <w:szCs w:val="20"/>
        </w:rPr>
        <w:t>Estimated electric savings range from 1.0-2.3%, while gas savings are 0.6</w:t>
      </w:r>
      <w:r>
        <w:rPr>
          <w:szCs w:val="20"/>
        </w:rPr>
        <w:t>%-1.9%. Costs are set at $0.09</w:t>
      </w:r>
      <w:r w:rsidR="008C0AC4">
        <w:rPr>
          <w:szCs w:val="20"/>
        </w:rPr>
        <w:t>-$0.29</w:t>
      </w:r>
      <w:r>
        <w:rPr>
          <w:szCs w:val="20"/>
        </w:rPr>
        <w:t xml:space="preserve"> per</w:t>
      </w:r>
      <w:r w:rsidRPr="00C81F0D">
        <w:rPr>
          <w:szCs w:val="20"/>
        </w:rPr>
        <w:t xml:space="preserve"> kWh</w:t>
      </w:r>
      <w:r w:rsidR="008C0AC4">
        <w:rPr>
          <w:szCs w:val="20"/>
        </w:rPr>
        <w:t xml:space="preserve"> and </w:t>
      </w:r>
      <w:r w:rsidRPr="00C81F0D">
        <w:rPr>
          <w:szCs w:val="20"/>
        </w:rPr>
        <w:t>$3.06</w:t>
      </w:r>
      <w:r w:rsidR="008C0AC4">
        <w:rPr>
          <w:szCs w:val="20"/>
        </w:rPr>
        <w:t>-$4.11</w:t>
      </w:r>
      <w:r w:rsidRPr="00C81F0D">
        <w:rPr>
          <w:szCs w:val="20"/>
        </w:rPr>
        <w:t xml:space="preserve"> per therm. </w:t>
      </w:r>
    </w:p>
    <w:p w14:paraId="40BEC944" w14:textId="77777777" w:rsidR="00194C72" w:rsidRPr="00C81F0D" w:rsidRDefault="00194C72" w:rsidP="00E01C42">
      <w:pPr>
        <w:rPr>
          <w:szCs w:val="20"/>
        </w:rPr>
      </w:pPr>
    </w:p>
    <w:p w14:paraId="723C0E57" w14:textId="77777777" w:rsidR="00E01C42" w:rsidRPr="00C81F0D" w:rsidRDefault="00194C72" w:rsidP="00E01C42">
      <w:pPr>
        <w:pStyle w:val="Caption"/>
        <w:rPr>
          <w:b w:val="0"/>
          <w:szCs w:val="24"/>
        </w:rPr>
      </w:pPr>
      <w:bookmarkStart w:id="930" w:name="_Toc485125602"/>
      <w:r>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1</w:t>
      </w:r>
      <w:r w:rsidR="00272F76">
        <w:rPr>
          <w:noProof/>
        </w:rPr>
        <w:fldChar w:fldCharType="end"/>
      </w:r>
      <w:r>
        <w:t xml:space="preserve">. </w:t>
      </w:r>
      <w:r w:rsidR="00E01C42" w:rsidRPr="00C81F0D">
        <w:t>Home Energy Reports - Key Assumptions</w:t>
      </w:r>
      <w:bookmarkEnd w:id="930"/>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E01C42" w:rsidRPr="00734722" w14:paraId="29FB0FDA"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04FF1B3E"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49C4C1E9"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1C4FDDD1"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3EFD4A0E"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160EDE98"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537E2916"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734722" w14:paraId="228E9AAF" w14:textId="77777777" w:rsidTr="008C0AC4">
        <w:trPr>
          <w:cantSplit/>
          <w:trHeight w:val="144"/>
          <w:jc w:val="center"/>
        </w:trPr>
        <w:tc>
          <w:tcPr>
            <w:tcW w:w="1120" w:type="dxa"/>
            <w:vMerge/>
            <w:tcBorders>
              <w:bottom w:val="single" w:sz="12" w:space="0" w:color="95D600"/>
            </w:tcBorders>
            <w:shd w:val="clear" w:color="auto" w:fill="auto"/>
            <w:hideMark/>
          </w:tcPr>
          <w:p w14:paraId="1F9BF663" w14:textId="77777777" w:rsidR="00E01C42" w:rsidRPr="00734722" w:rsidRDefault="00E01C42" w:rsidP="008C0AC4">
            <w:pPr>
              <w:spacing w:before="40" w:after="40"/>
              <w:jc w:val="center"/>
            </w:pPr>
          </w:p>
        </w:tc>
        <w:tc>
          <w:tcPr>
            <w:tcW w:w="1524" w:type="dxa"/>
            <w:vMerge/>
            <w:tcBorders>
              <w:bottom w:val="single" w:sz="12" w:space="0" w:color="95D600"/>
            </w:tcBorders>
            <w:shd w:val="clear" w:color="auto" w:fill="auto"/>
            <w:hideMark/>
          </w:tcPr>
          <w:p w14:paraId="3D4805C9" w14:textId="77777777" w:rsidR="00E01C42" w:rsidRPr="00734722" w:rsidRDefault="00E01C42" w:rsidP="008C0AC4">
            <w:pPr>
              <w:spacing w:before="40" w:after="40"/>
              <w:jc w:val="center"/>
            </w:pPr>
          </w:p>
        </w:tc>
        <w:tc>
          <w:tcPr>
            <w:tcW w:w="1002" w:type="dxa"/>
            <w:vMerge/>
            <w:tcBorders>
              <w:bottom w:val="single" w:sz="12" w:space="0" w:color="95D600"/>
            </w:tcBorders>
            <w:shd w:val="clear" w:color="auto" w:fill="555759"/>
            <w:hideMark/>
          </w:tcPr>
          <w:p w14:paraId="0F12D759" w14:textId="77777777" w:rsidR="00E01C42" w:rsidRPr="00734722"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60DC3750"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7B42EAED"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513B7165"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707A0DB9"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156D70D7" w14:textId="77777777" w:rsidR="00E01C42" w:rsidRPr="00734722" w:rsidRDefault="00E01C42" w:rsidP="008C0AC4">
            <w:pPr>
              <w:spacing w:before="40" w:after="40"/>
              <w:jc w:val="center"/>
            </w:pPr>
          </w:p>
        </w:tc>
      </w:tr>
      <w:tr w:rsidR="00E01C42" w:rsidRPr="00734722" w14:paraId="1E9B0619" w14:textId="77777777" w:rsidTr="008C0AC4">
        <w:trPr>
          <w:cantSplit/>
          <w:trHeight w:val="738"/>
          <w:jc w:val="center"/>
        </w:trPr>
        <w:tc>
          <w:tcPr>
            <w:tcW w:w="1120" w:type="dxa"/>
            <w:tcBorders>
              <w:top w:val="single" w:sz="12" w:space="0" w:color="95D600"/>
            </w:tcBorders>
            <w:shd w:val="clear" w:color="auto" w:fill="FFFFFF"/>
            <w:hideMark/>
          </w:tcPr>
          <w:p w14:paraId="53D0F65A" w14:textId="77777777" w:rsidR="00E01C42" w:rsidRPr="00734722" w:rsidRDefault="00E01C42" w:rsidP="008C0AC4">
            <w:pPr>
              <w:spacing w:before="40" w:after="40"/>
              <w:jc w:val="center"/>
            </w:pPr>
            <w:r w:rsidRPr="00734722">
              <w:t>RES</w:t>
            </w:r>
          </w:p>
        </w:tc>
        <w:tc>
          <w:tcPr>
            <w:tcW w:w="1524" w:type="dxa"/>
            <w:tcBorders>
              <w:top w:val="single" w:sz="12" w:space="0" w:color="95D600"/>
            </w:tcBorders>
            <w:shd w:val="clear" w:color="auto" w:fill="FFFFFF"/>
            <w:hideMark/>
          </w:tcPr>
          <w:p w14:paraId="1287BF2D" w14:textId="77777777" w:rsidR="00E01C42" w:rsidRPr="00734722" w:rsidRDefault="00E01C42" w:rsidP="008C0AC4">
            <w:pPr>
              <w:spacing w:before="40" w:after="40"/>
              <w:jc w:val="center"/>
            </w:pPr>
            <w:r w:rsidRPr="00734722">
              <w:t>Home Energy Reports (HERs)</w:t>
            </w:r>
          </w:p>
        </w:tc>
        <w:tc>
          <w:tcPr>
            <w:tcW w:w="1002" w:type="dxa"/>
            <w:tcBorders>
              <w:top w:val="single" w:sz="12" w:space="0" w:color="95D600"/>
            </w:tcBorders>
            <w:shd w:val="clear" w:color="auto" w:fill="FFFFFF"/>
            <w:hideMark/>
          </w:tcPr>
          <w:p w14:paraId="7CBDEB13" w14:textId="77777777" w:rsidR="00E01C42" w:rsidRPr="00734722" w:rsidRDefault="00E01C42" w:rsidP="008C0AC4">
            <w:pPr>
              <w:spacing w:before="40" w:after="40"/>
              <w:jc w:val="center"/>
            </w:pPr>
            <w:r w:rsidRPr="00734722">
              <w:t>1</w:t>
            </w:r>
          </w:p>
        </w:tc>
        <w:tc>
          <w:tcPr>
            <w:tcW w:w="949" w:type="dxa"/>
            <w:tcBorders>
              <w:top w:val="single" w:sz="12" w:space="0" w:color="95D600"/>
            </w:tcBorders>
            <w:shd w:val="clear" w:color="auto" w:fill="FFFFFF"/>
            <w:hideMark/>
          </w:tcPr>
          <w:p w14:paraId="1CF02DEB" w14:textId="77777777" w:rsidR="00E01C42" w:rsidRPr="00734722" w:rsidRDefault="00E01C42" w:rsidP="008C0AC4">
            <w:pPr>
              <w:spacing w:before="40" w:after="40"/>
              <w:jc w:val="center"/>
            </w:pPr>
            <w:r w:rsidRPr="00734722">
              <w:t>1.0 – 2.3%</w:t>
            </w:r>
          </w:p>
        </w:tc>
        <w:tc>
          <w:tcPr>
            <w:tcW w:w="1121" w:type="dxa"/>
            <w:tcBorders>
              <w:top w:val="single" w:sz="12" w:space="0" w:color="95D600"/>
            </w:tcBorders>
            <w:shd w:val="clear" w:color="auto" w:fill="FFFFFF"/>
            <w:hideMark/>
          </w:tcPr>
          <w:p w14:paraId="451E4725" w14:textId="77777777" w:rsidR="00E01C42" w:rsidRPr="00734722" w:rsidRDefault="00E01C42" w:rsidP="008C0AC4">
            <w:pPr>
              <w:spacing w:before="40" w:after="40"/>
              <w:jc w:val="center"/>
            </w:pPr>
            <w:r w:rsidRPr="00734722">
              <w:t>0.6% – 1.9%</w:t>
            </w:r>
          </w:p>
        </w:tc>
        <w:tc>
          <w:tcPr>
            <w:tcW w:w="960" w:type="dxa"/>
            <w:tcBorders>
              <w:top w:val="single" w:sz="12" w:space="0" w:color="95D600"/>
            </w:tcBorders>
            <w:shd w:val="clear" w:color="auto" w:fill="FFFFFF"/>
            <w:hideMark/>
          </w:tcPr>
          <w:p w14:paraId="359C27D1" w14:textId="77777777" w:rsidR="00E01C42" w:rsidRPr="00734722" w:rsidRDefault="00E01C42" w:rsidP="008C0AC4">
            <w:pPr>
              <w:spacing w:before="40" w:after="40"/>
              <w:jc w:val="center"/>
            </w:pPr>
            <w:r w:rsidRPr="00734722">
              <w:t>$0.09</w:t>
            </w:r>
            <w:r w:rsidR="008C0AC4">
              <w:t xml:space="preserve"> - $.29</w:t>
            </w:r>
            <w:r w:rsidRPr="00734722">
              <w:t xml:space="preserve"> </w:t>
            </w:r>
          </w:p>
        </w:tc>
        <w:tc>
          <w:tcPr>
            <w:tcW w:w="1106" w:type="dxa"/>
            <w:tcBorders>
              <w:top w:val="single" w:sz="12" w:space="0" w:color="95D600"/>
            </w:tcBorders>
            <w:shd w:val="clear" w:color="auto" w:fill="FFFFFF"/>
            <w:hideMark/>
          </w:tcPr>
          <w:p w14:paraId="42B03A71" w14:textId="77777777" w:rsidR="00E01C42" w:rsidRPr="00734722" w:rsidRDefault="00E01C42" w:rsidP="008C0AC4">
            <w:pPr>
              <w:spacing w:before="40" w:after="40"/>
              <w:jc w:val="center"/>
            </w:pPr>
            <w:r w:rsidRPr="00734722">
              <w:t>$3.06</w:t>
            </w:r>
            <w:r w:rsidR="008C0AC4">
              <w:t xml:space="preserve"> - $4.11</w:t>
            </w:r>
            <w:r w:rsidRPr="00734722">
              <w:t xml:space="preserve"> </w:t>
            </w:r>
          </w:p>
        </w:tc>
        <w:tc>
          <w:tcPr>
            <w:tcW w:w="1700" w:type="dxa"/>
            <w:tcBorders>
              <w:top w:val="single" w:sz="12" w:space="0" w:color="95D600"/>
            </w:tcBorders>
            <w:shd w:val="clear" w:color="auto" w:fill="FFFFFF"/>
            <w:hideMark/>
          </w:tcPr>
          <w:p w14:paraId="7DBEDFC2" w14:textId="77777777" w:rsidR="00E01C42" w:rsidRPr="00734722" w:rsidRDefault="00E01C42" w:rsidP="008C0AC4">
            <w:pPr>
              <w:spacing w:before="40" w:after="40"/>
              <w:jc w:val="center"/>
            </w:pPr>
            <w:r w:rsidRPr="00734722">
              <w:t>0.00019058</w:t>
            </w:r>
          </w:p>
        </w:tc>
      </w:tr>
    </w:tbl>
    <w:p w14:paraId="3C45A0DC" w14:textId="77777777" w:rsidR="00E01C42" w:rsidRDefault="00E01C42" w:rsidP="00E01C42">
      <w:pPr>
        <w:spacing w:line="240" w:lineRule="auto"/>
        <w:rPr>
          <w:b/>
        </w:rPr>
      </w:pPr>
    </w:p>
    <w:p w14:paraId="5638DF1A" w14:textId="77777777" w:rsidR="00E01C42" w:rsidRDefault="00E01C42" w:rsidP="00E01C42">
      <w:pPr>
        <w:rPr>
          <w:b/>
        </w:rPr>
      </w:pPr>
      <w:r w:rsidRPr="00DF089C">
        <w:rPr>
          <w:b/>
        </w:rPr>
        <w:t>Assumptions and Methodology</w:t>
      </w:r>
    </w:p>
    <w:p w14:paraId="5ED3D7B6" w14:textId="77777777" w:rsidR="00E01C42" w:rsidRPr="00DF089C" w:rsidRDefault="00E01C42" w:rsidP="00E01C42">
      <w:pPr>
        <w:rPr>
          <w:b/>
        </w:rPr>
      </w:pPr>
    </w:p>
    <w:p w14:paraId="00075735" w14:textId="77777777" w:rsidR="00E01C42" w:rsidRDefault="00E01C42" w:rsidP="00E01C42">
      <w:pPr>
        <w:rPr>
          <w:b/>
          <w:i/>
          <w:szCs w:val="20"/>
        </w:rPr>
      </w:pPr>
      <w:r w:rsidRPr="00DF089C">
        <w:rPr>
          <w:b/>
          <w:i/>
          <w:szCs w:val="20"/>
        </w:rPr>
        <w:t>Eligibility and Participation</w:t>
      </w:r>
    </w:p>
    <w:p w14:paraId="34A949EC" w14:textId="77777777" w:rsidR="00E01C42" w:rsidRDefault="00E01C42" w:rsidP="00E01C42">
      <w:pPr>
        <w:rPr>
          <w:szCs w:val="20"/>
        </w:rPr>
      </w:pPr>
      <w:r>
        <w:rPr>
          <w:szCs w:val="20"/>
        </w:rPr>
        <w:t xml:space="preserve">Although all targeted residential households may receive HERs as participants in an opt-out program, in practice, </w:t>
      </w:r>
      <w:r w:rsidR="008C0AC4">
        <w:rPr>
          <w:szCs w:val="20"/>
        </w:rPr>
        <w:t>PG&amp;E found that 0.5</w:t>
      </w:r>
      <w:r>
        <w:rPr>
          <w:szCs w:val="20"/>
        </w:rPr>
        <w:t>% of customers elect to opt out. For this reason, we reduced applicability to 9</w:t>
      </w:r>
      <w:r w:rsidR="008C0AC4">
        <w:rPr>
          <w:szCs w:val="20"/>
        </w:rPr>
        <w:t>9.5</w:t>
      </w:r>
      <w:r>
        <w:rPr>
          <w:szCs w:val="20"/>
        </w:rPr>
        <w:t xml:space="preserve">% for single family homes. Applicability for multi-family homes is further reduced to </w:t>
      </w:r>
      <w:r w:rsidR="008C0AC4">
        <w:rPr>
          <w:szCs w:val="20"/>
        </w:rPr>
        <w:t>89.5</w:t>
      </w:r>
      <w:r>
        <w:rPr>
          <w:szCs w:val="20"/>
        </w:rPr>
        <w:t>%, dropping another 10% in order to account for multifamily homes that do not have individual meters.</w:t>
      </w:r>
      <w:r>
        <w:rPr>
          <w:rStyle w:val="FootnoteReference"/>
          <w:szCs w:val="20"/>
        </w:rPr>
        <w:footnoteReference w:id="94"/>
      </w:r>
      <w:r w:rsidR="008C0AC4">
        <w:rPr>
          <w:szCs w:val="20"/>
        </w:rPr>
        <w:t xml:space="preserve"> SCE provided data indicating that only 0.17% of their multifamily customers are master-metered, so the applicability in their territory remains higher, at 99.33%.</w:t>
      </w:r>
    </w:p>
    <w:p w14:paraId="5D85A904" w14:textId="77777777" w:rsidR="00E01C42" w:rsidRDefault="00E01C42" w:rsidP="00E01C42">
      <w:pPr>
        <w:rPr>
          <w:szCs w:val="20"/>
        </w:rPr>
      </w:pPr>
    </w:p>
    <w:p w14:paraId="6BB1F476" w14:textId="77777777" w:rsidR="00E01C42" w:rsidRDefault="00E01C42" w:rsidP="00E01C42">
      <w:pPr>
        <w:rPr>
          <w:szCs w:val="20"/>
        </w:rPr>
      </w:pPr>
      <w:r w:rsidRPr="00065CEA">
        <w:rPr>
          <w:szCs w:val="20"/>
        </w:rPr>
        <w:lastRenderedPageBreak/>
        <w:t>While participation rates in HER programs fluctuate over time due to program opt-outs, customer moves, and changes in program implementation such as adding new waves, specific forecasts require details beyond those publicly available via</w:t>
      </w:r>
      <w:r>
        <w:rPr>
          <w:szCs w:val="20"/>
        </w:rPr>
        <w:t xml:space="preserve"> 2017</w:t>
      </w:r>
      <w:r w:rsidRPr="00065CEA">
        <w:rPr>
          <w:szCs w:val="20"/>
        </w:rPr>
        <w:t xml:space="preserve"> IOU-filed Rolling Business Plans.</w:t>
      </w:r>
      <w:r w:rsidR="00AA5F34">
        <w:rPr>
          <w:rStyle w:val="FootnoteReference"/>
          <w:szCs w:val="20"/>
        </w:rPr>
        <w:footnoteReference w:id="95"/>
      </w:r>
      <w:r w:rsidRPr="00065CEA">
        <w:rPr>
          <w:szCs w:val="20"/>
        </w:rPr>
        <w:t xml:space="preserve"> For this reason, the team reviewed all formal </w:t>
      </w:r>
      <w:r>
        <w:rPr>
          <w:szCs w:val="20"/>
        </w:rPr>
        <w:t xml:space="preserve">California </w:t>
      </w:r>
      <w:r w:rsidRPr="00065CEA">
        <w:rPr>
          <w:szCs w:val="20"/>
        </w:rPr>
        <w:t xml:space="preserve">IOU evaluations of HERS programs to ascertain historic HER program participation rates and wave sizes and then applied a weighted average of IOU wave sizes to forecast the future </w:t>
      </w:r>
      <w:r w:rsidRPr="003E5284">
        <w:rPr>
          <w:szCs w:val="20"/>
        </w:rPr>
        <w:t>cohort waves according to the number of households within a given service territory.</w:t>
      </w:r>
      <w:r w:rsidRPr="009F0B3E">
        <w:rPr>
          <w:rStyle w:val="FootnoteReference"/>
          <w:szCs w:val="20"/>
        </w:rPr>
        <w:footnoteReference w:id="96"/>
      </w:r>
      <w:r w:rsidRPr="009F0B3E">
        <w:rPr>
          <w:szCs w:val="20"/>
          <w:vertAlign w:val="superscript"/>
        </w:rPr>
        <w:t>,</w:t>
      </w:r>
      <w:r w:rsidRPr="009F0B3E">
        <w:rPr>
          <w:rStyle w:val="FootnoteReference"/>
          <w:szCs w:val="20"/>
        </w:rPr>
        <w:footnoteReference w:id="97"/>
      </w:r>
      <w:r w:rsidRPr="009F0B3E">
        <w:rPr>
          <w:szCs w:val="20"/>
          <w:vertAlign w:val="superscript"/>
        </w:rPr>
        <w:t>,</w:t>
      </w:r>
      <w:r w:rsidRPr="009F0B3E">
        <w:rPr>
          <w:rStyle w:val="FootnoteReference"/>
          <w:szCs w:val="20"/>
        </w:rPr>
        <w:footnoteReference w:id="98"/>
      </w:r>
      <w:r>
        <w:rPr>
          <w:rStyle w:val="FootnoteReference"/>
          <w:szCs w:val="20"/>
        </w:rPr>
        <w:t>,</w:t>
      </w:r>
      <w:r w:rsidRPr="003E5284">
        <w:rPr>
          <w:rStyle w:val="FootnoteReference"/>
          <w:szCs w:val="20"/>
        </w:rPr>
        <w:footnoteReference w:id="99"/>
      </w:r>
      <w:r>
        <w:rPr>
          <w:rStyle w:val="FootnoteReference"/>
          <w:szCs w:val="20"/>
        </w:rPr>
        <w:t>,</w:t>
      </w:r>
      <w:r w:rsidRPr="003E5284">
        <w:rPr>
          <w:rStyle w:val="FootnoteReference"/>
          <w:szCs w:val="20"/>
        </w:rPr>
        <w:footnoteReference w:id="100"/>
      </w:r>
      <w:r>
        <w:rPr>
          <w:rStyle w:val="FootnoteReference"/>
          <w:szCs w:val="20"/>
        </w:rPr>
        <w:t>,</w:t>
      </w:r>
      <w:r w:rsidRPr="003E5284">
        <w:rPr>
          <w:rStyle w:val="FootnoteReference"/>
          <w:szCs w:val="20"/>
        </w:rPr>
        <w:footnoteReference w:id="101"/>
      </w:r>
      <w:r>
        <w:rPr>
          <w:rStyle w:val="FootnoteReference"/>
          <w:szCs w:val="20"/>
        </w:rPr>
        <w:t>,</w:t>
      </w:r>
      <w:r w:rsidRPr="003E5284">
        <w:rPr>
          <w:rStyle w:val="FootnoteReference"/>
          <w:szCs w:val="20"/>
        </w:rPr>
        <w:footnoteReference w:id="102"/>
      </w:r>
      <w:r>
        <w:rPr>
          <w:rStyle w:val="FootnoteReference"/>
          <w:szCs w:val="20"/>
        </w:rPr>
        <w:t>,</w:t>
      </w:r>
      <w:r w:rsidRPr="003E5284">
        <w:rPr>
          <w:rStyle w:val="FootnoteReference"/>
          <w:szCs w:val="20"/>
        </w:rPr>
        <w:footnoteReference w:id="103"/>
      </w:r>
      <w:r>
        <w:rPr>
          <w:rStyle w:val="FootnoteReference"/>
          <w:szCs w:val="20"/>
        </w:rPr>
        <w:t>,</w:t>
      </w:r>
      <w:r w:rsidRPr="003E5284">
        <w:rPr>
          <w:rStyle w:val="FootnoteReference"/>
          <w:szCs w:val="20"/>
        </w:rPr>
        <w:footnoteReference w:id="104"/>
      </w:r>
      <w:r w:rsidRPr="003E5284">
        <w:rPr>
          <w:szCs w:val="20"/>
        </w:rPr>
        <w:t xml:space="preserve"> </w:t>
      </w:r>
      <w:r w:rsidR="00663698">
        <w:rPr>
          <w:szCs w:val="20"/>
        </w:rPr>
        <w:t>Additionally, SCG indicated that they would not deploy a HER program until 2018.</w:t>
      </w:r>
      <w:r w:rsidR="004B6594">
        <w:rPr>
          <w:rStyle w:val="FootnoteReference"/>
          <w:szCs w:val="20"/>
        </w:rPr>
        <w:footnoteReference w:id="105"/>
      </w:r>
      <w:r w:rsidR="00663698">
        <w:rPr>
          <w:szCs w:val="20"/>
        </w:rPr>
        <w:t xml:space="preserve"> </w:t>
      </w:r>
      <w:r w:rsidR="009C1697">
        <w:rPr>
          <w:szCs w:val="20"/>
        </w:rPr>
        <w:t xml:space="preserve">Finally, a cap was placed on the penetration of HERs based on feedback from PG&amp;E that the bottom quartile of energy consumers will not be targeted and an equal number of customers need to be reserved as a comparison group for evaluation purposes. </w:t>
      </w:r>
      <w:r w:rsidRPr="003E5284">
        <w:rPr>
          <w:szCs w:val="20"/>
        </w:rPr>
        <w:t>The</w:t>
      </w:r>
      <w:r w:rsidRPr="00065CEA">
        <w:rPr>
          <w:szCs w:val="20"/>
        </w:rPr>
        <w:t xml:space="preserve"> behavioral model then applies these projected penetration rates to the number of forecasted IOU households, which increase</w:t>
      </w:r>
      <w:r>
        <w:rPr>
          <w:szCs w:val="20"/>
        </w:rPr>
        <w:t>s</w:t>
      </w:r>
      <w:r w:rsidRPr="00065CEA">
        <w:rPr>
          <w:szCs w:val="20"/>
        </w:rPr>
        <w:t xml:space="preserve"> over time from 2016-2030</w:t>
      </w:r>
      <w:r>
        <w:rPr>
          <w:szCs w:val="20"/>
        </w:rPr>
        <w:t>,</w:t>
      </w:r>
      <w:r w:rsidR="00663698">
        <w:rPr>
          <w:szCs w:val="20"/>
        </w:rPr>
        <w:t xml:space="preserve"> </w:t>
      </w:r>
      <w:r>
        <w:rPr>
          <w:szCs w:val="20"/>
        </w:rPr>
        <w:t>resulting in an increase in</w:t>
      </w:r>
      <w:r w:rsidRPr="00065CEA">
        <w:rPr>
          <w:szCs w:val="20"/>
        </w:rPr>
        <w:t xml:space="preserve"> the absolute number of actual HER participants </w:t>
      </w:r>
      <w:r>
        <w:rPr>
          <w:szCs w:val="20"/>
        </w:rPr>
        <w:t>over time.</w:t>
      </w:r>
    </w:p>
    <w:p w14:paraId="24FC564B" w14:textId="77777777" w:rsidR="00E01C42" w:rsidRPr="00065CEA" w:rsidRDefault="00E01C42" w:rsidP="00E01C42">
      <w:pPr>
        <w:rPr>
          <w:szCs w:val="20"/>
        </w:rPr>
      </w:pPr>
    </w:p>
    <w:p w14:paraId="7F8745CC" w14:textId="77777777" w:rsidR="00E01C42" w:rsidRDefault="00E01C42" w:rsidP="00E01C42">
      <w:pPr>
        <w:rPr>
          <w:szCs w:val="20"/>
        </w:rPr>
      </w:pPr>
      <w:r>
        <w:rPr>
          <w:b/>
          <w:i/>
          <w:szCs w:val="20"/>
        </w:rPr>
        <w:t>Savings</w:t>
      </w:r>
    </w:p>
    <w:p w14:paraId="038D990D" w14:textId="77777777" w:rsidR="00E01C42" w:rsidRDefault="00E01C42" w:rsidP="00E01C42">
      <w:pPr>
        <w:rPr>
          <w:szCs w:val="20"/>
        </w:rPr>
      </w:pPr>
      <w:r w:rsidRPr="001F55DD">
        <w:rPr>
          <w:szCs w:val="20"/>
        </w:rPr>
        <w:t xml:space="preserve">The team </w:t>
      </w:r>
      <w:r w:rsidRPr="00065CEA">
        <w:rPr>
          <w:szCs w:val="20"/>
        </w:rPr>
        <w:t xml:space="preserve">reviewed </w:t>
      </w:r>
      <w:r>
        <w:rPr>
          <w:szCs w:val="20"/>
        </w:rPr>
        <w:t>the above-mentioned evaluations of all IOU HER</w:t>
      </w:r>
      <w:r w:rsidRPr="00065CEA">
        <w:rPr>
          <w:szCs w:val="20"/>
        </w:rPr>
        <w:t xml:space="preserve"> programs to compile </w:t>
      </w:r>
      <w:r w:rsidRPr="001F55DD">
        <w:rPr>
          <w:szCs w:val="20"/>
        </w:rPr>
        <w:t>per-household adjusted savings rates for each</w:t>
      </w:r>
      <w:r w:rsidRPr="00065CEA">
        <w:rPr>
          <w:szCs w:val="20"/>
        </w:rPr>
        <w:t xml:space="preserve"> wave of each year of</w:t>
      </w:r>
      <w:r w:rsidRPr="001F55DD">
        <w:rPr>
          <w:szCs w:val="20"/>
        </w:rPr>
        <w:t xml:space="preserve"> </w:t>
      </w:r>
      <w:r>
        <w:rPr>
          <w:szCs w:val="20"/>
        </w:rPr>
        <w:t>each HER</w:t>
      </w:r>
      <w:r w:rsidRPr="00065CEA">
        <w:rPr>
          <w:szCs w:val="20"/>
        </w:rPr>
        <w:t xml:space="preserve"> program, spanning from 2011-2014</w:t>
      </w:r>
      <w:r>
        <w:rPr>
          <w:szCs w:val="20"/>
        </w:rPr>
        <w:t>,</w:t>
      </w:r>
      <w:r w:rsidRPr="00065CEA">
        <w:rPr>
          <w:szCs w:val="20"/>
        </w:rPr>
        <w:t xml:space="preserve"> depending upon each utility’s first year of operation.</w:t>
      </w:r>
      <w:r>
        <w:rPr>
          <w:rStyle w:val="FootnoteReference"/>
          <w:szCs w:val="20"/>
        </w:rPr>
        <w:footnoteReference w:id="106"/>
      </w:r>
      <w:r>
        <w:rPr>
          <w:szCs w:val="20"/>
          <w:vertAlign w:val="superscript"/>
        </w:rPr>
        <w:t>,</w:t>
      </w:r>
      <w:r>
        <w:rPr>
          <w:rStyle w:val="FootnoteReference"/>
          <w:szCs w:val="20"/>
        </w:rPr>
        <w:footnoteReference w:id="107"/>
      </w:r>
      <w:r w:rsidRPr="00065CEA">
        <w:rPr>
          <w:szCs w:val="20"/>
        </w:rPr>
        <w:t xml:space="preserve"> We then calculated </w:t>
      </w:r>
      <w:r w:rsidRPr="001F55DD">
        <w:rPr>
          <w:szCs w:val="20"/>
        </w:rPr>
        <w:t>weighted average</w:t>
      </w:r>
      <w:r w:rsidRPr="00065CEA">
        <w:rPr>
          <w:szCs w:val="20"/>
        </w:rPr>
        <w:t>s</w:t>
      </w:r>
      <w:r w:rsidRPr="001F55DD">
        <w:rPr>
          <w:szCs w:val="20"/>
        </w:rPr>
        <w:t xml:space="preserve"> using </w:t>
      </w:r>
      <w:r w:rsidRPr="001F55DD">
        <w:rPr>
          <w:szCs w:val="20"/>
        </w:rPr>
        <w:lastRenderedPageBreak/>
        <w:t>each individual wave treatment participation numbers and per househol</w:t>
      </w:r>
      <w:r w:rsidRPr="00065CEA">
        <w:rPr>
          <w:szCs w:val="20"/>
        </w:rPr>
        <w:t xml:space="preserve">d savings percentages to derive singular values for kWh and therm savings </w:t>
      </w:r>
      <w:r w:rsidRPr="001F55DD">
        <w:rPr>
          <w:szCs w:val="20"/>
        </w:rPr>
        <w:t xml:space="preserve">that </w:t>
      </w:r>
      <w:r w:rsidRPr="00065CEA">
        <w:rPr>
          <w:szCs w:val="20"/>
        </w:rPr>
        <w:t>can</w:t>
      </w:r>
      <w:r w:rsidRPr="001F55DD">
        <w:rPr>
          <w:szCs w:val="20"/>
        </w:rPr>
        <w:t xml:space="preserve"> be applied across the full treatment population</w:t>
      </w:r>
      <w:r w:rsidRPr="00065CEA">
        <w:rPr>
          <w:szCs w:val="20"/>
        </w:rPr>
        <w:t xml:space="preserve">s for each utility. </w:t>
      </w:r>
    </w:p>
    <w:p w14:paraId="6A353799" w14:textId="77777777" w:rsidR="00E01C42" w:rsidRDefault="00E01C42" w:rsidP="00E01C42">
      <w:pPr>
        <w:rPr>
          <w:szCs w:val="20"/>
        </w:rPr>
      </w:pPr>
    </w:p>
    <w:p w14:paraId="16A2EB69" w14:textId="77777777" w:rsidR="00E01C42" w:rsidRDefault="00E01C42" w:rsidP="00E01C42">
      <w:pPr>
        <w:rPr>
          <w:szCs w:val="20"/>
        </w:rPr>
      </w:pPr>
      <w:r>
        <w:rPr>
          <w:szCs w:val="20"/>
        </w:rPr>
        <w:t>The model uses an EUL of one year for HER program participants. That is, while customers may participate in a utility HER program for more than one year, their average adjusted savings is assumed to be the same as for all other participants in that year. While some recent evaluations of HERs programs have found savings persistence of more than one year, reported savings percentages vary, with some sources citing higher later year savings and others showing a degradation of savings over time. For this model, an EUL of one year is assumed, as is standard with traditional persistence calculations for HER programs.</w:t>
      </w:r>
    </w:p>
    <w:p w14:paraId="032DD42B" w14:textId="77777777" w:rsidR="00E01C42" w:rsidRPr="00065CEA" w:rsidRDefault="00E01C42" w:rsidP="00E01C42">
      <w:pPr>
        <w:rPr>
          <w:szCs w:val="20"/>
        </w:rPr>
      </w:pPr>
    </w:p>
    <w:p w14:paraId="103131DE" w14:textId="77777777" w:rsidR="00E01C42" w:rsidRDefault="00E01C42" w:rsidP="00E01C42">
      <w:pPr>
        <w:rPr>
          <w:szCs w:val="20"/>
        </w:rPr>
      </w:pPr>
      <w:r>
        <w:rPr>
          <w:szCs w:val="20"/>
        </w:rPr>
        <w:t xml:space="preserve">The ratio of kW to kWh </w:t>
      </w:r>
      <w:r w:rsidRPr="00065CEA">
        <w:rPr>
          <w:szCs w:val="20"/>
        </w:rPr>
        <w:t>savings was developed using a weighted average of adjusted kW and kWh savings as reported in DNV-GL’s 2013 and 2014 evaluation findings for PG&amp;E and SCE. SDG&amp;E</w:t>
      </w:r>
      <w:r>
        <w:rPr>
          <w:szCs w:val="20"/>
        </w:rPr>
        <w:t>’s</w:t>
      </w:r>
      <w:r w:rsidRPr="00065CEA">
        <w:rPr>
          <w:szCs w:val="20"/>
        </w:rPr>
        <w:t xml:space="preserve"> kW demand data was not </w:t>
      </w:r>
      <w:r>
        <w:rPr>
          <w:szCs w:val="20"/>
        </w:rPr>
        <w:t>reported in its formal evaluations</w:t>
      </w:r>
      <w:r w:rsidRPr="00065CEA">
        <w:rPr>
          <w:szCs w:val="20"/>
        </w:rPr>
        <w:t xml:space="preserve"> and thus </w:t>
      </w:r>
      <w:r>
        <w:rPr>
          <w:szCs w:val="20"/>
        </w:rPr>
        <w:t>we have applied</w:t>
      </w:r>
      <w:r w:rsidRPr="00065CEA">
        <w:rPr>
          <w:szCs w:val="20"/>
        </w:rPr>
        <w:t xml:space="preserve"> the same </w:t>
      </w:r>
      <w:r>
        <w:rPr>
          <w:szCs w:val="20"/>
        </w:rPr>
        <w:t>value</w:t>
      </w:r>
      <w:r w:rsidRPr="00065CEA">
        <w:rPr>
          <w:szCs w:val="20"/>
        </w:rPr>
        <w:t xml:space="preserve"> as used for PG&amp;E and SCE.</w:t>
      </w:r>
    </w:p>
    <w:p w14:paraId="4A52C6A0" w14:textId="77777777" w:rsidR="00E01C42" w:rsidRPr="001F55DD" w:rsidRDefault="00E01C42" w:rsidP="00E01C42">
      <w:pPr>
        <w:rPr>
          <w:szCs w:val="20"/>
        </w:rPr>
      </w:pPr>
    </w:p>
    <w:p w14:paraId="649AC2B6" w14:textId="77777777" w:rsidR="00E01C42" w:rsidRDefault="00E01C42" w:rsidP="00E01C42">
      <w:pPr>
        <w:rPr>
          <w:szCs w:val="20"/>
        </w:rPr>
      </w:pPr>
      <w:r w:rsidRPr="00DF089C">
        <w:rPr>
          <w:b/>
          <w:i/>
          <w:szCs w:val="20"/>
        </w:rPr>
        <w:t>Cost</w:t>
      </w:r>
    </w:p>
    <w:p w14:paraId="202CB11C" w14:textId="77777777" w:rsidR="00E01C42" w:rsidRPr="00065CEA" w:rsidRDefault="00E01C42" w:rsidP="00E01C42">
      <w:pPr>
        <w:rPr>
          <w:szCs w:val="20"/>
        </w:rPr>
      </w:pPr>
      <w:r w:rsidRPr="00065CEA">
        <w:rPr>
          <w:szCs w:val="20"/>
        </w:rPr>
        <w:t>Cost</w:t>
      </w:r>
      <w:r>
        <w:rPr>
          <w:szCs w:val="20"/>
        </w:rPr>
        <w:t>s</w:t>
      </w:r>
      <w:r w:rsidRPr="00065CEA">
        <w:rPr>
          <w:szCs w:val="20"/>
        </w:rPr>
        <w:t xml:space="preserve"> per unit of kWh and therm savings </w:t>
      </w:r>
      <w:r>
        <w:rPr>
          <w:szCs w:val="20"/>
        </w:rPr>
        <w:t>were</w:t>
      </w:r>
      <w:r w:rsidRPr="00065CEA">
        <w:rPr>
          <w:szCs w:val="20"/>
        </w:rPr>
        <w:t xml:space="preserve"> calculated based on utility-reported HER program costs for 2013 and 2014 as found at </w:t>
      </w:r>
      <w:r w:rsidRPr="000414FF">
        <w:rPr>
          <w:szCs w:val="20"/>
        </w:rPr>
        <w:t>eestats.cpuc.ca.gov</w:t>
      </w:r>
      <w:r w:rsidRPr="00065CEA">
        <w:rPr>
          <w:szCs w:val="20"/>
        </w:rPr>
        <w:t>. These costs were divided by the adjusted kWh and therm s</w:t>
      </w:r>
      <w:r>
        <w:rPr>
          <w:szCs w:val="20"/>
        </w:rPr>
        <w:t>avings as reported in the above-</w:t>
      </w:r>
      <w:r w:rsidRPr="00065CEA">
        <w:rPr>
          <w:szCs w:val="20"/>
        </w:rPr>
        <w:t xml:space="preserve">mentioned 2013 and 2014 DNV-GL evaluation findings for </w:t>
      </w:r>
      <w:r w:rsidR="00663698">
        <w:rPr>
          <w:szCs w:val="20"/>
        </w:rPr>
        <w:t>SCE</w:t>
      </w:r>
      <w:r w:rsidRPr="00065CEA">
        <w:rPr>
          <w:szCs w:val="20"/>
        </w:rPr>
        <w:t xml:space="preserve"> and SDG&amp;E. </w:t>
      </w:r>
      <w:r w:rsidR="00663698">
        <w:rPr>
          <w:szCs w:val="20"/>
        </w:rPr>
        <w:t>PG&amp;E provided their own cost values.</w:t>
      </w:r>
      <w:r w:rsidR="004B6594">
        <w:rPr>
          <w:rStyle w:val="FootnoteReference"/>
          <w:szCs w:val="20"/>
        </w:rPr>
        <w:footnoteReference w:id="108"/>
      </w:r>
      <w:r w:rsidR="00663698">
        <w:rPr>
          <w:szCs w:val="20"/>
        </w:rPr>
        <w:t xml:space="preserve"> </w:t>
      </w:r>
      <w:r w:rsidRPr="00065CEA">
        <w:rPr>
          <w:szCs w:val="20"/>
        </w:rPr>
        <w:t xml:space="preserve">Therm savings for </w:t>
      </w:r>
      <w:r>
        <w:rPr>
          <w:szCs w:val="20"/>
        </w:rPr>
        <w:t xml:space="preserve">multiple years of </w:t>
      </w:r>
      <w:r w:rsidRPr="00065CEA">
        <w:rPr>
          <w:szCs w:val="20"/>
        </w:rPr>
        <w:t xml:space="preserve">SCG </w:t>
      </w:r>
      <w:r>
        <w:rPr>
          <w:szCs w:val="20"/>
        </w:rPr>
        <w:t xml:space="preserve">HER programs </w:t>
      </w:r>
      <w:r w:rsidRPr="00065CEA">
        <w:rPr>
          <w:szCs w:val="20"/>
        </w:rPr>
        <w:t>were obtained from Nexant’s Evaluation of Southern California Gas Company’s 2015</w:t>
      </w:r>
      <w:r w:rsidRPr="00065CEA">
        <w:rPr>
          <w:rFonts w:ascii="Cambria Math" w:hAnsi="Cambria Math" w:cs="Cambria Math"/>
          <w:szCs w:val="20"/>
        </w:rPr>
        <w:t>‐</w:t>
      </w:r>
      <w:r w:rsidRPr="00065CEA">
        <w:rPr>
          <w:szCs w:val="20"/>
        </w:rPr>
        <w:t>2016 Conservation Campaign, August 31, 2016</w:t>
      </w:r>
      <w:r>
        <w:rPr>
          <w:szCs w:val="20"/>
        </w:rPr>
        <w:t>.</w:t>
      </w:r>
    </w:p>
    <w:p w14:paraId="6D9355B6" w14:textId="77777777" w:rsidR="00E01C42" w:rsidRDefault="00E01C42" w:rsidP="00E01C42">
      <w:pPr>
        <w:pStyle w:val="Heading6"/>
        <w:numPr>
          <w:ilvl w:val="5"/>
          <w:numId w:val="8"/>
        </w:numPr>
        <w:ind w:left="0" w:firstLine="0"/>
      </w:pPr>
      <w:bookmarkStart w:id="931" w:name="_Toc480271807"/>
      <w:bookmarkStart w:id="932" w:name="_Toc484183064"/>
      <w:bookmarkStart w:id="933" w:name="_Toc485126585"/>
      <w:r>
        <w:t>Residential - Real-Time Feedback: In Home Displays and Online Portals</w:t>
      </w:r>
      <w:bookmarkEnd w:id="931"/>
      <w:bookmarkEnd w:id="932"/>
      <w:bookmarkEnd w:id="933"/>
    </w:p>
    <w:p w14:paraId="484C1F74" w14:textId="77777777" w:rsidR="00E01C42" w:rsidRDefault="00E01C42" w:rsidP="00E01C42">
      <w:pPr>
        <w:rPr>
          <w:b/>
        </w:rPr>
      </w:pPr>
      <w:r w:rsidRPr="00DF089C">
        <w:rPr>
          <w:b/>
        </w:rPr>
        <w:t xml:space="preserve">Summary </w:t>
      </w:r>
    </w:p>
    <w:p w14:paraId="2B5F7431" w14:textId="77777777" w:rsidR="00E01C42" w:rsidRPr="00B11C52" w:rsidRDefault="00E01C42" w:rsidP="00E01C42"/>
    <w:p w14:paraId="07F9477B" w14:textId="77777777" w:rsidR="00E01C42" w:rsidRDefault="00E01C42" w:rsidP="00E01C42">
      <w:pPr>
        <w:autoSpaceDE w:val="0"/>
        <w:autoSpaceDN w:val="0"/>
        <w:adjustRightInd w:val="0"/>
        <w:spacing w:line="240" w:lineRule="auto"/>
        <w:rPr>
          <w:szCs w:val="20"/>
        </w:rPr>
      </w:pPr>
      <w:r w:rsidRPr="00D32D6D">
        <w:rPr>
          <w:szCs w:val="20"/>
        </w:rPr>
        <w:t xml:space="preserve">Unlike HERs that arrive in the mail on a periodic basis, real-time feedback programs </w:t>
      </w:r>
      <w:r>
        <w:rPr>
          <w:szCs w:val="20"/>
        </w:rPr>
        <w:t>change customer behaviors by delivering</w:t>
      </w:r>
      <w:r w:rsidRPr="00D32D6D">
        <w:rPr>
          <w:szCs w:val="20"/>
        </w:rPr>
        <w:t xml:space="preserve"> advanced metering </w:t>
      </w:r>
      <w:r>
        <w:rPr>
          <w:szCs w:val="20"/>
        </w:rPr>
        <w:t xml:space="preserve">data on </w:t>
      </w:r>
      <w:r w:rsidRPr="00D32D6D">
        <w:rPr>
          <w:szCs w:val="20"/>
        </w:rPr>
        <w:t xml:space="preserve">household consumption </w:t>
      </w:r>
      <w:r>
        <w:rPr>
          <w:szCs w:val="20"/>
        </w:rPr>
        <w:t xml:space="preserve">to utility customers via an </w:t>
      </w:r>
      <w:r>
        <w:rPr>
          <w:szCs w:val="20"/>
        </w:rPr>
        <w:br/>
        <w:t>in-</w:t>
      </w:r>
      <w:r w:rsidRPr="00D32D6D">
        <w:rPr>
          <w:szCs w:val="20"/>
        </w:rPr>
        <w:t xml:space="preserve">home display </w:t>
      </w:r>
      <w:r>
        <w:rPr>
          <w:szCs w:val="20"/>
        </w:rPr>
        <w:t xml:space="preserve">(IHD) </w:t>
      </w:r>
      <w:r w:rsidRPr="00D32D6D">
        <w:rPr>
          <w:szCs w:val="20"/>
        </w:rPr>
        <w:t xml:space="preserve">or remotely via an online portal, such as a website or a smart phone application. While some feedback programs only provide information, others </w:t>
      </w:r>
      <w:r>
        <w:rPr>
          <w:szCs w:val="20"/>
        </w:rPr>
        <w:t>provide energy saving tips, rewards, social comparisons, and/or alerts.</w:t>
      </w:r>
    </w:p>
    <w:p w14:paraId="0137FEB2" w14:textId="77777777" w:rsidR="00E01C42" w:rsidRDefault="00E01C42" w:rsidP="00E01C42">
      <w:pPr>
        <w:autoSpaceDE w:val="0"/>
        <w:autoSpaceDN w:val="0"/>
        <w:adjustRightInd w:val="0"/>
        <w:spacing w:line="240" w:lineRule="auto"/>
        <w:rPr>
          <w:szCs w:val="20"/>
        </w:rPr>
      </w:pPr>
    </w:p>
    <w:p w14:paraId="5C32B14D" w14:textId="77777777" w:rsidR="00E01C42" w:rsidRDefault="00E01C42" w:rsidP="00E01C42">
      <w:pPr>
        <w:autoSpaceDE w:val="0"/>
        <w:autoSpaceDN w:val="0"/>
        <w:adjustRightInd w:val="0"/>
        <w:spacing w:line="240" w:lineRule="auto"/>
        <w:rPr>
          <w:szCs w:val="20"/>
        </w:rPr>
      </w:pPr>
      <w:r>
        <w:rPr>
          <w:szCs w:val="20"/>
        </w:rPr>
        <w:t>Although utility behavior programs utilizing</w:t>
      </w:r>
      <w:r w:rsidRPr="00D32D6D">
        <w:rPr>
          <w:szCs w:val="20"/>
        </w:rPr>
        <w:t xml:space="preserve"> </w:t>
      </w:r>
      <w:r>
        <w:rPr>
          <w:szCs w:val="20"/>
        </w:rPr>
        <w:t>IHD</w:t>
      </w:r>
      <w:r w:rsidRPr="00D32D6D">
        <w:rPr>
          <w:szCs w:val="20"/>
        </w:rPr>
        <w:t xml:space="preserve">s and online portals both afford </w:t>
      </w:r>
      <w:r>
        <w:rPr>
          <w:szCs w:val="20"/>
        </w:rPr>
        <w:t>feedback</w:t>
      </w:r>
      <w:r w:rsidRPr="00D32D6D">
        <w:rPr>
          <w:szCs w:val="20"/>
        </w:rPr>
        <w:t xml:space="preserve"> opportunities</w:t>
      </w:r>
      <w:r>
        <w:rPr>
          <w:szCs w:val="20"/>
        </w:rPr>
        <w:t>,</w:t>
      </w:r>
      <w:r w:rsidRPr="00D32D6D">
        <w:rPr>
          <w:szCs w:val="20"/>
        </w:rPr>
        <w:t xml:space="preserve"> we have separated our modeling inputs for the two categories to better capture</w:t>
      </w:r>
      <w:r>
        <w:rPr>
          <w:szCs w:val="20"/>
        </w:rPr>
        <w:t xml:space="preserve"> differences in adoption, energy savings, and</w:t>
      </w:r>
      <w:r w:rsidRPr="00D32D6D">
        <w:rPr>
          <w:szCs w:val="20"/>
        </w:rPr>
        <w:t xml:space="preserve"> cost</w:t>
      </w:r>
      <w:r>
        <w:rPr>
          <w:szCs w:val="20"/>
        </w:rPr>
        <w:t>s</w:t>
      </w:r>
      <w:r w:rsidRPr="00D32D6D">
        <w:rPr>
          <w:szCs w:val="20"/>
        </w:rPr>
        <w:t xml:space="preserve"> between</w:t>
      </w:r>
      <w:r>
        <w:rPr>
          <w:szCs w:val="20"/>
        </w:rPr>
        <w:t xml:space="preserve"> the two types of</w:t>
      </w:r>
      <w:r w:rsidRPr="00D32D6D">
        <w:rPr>
          <w:szCs w:val="20"/>
        </w:rPr>
        <w:t xml:space="preserve"> programs</w:t>
      </w:r>
      <w:r>
        <w:rPr>
          <w:szCs w:val="20"/>
        </w:rPr>
        <w:t>.</w:t>
      </w:r>
      <w:r w:rsidRPr="00D32D6D">
        <w:rPr>
          <w:szCs w:val="20"/>
        </w:rPr>
        <w:t xml:space="preserve"> </w:t>
      </w:r>
      <w:r>
        <w:rPr>
          <w:szCs w:val="20"/>
        </w:rPr>
        <w:t xml:space="preserve">Of note is the higher cost typically associated with </w:t>
      </w:r>
      <w:r w:rsidRPr="00D32D6D">
        <w:rPr>
          <w:szCs w:val="20"/>
        </w:rPr>
        <w:t xml:space="preserve">offering in-home displays, due to </w:t>
      </w:r>
      <w:r>
        <w:rPr>
          <w:szCs w:val="20"/>
        </w:rPr>
        <w:t xml:space="preserve">the need for the installation of specialized </w:t>
      </w:r>
      <w:r w:rsidRPr="00D32D6D">
        <w:rPr>
          <w:szCs w:val="20"/>
        </w:rPr>
        <w:t>hardware</w:t>
      </w:r>
      <w:r>
        <w:rPr>
          <w:szCs w:val="20"/>
        </w:rPr>
        <w:t xml:space="preserve">, whereas </w:t>
      </w:r>
      <w:r w:rsidRPr="00D32D6D">
        <w:rPr>
          <w:szCs w:val="20"/>
        </w:rPr>
        <w:t xml:space="preserve">online portals </w:t>
      </w:r>
      <w:r>
        <w:rPr>
          <w:szCs w:val="20"/>
        </w:rPr>
        <w:t>typically</w:t>
      </w:r>
      <w:r w:rsidRPr="00D32D6D">
        <w:rPr>
          <w:szCs w:val="20"/>
        </w:rPr>
        <w:t xml:space="preserve"> provide cloud-based information directly to the customer’s smartphone, tablet</w:t>
      </w:r>
      <w:r>
        <w:rPr>
          <w:szCs w:val="20"/>
        </w:rPr>
        <w:t>,</w:t>
      </w:r>
      <w:r w:rsidRPr="00D32D6D">
        <w:rPr>
          <w:szCs w:val="20"/>
        </w:rPr>
        <w:t xml:space="preserve"> or computer. </w:t>
      </w:r>
    </w:p>
    <w:p w14:paraId="1FC8D17C" w14:textId="77777777" w:rsidR="00E01C42" w:rsidRDefault="00E01C42" w:rsidP="00E01C42">
      <w:pPr>
        <w:autoSpaceDE w:val="0"/>
        <w:autoSpaceDN w:val="0"/>
        <w:adjustRightInd w:val="0"/>
        <w:spacing w:line="240" w:lineRule="auto"/>
        <w:rPr>
          <w:szCs w:val="20"/>
        </w:rPr>
      </w:pPr>
    </w:p>
    <w:p w14:paraId="7619404F" w14:textId="77777777" w:rsidR="00E01C42" w:rsidRDefault="00E01C42" w:rsidP="00E01C42">
      <w:pPr>
        <w:autoSpaceDE w:val="0"/>
        <w:autoSpaceDN w:val="0"/>
        <w:adjustRightInd w:val="0"/>
        <w:spacing w:line="240" w:lineRule="auto"/>
        <w:rPr>
          <w:szCs w:val="20"/>
        </w:rPr>
      </w:pPr>
      <w:r>
        <w:rPr>
          <w:szCs w:val="20"/>
        </w:rPr>
        <w:t>Real-time feedback programs may also be associated with different customer rates, including time of use plans and more traditional usage based billing.</w:t>
      </w:r>
      <w:r w:rsidRPr="00D32D6D">
        <w:rPr>
          <w:szCs w:val="20"/>
        </w:rPr>
        <w:t xml:space="preserve"> </w:t>
      </w:r>
      <w:r>
        <w:rPr>
          <w:szCs w:val="20"/>
        </w:rPr>
        <w:t xml:space="preserve">Although real-time feedback is a popular behavioral intervention for demand response programs, our analysis focused on programs designed to drive energy efficiency. In all, we reviewed a total of 38 programs, including 20 providing IHDs and 18 offering online </w:t>
      </w:r>
      <w:r>
        <w:rPr>
          <w:szCs w:val="20"/>
        </w:rPr>
        <w:lastRenderedPageBreak/>
        <w:t xml:space="preserve">portals. Several programs offered both types of feedback. In those cases, we categorized them in the IHD category since they had associated costs for the hardware. </w:t>
      </w:r>
    </w:p>
    <w:p w14:paraId="41C514BB" w14:textId="77777777" w:rsidR="00E01C42" w:rsidRPr="00B11C52" w:rsidRDefault="00E01C42" w:rsidP="00E01C42"/>
    <w:p w14:paraId="40B9117E" w14:textId="77777777" w:rsidR="00E01C42" w:rsidRDefault="00E01C42" w:rsidP="00E01C42">
      <w:pPr>
        <w:spacing w:line="240" w:lineRule="auto"/>
        <w:rPr>
          <w:b/>
          <w:bCs/>
          <w:color w:val="3F4042"/>
          <w:szCs w:val="20"/>
        </w:rPr>
      </w:pPr>
      <w:r>
        <w:br w:type="page"/>
      </w:r>
    </w:p>
    <w:p w14:paraId="16E0D429" w14:textId="77777777" w:rsidR="00E01C42" w:rsidRPr="00B57F57" w:rsidRDefault="004675B4" w:rsidP="00E01C42">
      <w:pPr>
        <w:pStyle w:val="Caption"/>
        <w:rPr>
          <w:b w:val="0"/>
          <w:szCs w:val="24"/>
        </w:rPr>
      </w:pPr>
      <w:bookmarkStart w:id="934" w:name="_Toc485125603"/>
      <w:r>
        <w:lastRenderedPageBreak/>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2</w:t>
      </w:r>
      <w:r w:rsidR="00272F76">
        <w:rPr>
          <w:noProof/>
        </w:rPr>
        <w:fldChar w:fldCharType="end"/>
      </w:r>
      <w:r>
        <w:t xml:space="preserve">. </w:t>
      </w:r>
      <w:r w:rsidR="00E01C42">
        <w:t>Real-Time Feedback - Key Assumptions</w:t>
      </w:r>
      <w:bookmarkEnd w:id="934"/>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09"/>
        <w:gridCol w:w="1506"/>
        <w:gridCol w:w="991"/>
        <w:gridCol w:w="937"/>
        <w:gridCol w:w="1217"/>
        <w:gridCol w:w="950"/>
        <w:gridCol w:w="1094"/>
        <w:gridCol w:w="1678"/>
      </w:tblGrid>
      <w:tr w:rsidR="00E01C42" w:rsidRPr="008B4D66" w14:paraId="09F44D48" w14:textId="77777777" w:rsidTr="008C0AC4">
        <w:trPr>
          <w:cantSplit/>
          <w:trHeight w:val="296"/>
          <w:tblHeader/>
          <w:jc w:val="center"/>
        </w:trPr>
        <w:tc>
          <w:tcPr>
            <w:tcW w:w="1109" w:type="dxa"/>
            <w:vMerge w:val="restart"/>
            <w:tcBorders>
              <w:top w:val="nil"/>
              <w:left w:val="nil"/>
              <w:bottom w:val="single" w:sz="12" w:space="0" w:color="95D600"/>
              <w:right w:val="nil"/>
              <w:tl2br w:val="nil"/>
              <w:tr2bl w:val="nil"/>
            </w:tcBorders>
            <w:shd w:val="clear" w:color="auto" w:fill="555759"/>
            <w:hideMark/>
          </w:tcPr>
          <w:p w14:paraId="4A37E403" w14:textId="77777777" w:rsidR="00E01C42" w:rsidRPr="00D11078" w:rsidRDefault="00E01C42" w:rsidP="008C0AC4">
            <w:pPr>
              <w:spacing w:before="40" w:after="40"/>
              <w:jc w:val="center"/>
              <w:rPr>
                <w:b/>
                <w:color w:val="FFFFFF"/>
              </w:rPr>
            </w:pPr>
            <w:r w:rsidRPr="00D11078">
              <w:rPr>
                <w:b/>
                <w:color w:val="FFFFFF"/>
              </w:rPr>
              <w:t>Sector</w:t>
            </w:r>
          </w:p>
        </w:tc>
        <w:tc>
          <w:tcPr>
            <w:tcW w:w="1506" w:type="dxa"/>
            <w:vMerge w:val="restart"/>
            <w:tcBorders>
              <w:top w:val="nil"/>
              <w:left w:val="nil"/>
              <w:bottom w:val="single" w:sz="12" w:space="0" w:color="95D600"/>
              <w:right w:val="nil"/>
              <w:tl2br w:val="nil"/>
              <w:tr2bl w:val="nil"/>
            </w:tcBorders>
            <w:shd w:val="clear" w:color="auto" w:fill="555759"/>
            <w:hideMark/>
          </w:tcPr>
          <w:p w14:paraId="5D332CFE" w14:textId="77777777" w:rsidR="00E01C42" w:rsidRPr="00D11078" w:rsidRDefault="00E01C42" w:rsidP="008C0AC4">
            <w:pPr>
              <w:spacing w:before="40" w:after="40"/>
              <w:jc w:val="center"/>
              <w:rPr>
                <w:b/>
                <w:color w:val="FFFFFF"/>
              </w:rPr>
            </w:pPr>
            <w:r w:rsidRPr="00D11078">
              <w:rPr>
                <w:b/>
                <w:color w:val="FFFFFF"/>
              </w:rPr>
              <w:t>Type</w:t>
            </w:r>
          </w:p>
        </w:tc>
        <w:tc>
          <w:tcPr>
            <w:tcW w:w="991" w:type="dxa"/>
            <w:vMerge w:val="restart"/>
            <w:tcBorders>
              <w:top w:val="nil"/>
              <w:left w:val="nil"/>
              <w:bottom w:val="single" w:sz="12" w:space="0" w:color="95D600"/>
              <w:right w:val="nil"/>
              <w:tl2br w:val="nil"/>
              <w:tr2bl w:val="nil"/>
            </w:tcBorders>
            <w:shd w:val="clear" w:color="auto" w:fill="555759"/>
            <w:hideMark/>
          </w:tcPr>
          <w:p w14:paraId="0F51E751" w14:textId="77777777" w:rsidR="00E01C42" w:rsidRPr="00D11078" w:rsidRDefault="00E01C42" w:rsidP="008C0AC4">
            <w:pPr>
              <w:spacing w:before="40" w:after="40"/>
              <w:jc w:val="center"/>
              <w:rPr>
                <w:b/>
                <w:color w:val="FFFFFF"/>
              </w:rPr>
            </w:pPr>
            <w:r w:rsidRPr="00D11078">
              <w:rPr>
                <w:b/>
                <w:color w:val="FFFFFF"/>
              </w:rPr>
              <w:t>EUL years</w:t>
            </w:r>
          </w:p>
        </w:tc>
        <w:tc>
          <w:tcPr>
            <w:tcW w:w="2154" w:type="dxa"/>
            <w:gridSpan w:val="2"/>
            <w:tcBorders>
              <w:top w:val="nil"/>
              <w:left w:val="nil"/>
              <w:bottom w:val="single" w:sz="2" w:space="0" w:color="FFFFFF"/>
              <w:right w:val="nil"/>
              <w:tl2br w:val="nil"/>
              <w:tr2bl w:val="nil"/>
            </w:tcBorders>
            <w:shd w:val="clear" w:color="auto" w:fill="555759"/>
            <w:hideMark/>
          </w:tcPr>
          <w:p w14:paraId="5423B623" w14:textId="77777777" w:rsidR="00E01C42" w:rsidRPr="00D11078" w:rsidRDefault="00E01C42" w:rsidP="008C0AC4">
            <w:pPr>
              <w:spacing w:before="40" w:after="40"/>
              <w:jc w:val="center"/>
              <w:rPr>
                <w:b/>
                <w:color w:val="FFFFFF"/>
              </w:rPr>
            </w:pPr>
            <w:r w:rsidRPr="00D11078">
              <w:rPr>
                <w:b/>
                <w:color w:val="FFFFFF"/>
              </w:rPr>
              <w:t>Savings</w:t>
            </w:r>
          </w:p>
        </w:tc>
        <w:tc>
          <w:tcPr>
            <w:tcW w:w="2044" w:type="dxa"/>
            <w:gridSpan w:val="2"/>
            <w:tcBorders>
              <w:top w:val="nil"/>
              <w:left w:val="nil"/>
              <w:bottom w:val="single" w:sz="2" w:space="0" w:color="FFFFFF"/>
              <w:right w:val="nil"/>
              <w:tl2br w:val="nil"/>
              <w:tr2bl w:val="nil"/>
            </w:tcBorders>
            <w:shd w:val="clear" w:color="auto" w:fill="555759"/>
            <w:hideMark/>
          </w:tcPr>
          <w:p w14:paraId="790F40E4" w14:textId="77777777" w:rsidR="00E01C42" w:rsidRPr="00D11078" w:rsidRDefault="00E01C42" w:rsidP="008C0AC4">
            <w:pPr>
              <w:spacing w:before="40" w:after="40"/>
              <w:jc w:val="center"/>
              <w:rPr>
                <w:b/>
                <w:color w:val="FFFFFF"/>
              </w:rPr>
            </w:pPr>
            <w:r w:rsidRPr="00D11078">
              <w:rPr>
                <w:b/>
                <w:color w:val="FFFFFF"/>
              </w:rPr>
              <w:t>Cost</w:t>
            </w:r>
          </w:p>
        </w:tc>
        <w:tc>
          <w:tcPr>
            <w:tcW w:w="1678" w:type="dxa"/>
            <w:vMerge w:val="restart"/>
            <w:tcBorders>
              <w:top w:val="nil"/>
              <w:left w:val="nil"/>
              <w:bottom w:val="single" w:sz="12" w:space="0" w:color="95D600"/>
              <w:right w:val="nil"/>
              <w:tl2br w:val="nil"/>
              <w:tr2bl w:val="nil"/>
            </w:tcBorders>
            <w:shd w:val="clear" w:color="auto" w:fill="555759"/>
            <w:hideMark/>
          </w:tcPr>
          <w:p w14:paraId="59396569"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8B4D66" w14:paraId="399275D0" w14:textId="77777777" w:rsidTr="008C0AC4">
        <w:trPr>
          <w:cantSplit/>
          <w:trHeight w:val="144"/>
          <w:tblHeader/>
          <w:jc w:val="center"/>
        </w:trPr>
        <w:tc>
          <w:tcPr>
            <w:tcW w:w="1109" w:type="dxa"/>
            <w:vMerge/>
            <w:tcBorders>
              <w:bottom w:val="single" w:sz="12" w:space="0" w:color="95D600"/>
            </w:tcBorders>
            <w:shd w:val="clear" w:color="auto" w:fill="auto"/>
            <w:hideMark/>
          </w:tcPr>
          <w:p w14:paraId="7C45785A" w14:textId="77777777" w:rsidR="00E01C42" w:rsidRPr="008B4D66" w:rsidRDefault="00E01C42" w:rsidP="008C0AC4">
            <w:pPr>
              <w:spacing w:before="40" w:after="40"/>
              <w:jc w:val="center"/>
            </w:pPr>
          </w:p>
        </w:tc>
        <w:tc>
          <w:tcPr>
            <w:tcW w:w="1506" w:type="dxa"/>
            <w:vMerge/>
            <w:tcBorders>
              <w:bottom w:val="single" w:sz="12" w:space="0" w:color="95D600"/>
            </w:tcBorders>
            <w:shd w:val="clear" w:color="auto" w:fill="auto"/>
            <w:hideMark/>
          </w:tcPr>
          <w:p w14:paraId="1027138D" w14:textId="77777777" w:rsidR="00E01C42" w:rsidRPr="008B4D66" w:rsidRDefault="00E01C42" w:rsidP="008C0AC4">
            <w:pPr>
              <w:spacing w:before="40" w:after="40"/>
              <w:jc w:val="center"/>
            </w:pPr>
          </w:p>
        </w:tc>
        <w:tc>
          <w:tcPr>
            <w:tcW w:w="991" w:type="dxa"/>
            <w:vMerge/>
            <w:tcBorders>
              <w:bottom w:val="single" w:sz="12" w:space="0" w:color="95D600"/>
            </w:tcBorders>
            <w:shd w:val="clear" w:color="auto" w:fill="555759"/>
            <w:hideMark/>
          </w:tcPr>
          <w:p w14:paraId="4625CFA1" w14:textId="77777777" w:rsidR="00E01C42" w:rsidRPr="008B4D66" w:rsidRDefault="00E01C42" w:rsidP="008C0AC4">
            <w:pPr>
              <w:spacing w:before="40" w:after="40"/>
              <w:jc w:val="center"/>
            </w:pPr>
          </w:p>
        </w:tc>
        <w:tc>
          <w:tcPr>
            <w:tcW w:w="937" w:type="dxa"/>
            <w:tcBorders>
              <w:top w:val="single" w:sz="2" w:space="0" w:color="FFFFFF"/>
              <w:bottom w:val="single" w:sz="12" w:space="0" w:color="95D600"/>
            </w:tcBorders>
            <w:shd w:val="clear" w:color="auto" w:fill="555759"/>
            <w:hideMark/>
          </w:tcPr>
          <w:p w14:paraId="339B314D" w14:textId="77777777" w:rsidR="00E01C42" w:rsidRPr="00D11078" w:rsidRDefault="00E01C42" w:rsidP="008C0AC4">
            <w:pPr>
              <w:spacing w:before="40" w:after="40"/>
              <w:jc w:val="center"/>
              <w:rPr>
                <w:b/>
                <w:color w:val="FFFFFF"/>
              </w:rPr>
            </w:pPr>
            <w:r w:rsidRPr="00D11078">
              <w:rPr>
                <w:b/>
                <w:color w:val="FFFFFF"/>
              </w:rPr>
              <w:t>kWh</w:t>
            </w:r>
          </w:p>
        </w:tc>
        <w:tc>
          <w:tcPr>
            <w:tcW w:w="1217" w:type="dxa"/>
            <w:tcBorders>
              <w:top w:val="single" w:sz="2" w:space="0" w:color="FFFFFF"/>
              <w:bottom w:val="single" w:sz="12" w:space="0" w:color="95D600"/>
            </w:tcBorders>
            <w:shd w:val="clear" w:color="auto" w:fill="555759"/>
            <w:hideMark/>
          </w:tcPr>
          <w:p w14:paraId="63BF1A55" w14:textId="77777777" w:rsidR="00E01C42" w:rsidRPr="00D11078" w:rsidRDefault="00E01C42" w:rsidP="008C0AC4">
            <w:pPr>
              <w:spacing w:before="40" w:after="40"/>
              <w:jc w:val="center"/>
              <w:rPr>
                <w:b/>
                <w:color w:val="FFFFFF"/>
              </w:rPr>
            </w:pPr>
            <w:r w:rsidRPr="00D11078">
              <w:rPr>
                <w:b/>
                <w:color w:val="FFFFFF"/>
              </w:rPr>
              <w:t>Therm</w:t>
            </w:r>
          </w:p>
        </w:tc>
        <w:tc>
          <w:tcPr>
            <w:tcW w:w="950" w:type="dxa"/>
            <w:tcBorders>
              <w:top w:val="single" w:sz="2" w:space="0" w:color="FFFFFF"/>
              <w:bottom w:val="single" w:sz="12" w:space="0" w:color="95D600"/>
            </w:tcBorders>
            <w:shd w:val="clear" w:color="auto" w:fill="555759"/>
            <w:hideMark/>
          </w:tcPr>
          <w:p w14:paraId="35621408" w14:textId="77777777" w:rsidR="00E01C42" w:rsidRPr="00D11078" w:rsidRDefault="00E01C42" w:rsidP="008C0AC4">
            <w:pPr>
              <w:spacing w:before="40" w:after="40"/>
              <w:jc w:val="center"/>
              <w:rPr>
                <w:b/>
                <w:color w:val="FFFFFF"/>
              </w:rPr>
            </w:pPr>
            <w:r w:rsidRPr="00D11078">
              <w:rPr>
                <w:b/>
                <w:color w:val="FFFFFF"/>
              </w:rPr>
              <w:t>kWh</w:t>
            </w:r>
          </w:p>
        </w:tc>
        <w:tc>
          <w:tcPr>
            <w:tcW w:w="1094" w:type="dxa"/>
            <w:tcBorders>
              <w:top w:val="single" w:sz="2" w:space="0" w:color="FFFFFF"/>
              <w:bottom w:val="single" w:sz="12" w:space="0" w:color="95D600"/>
            </w:tcBorders>
            <w:shd w:val="clear" w:color="auto" w:fill="555759"/>
            <w:hideMark/>
          </w:tcPr>
          <w:p w14:paraId="0EA758FE" w14:textId="77777777" w:rsidR="00E01C42" w:rsidRPr="00D11078" w:rsidRDefault="00E01C42" w:rsidP="008C0AC4">
            <w:pPr>
              <w:spacing w:before="40" w:after="40"/>
              <w:jc w:val="center"/>
              <w:rPr>
                <w:b/>
                <w:color w:val="FFFFFF"/>
              </w:rPr>
            </w:pPr>
            <w:r w:rsidRPr="00D11078">
              <w:rPr>
                <w:b/>
                <w:color w:val="FFFFFF"/>
              </w:rPr>
              <w:t>Therm</w:t>
            </w:r>
          </w:p>
        </w:tc>
        <w:tc>
          <w:tcPr>
            <w:tcW w:w="1678" w:type="dxa"/>
            <w:vMerge/>
            <w:tcBorders>
              <w:bottom w:val="single" w:sz="12" w:space="0" w:color="95D600"/>
            </w:tcBorders>
            <w:shd w:val="clear" w:color="auto" w:fill="auto"/>
            <w:hideMark/>
          </w:tcPr>
          <w:p w14:paraId="450DB2D5" w14:textId="77777777" w:rsidR="00E01C42" w:rsidRPr="008B4D66" w:rsidRDefault="00E01C42" w:rsidP="008C0AC4">
            <w:pPr>
              <w:spacing w:before="40" w:after="40"/>
              <w:jc w:val="center"/>
            </w:pPr>
          </w:p>
        </w:tc>
      </w:tr>
      <w:tr w:rsidR="00E01C42" w:rsidRPr="008B4D66" w14:paraId="399E2CDB" w14:textId="77777777" w:rsidTr="008C0AC4">
        <w:trPr>
          <w:cantSplit/>
          <w:trHeight w:val="738"/>
          <w:jc w:val="center"/>
        </w:trPr>
        <w:tc>
          <w:tcPr>
            <w:tcW w:w="1109" w:type="dxa"/>
            <w:tcBorders>
              <w:top w:val="single" w:sz="12" w:space="0" w:color="95D600"/>
              <w:bottom w:val="single" w:sz="4" w:space="0" w:color="DCDDDE"/>
            </w:tcBorders>
            <w:shd w:val="clear" w:color="auto" w:fill="FFFFFF"/>
            <w:hideMark/>
          </w:tcPr>
          <w:p w14:paraId="42BE7DA3" w14:textId="77777777" w:rsidR="00E01C42" w:rsidRPr="00D11078" w:rsidRDefault="00E01C42" w:rsidP="008C0AC4">
            <w:pPr>
              <w:spacing w:before="40" w:after="40"/>
              <w:jc w:val="center"/>
              <w:rPr>
                <w:color w:val="000000"/>
              </w:rPr>
            </w:pPr>
            <w:r w:rsidRPr="00D11078">
              <w:rPr>
                <w:color w:val="000000"/>
              </w:rPr>
              <w:t>RES</w:t>
            </w:r>
          </w:p>
        </w:tc>
        <w:tc>
          <w:tcPr>
            <w:tcW w:w="1506" w:type="dxa"/>
            <w:tcBorders>
              <w:top w:val="single" w:sz="12" w:space="0" w:color="95D600"/>
              <w:bottom w:val="single" w:sz="4" w:space="0" w:color="DCDDDE"/>
            </w:tcBorders>
            <w:shd w:val="clear" w:color="auto" w:fill="FFFFFF"/>
            <w:hideMark/>
          </w:tcPr>
          <w:p w14:paraId="20E69E39" w14:textId="77777777" w:rsidR="00E01C42" w:rsidRPr="00D11078" w:rsidRDefault="00E01C42" w:rsidP="008C0AC4">
            <w:pPr>
              <w:spacing w:before="40" w:after="40"/>
              <w:jc w:val="center"/>
              <w:rPr>
                <w:color w:val="000000"/>
              </w:rPr>
            </w:pPr>
            <w:r w:rsidRPr="00D11078">
              <w:rPr>
                <w:color w:val="000000"/>
              </w:rPr>
              <w:t>Real-Time Feedback – In Home Display</w:t>
            </w:r>
          </w:p>
        </w:tc>
        <w:tc>
          <w:tcPr>
            <w:tcW w:w="991" w:type="dxa"/>
            <w:tcBorders>
              <w:top w:val="single" w:sz="12" w:space="0" w:color="95D600"/>
              <w:bottom w:val="single" w:sz="4" w:space="0" w:color="DCDDDE"/>
            </w:tcBorders>
            <w:shd w:val="clear" w:color="auto" w:fill="FFFFFF"/>
            <w:hideMark/>
          </w:tcPr>
          <w:p w14:paraId="4A50B989" w14:textId="77777777" w:rsidR="00E01C42" w:rsidRPr="00D11078" w:rsidRDefault="00E01C42" w:rsidP="008C0AC4">
            <w:pPr>
              <w:spacing w:before="40" w:after="40"/>
              <w:jc w:val="center"/>
              <w:rPr>
                <w:color w:val="000000"/>
              </w:rPr>
            </w:pPr>
            <w:r w:rsidRPr="00D11078">
              <w:rPr>
                <w:color w:val="000000"/>
              </w:rPr>
              <w:t>1</w:t>
            </w:r>
          </w:p>
        </w:tc>
        <w:tc>
          <w:tcPr>
            <w:tcW w:w="937" w:type="dxa"/>
            <w:tcBorders>
              <w:top w:val="single" w:sz="12" w:space="0" w:color="95D600"/>
              <w:bottom w:val="single" w:sz="4" w:space="0" w:color="DCDDDE"/>
            </w:tcBorders>
            <w:shd w:val="clear" w:color="auto" w:fill="FFFFFF"/>
            <w:hideMark/>
          </w:tcPr>
          <w:p w14:paraId="15EAABE4" w14:textId="77777777" w:rsidR="00E01C42" w:rsidRPr="00D11078" w:rsidRDefault="00E01C42" w:rsidP="008C0AC4">
            <w:pPr>
              <w:spacing w:before="40" w:after="40"/>
              <w:jc w:val="center"/>
              <w:rPr>
                <w:color w:val="000000"/>
              </w:rPr>
            </w:pPr>
            <w:r w:rsidRPr="00D11078">
              <w:rPr>
                <w:color w:val="000000"/>
              </w:rPr>
              <w:t>2.3%</w:t>
            </w:r>
          </w:p>
        </w:tc>
        <w:tc>
          <w:tcPr>
            <w:tcW w:w="1217" w:type="dxa"/>
            <w:tcBorders>
              <w:top w:val="single" w:sz="12" w:space="0" w:color="95D600"/>
              <w:bottom w:val="single" w:sz="4" w:space="0" w:color="DCDDDE"/>
            </w:tcBorders>
            <w:shd w:val="clear" w:color="auto" w:fill="FFFFFF"/>
            <w:hideMark/>
          </w:tcPr>
          <w:p w14:paraId="66D10B9D" w14:textId="77777777" w:rsidR="00E01C42" w:rsidRPr="00D11078" w:rsidRDefault="00E01C42" w:rsidP="008C0AC4">
            <w:pPr>
              <w:spacing w:before="40" w:after="40"/>
              <w:jc w:val="center"/>
              <w:rPr>
                <w:color w:val="000000"/>
              </w:rPr>
            </w:pPr>
            <w:r>
              <w:rPr>
                <w:color w:val="000000"/>
              </w:rPr>
              <w:t>--</w:t>
            </w:r>
          </w:p>
        </w:tc>
        <w:tc>
          <w:tcPr>
            <w:tcW w:w="950" w:type="dxa"/>
            <w:tcBorders>
              <w:top w:val="single" w:sz="12" w:space="0" w:color="95D600"/>
              <w:bottom w:val="single" w:sz="4" w:space="0" w:color="DCDDDE"/>
            </w:tcBorders>
            <w:shd w:val="clear" w:color="auto" w:fill="FFFFFF"/>
            <w:hideMark/>
          </w:tcPr>
          <w:p w14:paraId="7CB7724E" w14:textId="77777777" w:rsidR="00E01C42" w:rsidRPr="00D11078" w:rsidRDefault="00663698" w:rsidP="008C0AC4">
            <w:pPr>
              <w:spacing w:before="40" w:after="40"/>
              <w:jc w:val="center"/>
              <w:rPr>
                <w:color w:val="000000"/>
              </w:rPr>
            </w:pPr>
            <w:r>
              <w:rPr>
                <w:color w:val="000000"/>
              </w:rPr>
              <w:t>$0.19</w:t>
            </w:r>
            <w:r w:rsidR="00E01C42" w:rsidRPr="00D11078">
              <w:rPr>
                <w:color w:val="000000"/>
              </w:rPr>
              <w:t xml:space="preserve"> </w:t>
            </w:r>
          </w:p>
        </w:tc>
        <w:tc>
          <w:tcPr>
            <w:tcW w:w="1094" w:type="dxa"/>
            <w:tcBorders>
              <w:top w:val="single" w:sz="12" w:space="0" w:color="95D600"/>
              <w:bottom w:val="single" w:sz="4" w:space="0" w:color="DCDDDE"/>
            </w:tcBorders>
            <w:shd w:val="clear" w:color="auto" w:fill="FFFFFF"/>
            <w:hideMark/>
          </w:tcPr>
          <w:p w14:paraId="24A9063C" w14:textId="77777777" w:rsidR="00E01C42" w:rsidRPr="00D11078" w:rsidRDefault="00E01C42" w:rsidP="008C0AC4">
            <w:pPr>
              <w:spacing w:before="40" w:after="40"/>
              <w:jc w:val="center"/>
              <w:rPr>
                <w:color w:val="000000"/>
                <w:highlight w:val="red"/>
              </w:rPr>
            </w:pPr>
            <w:r>
              <w:rPr>
                <w:color w:val="000000"/>
              </w:rPr>
              <w:t>--</w:t>
            </w:r>
          </w:p>
        </w:tc>
        <w:tc>
          <w:tcPr>
            <w:tcW w:w="1678" w:type="dxa"/>
            <w:tcBorders>
              <w:top w:val="single" w:sz="12" w:space="0" w:color="95D600"/>
              <w:bottom w:val="single" w:sz="4" w:space="0" w:color="DCDDDE"/>
            </w:tcBorders>
            <w:shd w:val="clear" w:color="auto" w:fill="FFFFFF"/>
            <w:hideMark/>
          </w:tcPr>
          <w:p w14:paraId="0360F4DB" w14:textId="77777777" w:rsidR="00E01C42" w:rsidRPr="00D11078" w:rsidRDefault="00E01C42" w:rsidP="008C0AC4">
            <w:pPr>
              <w:spacing w:before="40" w:after="40"/>
              <w:jc w:val="center"/>
              <w:rPr>
                <w:color w:val="000000"/>
              </w:rPr>
            </w:pPr>
            <w:r w:rsidRPr="00D11078">
              <w:rPr>
                <w:color w:val="000000"/>
              </w:rPr>
              <w:t>0.00019058</w:t>
            </w:r>
          </w:p>
        </w:tc>
      </w:tr>
      <w:tr w:rsidR="00E01C42" w:rsidRPr="008B4D66" w14:paraId="5270F4D6" w14:textId="77777777" w:rsidTr="008C0AC4">
        <w:trPr>
          <w:cantSplit/>
          <w:trHeight w:val="738"/>
          <w:jc w:val="center"/>
        </w:trPr>
        <w:tc>
          <w:tcPr>
            <w:tcW w:w="1109" w:type="dxa"/>
            <w:tcBorders>
              <w:top w:val="single" w:sz="4" w:space="0" w:color="DCDDDE"/>
            </w:tcBorders>
            <w:shd w:val="clear" w:color="auto" w:fill="auto"/>
            <w:hideMark/>
          </w:tcPr>
          <w:p w14:paraId="042BA95A" w14:textId="77777777" w:rsidR="00E01C42" w:rsidRPr="00D11078" w:rsidRDefault="00E01C42" w:rsidP="008C0AC4">
            <w:pPr>
              <w:spacing w:before="40" w:after="40"/>
              <w:jc w:val="center"/>
              <w:rPr>
                <w:color w:val="000000"/>
              </w:rPr>
            </w:pPr>
            <w:r w:rsidRPr="00D11078">
              <w:rPr>
                <w:color w:val="000000"/>
              </w:rPr>
              <w:t>RES</w:t>
            </w:r>
          </w:p>
        </w:tc>
        <w:tc>
          <w:tcPr>
            <w:tcW w:w="1506" w:type="dxa"/>
            <w:tcBorders>
              <w:top w:val="single" w:sz="4" w:space="0" w:color="DCDDDE"/>
            </w:tcBorders>
            <w:shd w:val="clear" w:color="auto" w:fill="auto"/>
            <w:hideMark/>
          </w:tcPr>
          <w:p w14:paraId="1A0C825E" w14:textId="77777777" w:rsidR="00E01C42" w:rsidRPr="00D11078" w:rsidRDefault="00E01C42" w:rsidP="008C0AC4">
            <w:pPr>
              <w:spacing w:before="40" w:after="40"/>
              <w:jc w:val="center"/>
              <w:rPr>
                <w:color w:val="000000"/>
              </w:rPr>
            </w:pPr>
            <w:r w:rsidRPr="00D11078">
              <w:rPr>
                <w:color w:val="000000"/>
              </w:rPr>
              <w:t>Real-Time Feedback – Online Portal</w:t>
            </w:r>
          </w:p>
        </w:tc>
        <w:tc>
          <w:tcPr>
            <w:tcW w:w="991" w:type="dxa"/>
            <w:tcBorders>
              <w:top w:val="single" w:sz="4" w:space="0" w:color="DCDDDE"/>
            </w:tcBorders>
            <w:shd w:val="clear" w:color="auto" w:fill="auto"/>
            <w:hideMark/>
          </w:tcPr>
          <w:p w14:paraId="6CF20B1D" w14:textId="77777777" w:rsidR="00E01C42" w:rsidRPr="00D11078" w:rsidRDefault="00E01C42" w:rsidP="008C0AC4">
            <w:pPr>
              <w:spacing w:before="40" w:after="40"/>
              <w:jc w:val="center"/>
              <w:rPr>
                <w:color w:val="000000"/>
              </w:rPr>
            </w:pPr>
            <w:r w:rsidRPr="00D11078">
              <w:rPr>
                <w:color w:val="000000"/>
              </w:rPr>
              <w:t>1</w:t>
            </w:r>
          </w:p>
        </w:tc>
        <w:tc>
          <w:tcPr>
            <w:tcW w:w="937" w:type="dxa"/>
            <w:tcBorders>
              <w:top w:val="single" w:sz="4" w:space="0" w:color="DCDDDE"/>
            </w:tcBorders>
            <w:shd w:val="clear" w:color="auto" w:fill="auto"/>
            <w:hideMark/>
          </w:tcPr>
          <w:p w14:paraId="1CA155DE" w14:textId="77777777" w:rsidR="00E01C42" w:rsidRPr="00D11078" w:rsidRDefault="00663698" w:rsidP="008C0AC4">
            <w:pPr>
              <w:spacing w:before="40" w:after="40"/>
              <w:jc w:val="center"/>
              <w:rPr>
                <w:color w:val="000000"/>
              </w:rPr>
            </w:pPr>
            <w:r>
              <w:rPr>
                <w:color w:val="000000"/>
              </w:rPr>
              <w:t>2.2</w:t>
            </w:r>
            <w:r w:rsidR="00E01C42" w:rsidRPr="00D11078">
              <w:rPr>
                <w:color w:val="000000"/>
              </w:rPr>
              <w:t>%</w:t>
            </w:r>
          </w:p>
        </w:tc>
        <w:tc>
          <w:tcPr>
            <w:tcW w:w="1217" w:type="dxa"/>
            <w:tcBorders>
              <w:top w:val="single" w:sz="4" w:space="0" w:color="DCDDDE"/>
            </w:tcBorders>
            <w:shd w:val="clear" w:color="auto" w:fill="auto"/>
            <w:hideMark/>
          </w:tcPr>
          <w:p w14:paraId="7467E2B6" w14:textId="77777777" w:rsidR="00E01C42" w:rsidRPr="00D11078" w:rsidRDefault="00E01C42" w:rsidP="008C0AC4">
            <w:pPr>
              <w:spacing w:before="40" w:after="40"/>
              <w:jc w:val="center"/>
              <w:rPr>
                <w:color w:val="000000"/>
              </w:rPr>
            </w:pPr>
            <w:r w:rsidRPr="00D11078">
              <w:rPr>
                <w:color w:val="000000"/>
              </w:rPr>
              <w:t>1.3%</w:t>
            </w:r>
          </w:p>
        </w:tc>
        <w:tc>
          <w:tcPr>
            <w:tcW w:w="950" w:type="dxa"/>
            <w:tcBorders>
              <w:top w:val="single" w:sz="4" w:space="0" w:color="DCDDDE"/>
            </w:tcBorders>
            <w:shd w:val="clear" w:color="auto" w:fill="auto"/>
            <w:hideMark/>
          </w:tcPr>
          <w:p w14:paraId="507161BE" w14:textId="77777777" w:rsidR="00E01C42" w:rsidRPr="00D11078" w:rsidRDefault="00E01C42" w:rsidP="008C0AC4">
            <w:pPr>
              <w:spacing w:before="40" w:after="40"/>
              <w:jc w:val="center"/>
              <w:rPr>
                <w:color w:val="000000"/>
              </w:rPr>
            </w:pPr>
            <w:r w:rsidRPr="00D11078">
              <w:rPr>
                <w:color w:val="000000"/>
              </w:rPr>
              <w:t xml:space="preserve">$0.07 </w:t>
            </w:r>
          </w:p>
        </w:tc>
        <w:tc>
          <w:tcPr>
            <w:tcW w:w="1094" w:type="dxa"/>
            <w:tcBorders>
              <w:top w:val="single" w:sz="4" w:space="0" w:color="DCDDDE"/>
            </w:tcBorders>
            <w:shd w:val="clear" w:color="auto" w:fill="auto"/>
            <w:hideMark/>
          </w:tcPr>
          <w:p w14:paraId="28BF9928" w14:textId="77777777" w:rsidR="00E01C42" w:rsidRPr="00D11078" w:rsidRDefault="00E01C42" w:rsidP="008C0AC4">
            <w:pPr>
              <w:spacing w:before="40" w:after="40"/>
              <w:jc w:val="center"/>
              <w:rPr>
                <w:color w:val="000000"/>
                <w:highlight w:val="red"/>
              </w:rPr>
            </w:pPr>
            <w:r>
              <w:rPr>
                <w:color w:val="000000"/>
              </w:rPr>
              <w:t>--</w:t>
            </w:r>
          </w:p>
        </w:tc>
        <w:tc>
          <w:tcPr>
            <w:tcW w:w="1678" w:type="dxa"/>
            <w:tcBorders>
              <w:top w:val="single" w:sz="4" w:space="0" w:color="DCDDDE"/>
            </w:tcBorders>
            <w:shd w:val="clear" w:color="auto" w:fill="auto"/>
            <w:hideMark/>
          </w:tcPr>
          <w:p w14:paraId="596352EB" w14:textId="77777777" w:rsidR="00E01C42" w:rsidRPr="00D11078" w:rsidRDefault="00E01C42" w:rsidP="008C0AC4">
            <w:pPr>
              <w:spacing w:before="40" w:after="40"/>
              <w:jc w:val="center"/>
              <w:rPr>
                <w:color w:val="000000"/>
              </w:rPr>
            </w:pPr>
            <w:r w:rsidRPr="00D11078">
              <w:rPr>
                <w:color w:val="000000"/>
              </w:rPr>
              <w:t>0.00019058</w:t>
            </w:r>
          </w:p>
        </w:tc>
      </w:tr>
    </w:tbl>
    <w:p w14:paraId="526D8C0F" w14:textId="77777777" w:rsidR="00E01C42" w:rsidRDefault="00E01C42" w:rsidP="00E01C42">
      <w:pPr>
        <w:spacing w:line="240" w:lineRule="auto"/>
        <w:rPr>
          <w:b/>
        </w:rPr>
      </w:pPr>
    </w:p>
    <w:p w14:paraId="4FA2FEE1" w14:textId="77777777" w:rsidR="00E01C42" w:rsidRDefault="00E01C42" w:rsidP="00E01C42">
      <w:pPr>
        <w:rPr>
          <w:b/>
        </w:rPr>
      </w:pPr>
      <w:r w:rsidRPr="00DF089C">
        <w:rPr>
          <w:b/>
        </w:rPr>
        <w:t>Assumptions and Methodology</w:t>
      </w:r>
    </w:p>
    <w:p w14:paraId="3B18D900" w14:textId="77777777" w:rsidR="00E01C42" w:rsidRPr="00DF089C" w:rsidRDefault="00E01C42" w:rsidP="00E01C42">
      <w:pPr>
        <w:rPr>
          <w:b/>
        </w:rPr>
      </w:pPr>
    </w:p>
    <w:p w14:paraId="4349B7FB" w14:textId="77777777" w:rsidR="00E01C42" w:rsidRDefault="00E01C42" w:rsidP="00E01C42">
      <w:pPr>
        <w:rPr>
          <w:b/>
          <w:i/>
          <w:szCs w:val="20"/>
        </w:rPr>
      </w:pPr>
      <w:r w:rsidRPr="00DF089C">
        <w:rPr>
          <w:b/>
          <w:i/>
          <w:szCs w:val="20"/>
        </w:rPr>
        <w:t>Eligibility and Participation</w:t>
      </w:r>
    </w:p>
    <w:p w14:paraId="7E23EFFF" w14:textId="77777777" w:rsidR="00E01C42" w:rsidRDefault="00E01C42" w:rsidP="00E01C42">
      <w:r>
        <w:t xml:space="preserve">Both web-based and IHD real-time feedback programs are offered on an opt-in basis to customers with smart-meter equipped homes. Although most residential feedback programs are focused on providing information about electricity consumption, some natural gas savings result from these programs which are likely the result of tips and recommendations concerning thermostat settings. For modeling purposes, we assume 100% applicability for electric savings among individually metered homes and 59% applicability for gas. This latter figure is conservative given that </w:t>
      </w:r>
      <w:r w:rsidRPr="00152F4A">
        <w:t xml:space="preserve">59% of California households use natural gas as their main source of space heating </w:t>
      </w:r>
      <w:r>
        <w:t xml:space="preserve">and </w:t>
      </w:r>
      <w:r w:rsidRPr="00152F4A">
        <w:t>84.4% of CA homes use</w:t>
      </w:r>
      <w:r>
        <w:t xml:space="preserve"> natural gas for water heating.</w:t>
      </w:r>
      <w:r>
        <w:rPr>
          <w:rStyle w:val="FootnoteReference"/>
        </w:rPr>
        <w:footnoteReference w:id="109"/>
      </w:r>
    </w:p>
    <w:p w14:paraId="43BB0558" w14:textId="77777777" w:rsidR="00E01C42" w:rsidRDefault="00E01C42" w:rsidP="00E01C42"/>
    <w:p w14:paraId="78C8D69C" w14:textId="77777777" w:rsidR="004675B4" w:rsidRPr="00065CEA" w:rsidRDefault="00AF5AE6" w:rsidP="00ED04DD">
      <w:pPr>
        <w:rPr>
          <w:szCs w:val="20"/>
        </w:rPr>
      </w:pPr>
      <w:r>
        <w:t xml:space="preserve">In-home displays did not pass the cost-effectiveness screen, and so are not included in the reference case. </w:t>
      </w:r>
      <w:r w:rsidR="00FA126E">
        <w:t>SCE indicated they would not deploy these programs until 2019, and they would still only be pilots at that time.</w:t>
      </w:r>
      <w:r w:rsidR="004B6594">
        <w:rPr>
          <w:rStyle w:val="FootnoteReference"/>
        </w:rPr>
        <w:footnoteReference w:id="110"/>
      </w:r>
      <w:r w:rsidR="00FA126E">
        <w:t xml:space="preserve"> This assumption was used for all utilities. </w:t>
      </w:r>
      <w:r w:rsidR="00E01C42">
        <w:t>We assume penetration rates for programs that use online portals to display customer information will be higher than those that rely on in-home displays. For online portals, our reference case assumes an 8% increase in penetration per year, while the aggressive case assumes a 15% annual increase</w:t>
      </w:r>
      <w:r w:rsidR="00FA172B">
        <w:t xml:space="preserve">, </w:t>
      </w:r>
      <w:r w:rsidR="00FA172B" w:rsidRPr="00076CD0">
        <w:t>based on professional judgement.</w:t>
      </w:r>
      <w:r w:rsidR="00E01C42">
        <w:t xml:space="preserve"> </w:t>
      </w:r>
      <w:r w:rsidR="00FA172B">
        <w:t>PG&amp;E provided penetration rate data for IHDs.</w:t>
      </w:r>
      <w:r>
        <w:rPr>
          <w:rStyle w:val="FootnoteReference"/>
        </w:rPr>
        <w:footnoteReference w:id="111"/>
      </w:r>
      <w:r w:rsidR="00FA172B">
        <w:t xml:space="preserve"> </w:t>
      </w:r>
    </w:p>
    <w:p w14:paraId="4BDE101D" w14:textId="77777777" w:rsidR="004675B4" w:rsidRDefault="004675B4" w:rsidP="00122CD3">
      <w:pPr>
        <w:rPr>
          <w:b/>
          <w:i/>
          <w:szCs w:val="20"/>
        </w:rPr>
      </w:pPr>
    </w:p>
    <w:p w14:paraId="211D02AD" w14:textId="77777777" w:rsidR="004675B4" w:rsidRDefault="00E01C42" w:rsidP="006D5808">
      <w:pPr>
        <w:keepNext/>
      </w:pPr>
      <w:r w:rsidRPr="00122CD3">
        <w:rPr>
          <w:b/>
          <w:i/>
        </w:rPr>
        <w:t>Savings</w:t>
      </w:r>
      <w:r w:rsidR="004675B4" w:rsidRPr="00122CD3">
        <w:rPr>
          <w:b/>
          <w:i/>
        </w:rPr>
        <w:t xml:space="preserve"> </w:t>
      </w:r>
    </w:p>
    <w:p w14:paraId="70FC6E07" w14:textId="77777777" w:rsidR="00E01C42" w:rsidRDefault="00E01C42" w:rsidP="00494D48">
      <w:r>
        <w:t>Savings forecasts differ for online portals and IHDs. For online portals, we estimate 1.3% savings for both kWh and therms. For IHDs, we estimate 2.3% savings for kWh and no gas savings. These estimates were developed based on numerous data points for kWh savings.</w:t>
      </w:r>
      <w:r w:rsidRPr="00E32975">
        <w:rPr>
          <w:rStyle w:val="FootnoteReference"/>
        </w:rPr>
        <w:footnoteReference w:id="112"/>
      </w:r>
      <w:r w:rsidRPr="00E32975">
        <w:rPr>
          <w:vertAlign w:val="superscript"/>
        </w:rPr>
        <w:t>,</w:t>
      </w:r>
      <w:r w:rsidRPr="00E32975">
        <w:rPr>
          <w:rStyle w:val="FootnoteReference"/>
        </w:rPr>
        <w:footnoteReference w:id="113"/>
      </w:r>
      <w:r w:rsidRPr="00E32975">
        <w:rPr>
          <w:vertAlign w:val="superscript"/>
        </w:rPr>
        <w:t>,</w:t>
      </w:r>
      <w:r w:rsidRPr="00E32975">
        <w:rPr>
          <w:rStyle w:val="FootnoteReference"/>
        </w:rPr>
        <w:footnoteReference w:id="114"/>
      </w:r>
      <w:r w:rsidRPr="00E32975">
        <w:rPr>
          <w:vertAlign w:val="superscript"/>
        </w:rPr>
        <w:t>,</w:t>
      </w:r>
      <w:r w:rsidRPr="00E32975">
        <w:rPr>
          <w:rStyle w:val="FootnoteReference"/>
        </w:rPr>
        <w:footnoteReference w:id="115"/>
      </w:r>
      <w:r w:rsidRPr="00E32975">
        <w:rPr>
          <w:vertAlign w:val="superscript"/>
        </w:rPr>
        <w:t>,</w:t>
      </w:r>
      <w:r w:rsidRPr="00E32975">
        <w:rPr>
          <w:rStyle w:val="FootnoteReference"/>
        </w:rPr>
        <w:footnoteReference w:id="116"/>
      </w:r>
      <w:r w:rsidRPr="00E32975">
        <w:rPr>
          <w:vertAlign w:val="superscript"/>
        </w:rPr>
        <w:t>,</w:t>
      </w:r>
      <w:r w:rsidRPr="00E32975">
        <w:rPr>
          <w:rStyle w:val="FootnoteReference"/>
        </w:rPr>
        <w:footnoteReference w:id="117"/>
      </w:r>
      <w:r>
        <w:t xml:space="preserve"> </w:t>
      </w:r>
    </w:p>
    <w:p w14:paraId="1F15F1D0" w14:textId="77777777" w:rsidR="00E01C42" w:rsidRDefault="00E01C42" w:rsidP="00494D48"/>
    <w:p w14:paraId="27EA885D" w14:textId="77777777" w:rsidR="00E01C42" w:rsidRDefault="00E01C42" w:rsidP="006D5808">
      <w:pPr>
        <w:rPr>
          <w:szCs w:val="20"/>
        </w:rPr>
      </w:pPr>
      <w:r w:rsidRPr="00B11C52">
        <w:t xml:space="preserve">The model uses an EUL of one year, the same as we apply for HER program participants. Because </w:t>
      </w:r>
      <w:r>
        <w:t>insufficient</w:t>
      </w:r>
      <w:r w:rsidRPr="00B11C52">
        <w:t xml:space="preserve"> demand savings data was available for </w:t>
      </w:r>
      <w:r>
        <w:t>real time feedback for non-demand response programs</w:t>
      </w:r>
      <w:r w:rsidRPr="00B11C52">
        <w:t xml:space="preserve">, </w:t>
      </w:r>
      <w:r>
        <w:t xml:space="preserve">for </w:t>
      </w:r>
      <w:r w:rsidRPr="00065CEA">
        <w:rPr>
          <w:szCs w:val="20"/>
        </w:rPr>
        <w:t>ratio of kW to kWh to savings</w:t>
      </w:r>
      <w:r>
        <w:rPr>
          <w:szCs w:val="20"/>
        </w:rPr>
        <w:t>,</w:t>
      </w:r>
      <w:r w:rsidRPr="00B11C52">
        <w:t xml:space="preserve"> we </w:t>
      </w:r>
      <w:r>
        <w:t xml:space="preserve">applied 0.00019058, </w:t>
      </w:r>
      <w:r w:rsidRPr="00B11C52">
        <w:t>which is the figure used for</w:t>
      </w:r>
      <w:r>
        <w:t xml:space="preserve"> HERs</w:t>
      </w:r>
      <w:r w:rsidRPr="00B11C52">
        <w:t xml:space="preserve"> </w:t>
      </w:r>
      <w:r>
        <w:t xml:space="preserve">for </w:t>
      </w:r>
      <w:r w:rsidRPr="00B11C52">
        <w:t>all</w:t>
      </w:r>
      <w:r>
        <w:t xml:space="preserve"> three electric utilities.</w:t>
      </w:r>
    </w:p>
    <w:p w14:paraId="6B7E1C6B" w14:textId="77777777" w:rsidR="00E01C42" w:rsidRPr="001F55DD" w:rsidRDefault="00E01C42" w:rsidP="004B6594">
      <w:pPr>
        <w:rPr>
          <w:szCs w:val="20"/>
        </w:rPr>
      </w:pPr>
    </w:p>
    <w:p w14:paraId="60151D65" w14:textId="77777777" w:rsidR="00E01C42" w:rsidRDefault="00E01C42" w:rsidP="004B6594">
      <w:pPr>
        <w:rPr>
          <w:szCs w:val="20"/>
        </w:rPr>
      </w:pPr>
      <w:r w:rsidRPr="00DF089C">
        <w:rPr>
          <w:b/>
          <w:i/>
          <w:szCs w:val="20"/>
        </w:rPr>
        <w:t>Cost</w:t>
      </w:r>
    </w:p>
    <w:p w14:paraId="25159485" w14:textId="77777777" w:rsidR="00E01C42" w:rsidRDefault="00E01C42" w:rsidP="004B6594">
      <w:r>
        <w:t>Hardware acquisition and installation constitute the primary cost associated with IHD programs, and they are accrued during the first year of customer participation. Sometimes these costs are paid by the utility, and other times by the customer. For modeling purposes, we assumed that the utilities will provide the hardware and</w:t>
      </w:r>
      <w:r w:rsidR="00FA172B">
        <w:t xml:space="preserve"> that IHDs cost $1</w:t>
      </w:r>
      <w:r>
        <w:t>00</w:t>
      </w:r>
      <w:r w:rsidR="00FA172B">
        <w:t>, annualized over 5 years – similar to the life of other consumer electronics</w:t>
      </w:r>
      <w:r>
        <w:t>.</w:t>
      </w:r>
      <w:r w:rsidR="00FA172B">
        <w:rPr>
          <w:rStyle w:val="FootnoteReference"/>
        </w:rPr>
        <w:footnoteReference w:id="118"/>
      </w:r>
      <w:r>
        <w:t xml:space="preserve"> </w:t>
      </w:r>
    </w:p>
    <w:p w14:paraId="47EF6A36" w14:textId="77777777" w:rsidR="00E01C42" w:rsidRDefault="00E01C42" w:rsidP="004B6594"/>
    <w:p w14:paraId="46CA86CA" w14:textId="77777777" w:rsidR="00E01C42" w:rsidRPr="00892C92" w:rsidRDefault="00E01C42" w:rsidP="00AF5AE6">
      <w:r>
        <w:t xml:space="preserve">To calculate the cost, we began with a 2014 report by the Alberta Energy Efficiency Alliance for the City of Calgary that notes the cost for a real-time direct feedback program are estimated to be about $0.07 per kWh saved </w:t>
      </w:r>
      <w:r w:rsidR="00892C92">
        <w:t>not including the hardware</w:t>
      </w:r>
      <w:r>
        <w:t>.</w:t>
      </w:r>
      <w:r>
        <w:rPr>
          <w:rStyle w:val="FootnoteReference"/>
        </w:rPr>
        <w:footnoteReference w:id="119"/>
      </w:r>
      <w:r>
        <w:t xml:space="preserve"> </w:t>
      </w:r>
      <w:r w:rsidR="00892C92">
        <w:t>For IHDs</w:t>
      </w:r>
      <w:r w:rsidR="00FA172B">
        <w:t xml:space="preserve">, we </w:t>
      </w:r>
      <w:r w:rsidR="00892C92">
        <w:t xml:space="preserve">add in the annualized </w:t>
      </w:r>
      <w:r w:rsidR="00FA172B">
        <w:t>$1</w:t>
      </w:r>
      <w:r>
        <w:t>00 hardware acquisition and installation costs</w:t>
      </w:r>
      <w:r w:rsidR="00892C92">
        <w:t xml:space="preserve">, resulting in </w:t>
      </w:r>
      <w:r>
        <w:t>$0.</w:t>
      </w:r>
      <w:r w:rsidR="00892C92">
        <w:t>19</w:t>
      </w:r>
      <w:r w:rsidRPr="00EF0BA2">
        <w:t xml:space="preserve"> per kwh of savings (assuming 7,000 kwh pe</w:t>
      </w:r>
      <w:r>
        <w:t xml:space="preserve">r household). </w:t>
      </w:r>
    </w:p>
    <w:p w14:paraId="62A1BFCF" w14:textId="77777777" w:rsidR="00E01C42" w:rsidRDefault="00E01C42" w:rsidP="00E01C42">
      <w:pPr>
        <w:pStyle w:val="Heading6"/>
        <w:numPr>
          <w:ilvl w:val="5"/>
          <w:numId w:val="8"/>
        </w:numPr>
        <w:ind w:left="0" w:firstLine="0"/>
      </w:pPr>
      <w:bookmarkStart w:id="935" w:name="_Toc480271808"/>
      <w:bookmarkStart w:id="936" w:name="_Toc484183065"/>
      <w:bookmarkStart w:id="937" w:name="_Toc485126586"/>
      <w:r>
        <w:t>Residential - Competitions: Large and Small</w:t>
      </w:r>
      <w:bookmarkEnd w:id="935"/>
      <w:bookmarkEnd w:id="936"/>
      <w:bookmarkEnd w:id="937"/>
    </w:p>
    <w:p w14:paraId="72484C87" w14:textId="77777777" w:rsidR="00E01C42" w:rsidRDefault="00E01C42" w:rsidP="00E01C42">
      <w:pPr>
        <w:rPr>
          <w:b/>
        </w:rPr>
      </w:pPr>
      <w:r w:rsidRPr="00DF089C">
        <w:rPr>
          <w:b/>
        </w:rPr>
        <w:t xml:space="preserve">Summary </w:t>
      </w:r>
    </w:p>
    <w:p w14:paraId="5AACB933" w14:textId="77777777" w:rsidR="00E01C42" w:rsidRPr="00B11C52" w:rsidRDefault="00E01C42" w:rsidP="00E01C42"/>
    <w:p w14:paraId="2F49B192" w14:textId="77777777" w:rsidR="00E01C42" w:rsidRPr="00010B1C" w:rsidRDefault="00E01C42" w:rsidP="00E01C42">
      <w:pPr>
        <w:autoSpaceDE w:val="0"/>
        <w:autoSpaceDN w:val="0"/>
        <w:adjustRightInd w:val="0"/>
        <w:spacing w:line="240" w:lineRule="auto"/>
        <w:rPr>
          <w:szCs w:val="20"/>
        </w:rPr>
      </w:pPr>
      <w:r w:rsidRPr="00010B1C">
        <w:rPr>
          <w:szCs w:val="20"/>
        </w:rPr>
        <w:t xml:space="preserve">Residential competitions are a behavioral intervention approach in which participants compete in </w:t>
      </w:r>
      <w:r>
        <w:rPr>
          <w:szCs w:val="20"/>
        </w:rPr>
        <w:t xml:space="preserve">energy- related challenges, </w:t>
      </w:r>
      <w:r w:rsidRPr="00010B1C">
        <w:rPr>
          <w:szCs w:val="20"/>
        </w:rPr>
        <w:t xml:space="preserve">events, </w:t>
      </w:r>
      <w:r>
        <w:rPr>
          <w:szCs w:val="20"/>
        </w:rPr>
        <w:t xml:space="preserve">or </w:t>
      </w:r>
      <w:r w:rsidRPr="00010B1C">
        <w:rPr>
          <w:szCs w:val="20"/>
        </w:rPr>
        <w:t>contests</w:t>
      </w:r>
      <w:r>
        <w:rPr>
          <w:szCs w:val="20"/>
        </w:rPr>
        <w:t>. The goal of such challenges is generally to reduce energy consumption either directly or by raising awareness, increasing knowledge, or encouraging one or more types of action</w:t>
      </w:r>
      <w:r w:rsidRPr="00010B1C">
        <w:rPr>
          <w:szCs w:val="20"/>
        </w:rPr>
        <w:t xml:space="preserve">. Competitions </w:t>
      </w:r>
      <w:r>
        <w:rPr>
          <w:szCs w:val="20"/>
        </w:rPr>
        <w:t>can run for different lengths of time, ranging from a single month to multiple years. They</w:t>
      </w:r>
      <w:r w:rsidRPr="00010B1C">
        <w:rPr>
          <w:szCs w:val="20"/>
        </w:rPr>
        <w:t xml:space="preserve"> can </w:t>
      </w:r>
      <w:r>
        <w:rPr>
          <w:szCs w:val="20"/>
        </w:rPr>
        <w:t xml:space="preserve">also </w:t>
      </w:r>
      <w:r w:rsidRPr="00010B1C">
        <w:rPr>
          <w:szCs w:val="20"/>
        </w:rPr>
        <w:t>include a mix of behavioral strategies, including goal-setting, commitments, games, social norms, and feedback.</w:t>
      </w:r>
      <w:r>
        <w:rPr>
          <w:szCs w:val="20"/>
        </w:rPr>
        <w:t xml:space="preserve"> Our analysis does not include competitions and challenges that focus on the use of equipment upgrades as a means of generating energy savings</w:t>
      </w:r>
      <w:r w:rsidRPr="009F4E52">
        <w:rPr>
          <w:szCs w:val="20"/>
        </w:rPr>
        <w:t>.</w:t>
      </w:r>
    </w:p>
    <w:p w14:paraId="392DF1ED" w14:textId="77777777" w:rsidR="00E01C42" w:rsidRDefault="00E01C42" w:rsidP="00E01C42">
      <w:pPr>
        <w:autoSpaceDE w:val="0"/>
        <w:autoSpaceDN w:val="0"/>
        <w:adjustRightInd w:val="0"/>
        <w:spacing w:line="240" w:lineRule="auto"/>
        <w:rPr>
          <w:szCs w:val="20"/>
        </w:rPr>
      </w:pPr>
    </w:p>
    <w:p w14:paraId="32A6DA4E" w14:textId="77777777" w:rsidR="00E01C42" w:rsidRPr="00B60FE1" w:rsidRDefault="00E01C42" w:rsidP="00E01C42">
      <w:pPr>
        <w:autoSpaceDE w:val="0"/>
        <w:autoSpaceDN w:val="0"/>
        <w:adjustRightInd w:val="0"/>
        <w:spacing w:line="240" w:lineRule="auto"/>
        <w:rPr>
          <w:szCs w:val="20"/>
        </w:rPr>
      </w:pPr>
      <w:r>
        <w:rPr>
          <w:szCs w:val="20"/>
        </w:rPr>
        <w:t>It is also important to note that the way in which co</w:t>
      </w:r>
      <w:r w:rsidRPr="00B60FE1">
        <w:rPr>
          <w:szCs w:val="20"/>
        </w:rPr>
        <w:t xml:space="preserve">mpetitions </w:t>
      </w:r>
      <w:r>
        <w:rPr>
          <w:szCs w:val="20"/>
        </w:rPr>
        <w:t xml:space="preserve">are </w:t>
      </w:r>
      <w:r w:rsidRPr="00B60FE1">
        <w:rPr>
          <w:szCs w:val="20"/>
        </w:rPr>
        <w:t xml:space="preserve">designed </w:t>
      </w:r>
      <w:r>
        <w:rPr>
          <w:szCs w:val="20"/>
        </w:rPr>
        <w:t>can vary</w:t>
      </w:r>
      <w:r w:rsidRPr="00B60FE1">
        <w:rPr>
          <w:szCs w:val="20"/>
        </w:rPr>
        <w:t xml:space="preserve"> depending upon the size of the targeted participant group. Small</w:t>
      </w:r>
      <w:r>
        <w:rPr>
          <w:szCs w:val="20"/>
        </w:rPr>
        <w:t>-</w:t>
      </w:r>
      <w:r w:rsidRPr="00B60FE1">
        <w:rPr>
          <w:szCs w:val="20"/>
        </w:rPr>
        <w:t xml:space="preserve">scale competitions are </w:t>
      </w:r>
      <w:r>
        <w:rPr>
          <w:szCs w:val="20"/>
        </w:rPr>
        <w:t xml:space="preserve">typically </w:t>
      </w:r>
      <w:r w:rsidRPr="00B60FE1">
        <w:rPr>
          <w:szCs w:val="20"/>
        </w:rPr>
        <w:t xml:space="preserve">designed to engage </w:t>
      </w:r>
      <w:r>
        <w:rPr>
          <w:szCs w:val="20"/>
        </w:rPr>
        <w:t>participants</w:t>
      </w:r>
      <w:r w:rsidRPr="00B60FE1">
        <w:rPr>
          <w:szCs w:val="20"/>
        </w:rPr>
        <w:t xml:space="preserve"> </w:t>
      </w:r>
      <w:r>
        <w:rPr>
          <w:szCs w:val="20"/>
        </w:rPr>
        <w:t>more deeply,</w:t>
      </w:r>
      <w:r w:rsidRPr="00B60FE1">
        <w:rPr>
          <w:szCs w:val="20"/>
        </w:rPr>
        <w:t xml:space="preserve"> with a higher </w:t>
      </w:r>
      <w:r>
        <w:rPr>
          <w:szCs w:val="20"/>
        </w:rPr>
        <w:t xml:space="preserve">number </w:t>
      </w:r>
      <w:r w:rsidRPr="00B60FE1">
        <w:rPr>
          <w:szCs w:val="20"/>
        </w:rPr>
        <w:t xml:space="preserve">of touches and a broad spectrum of </w:t>
      </w:r>
      <w:r w:rsidR="00685B60">
        <w:rPr>
          <w:szCs w:val="20"/>
        </w:rPr>
        <w:t xml:space="preserve">targeted </w:t>
      </w:r>
      <w:r w:rsidRPr="00B60FE1">
        <w:rPr>
          <w:szCs w:val="20"/>
        </w:rPr>
        <w:t>behaviors that generate higher savings and serve as a model to get the larger population engaged. Large</w:t>
      </w:r>
      <w:r>
        <w:rPr>
          <w:szCs w:val="20"/>
        </w:rPr>
        <w:t>-</w:t>
      </w:r>
      <w:r w:rsidRPr="00B60FE1">
        <w:rPr>
          <w:szCs w:val="20"/>
        </w:rPr>
        <w:t xml:space="preserve">scale competitions engage greater numbers of people in a more superficial way and encourage a limited number of behaviors. For this reason, we separate our </w:t>
      </w:r>
      <w:r>
        <w:rPr>
          <w:szCs w:val="20"/>
        </w:rPr>
        <w:t xml:space="preserve">modeling </w:t>
      </w:r>
      <w:r w:rsidRPr="00B60FE1">
        <w:rPr>
          <w:szCs w:val="20"/>
        </w:rPr>
        <w:t xml:space="preserve">calculations </w:t>
      </w:r>
      <w:r>
        <w:rPr>
          <w:szCs w:val="20"/>
        </w:rPr>
        <w:t>to estimate the savings for the two types of competitions separately</w:t>
      </w:r>
      <w:r w:rsidRPr="00B60FE1">
        <w:rPr>
          <w:szCs w:val="20"/>
        </w:rPr>
        <w:t>.</w:t>
      </w:r>
    </w:p>
    <w:p w14:paraId="4611A792" w14:textId="77777777" w:rsidR="00E01C42" w:rsidRPr="00B60FE1" w:rsidRDefault="00E01C42" w:rsidP="00E01C42">
      <w:pPr>
        <w:autoSpaceDE w:val="0"/>
        <w:autoSpaceDN w:val="0"/>
        <w:adjustRightInd w:val="0"/>
        <w:spacing w:line="240" w:lineRule="auto"/>
        <w:rPr>
          <w:szCs w:val="20"/>
        </w:rPr>
      </w:pPr>
    </w:p>
    <w:p w14:paraId="2E565F96" w14:textId="77777777" w:rsidR="00E01C42" w:rsidRDefault="00E01C42" w:rsidP="00E01C42">
      <w:pPr>
        <w:autoSpaceDE w:val="0"/>
        <w:autoSpaceDN w:val="0"/>
        <w:adjustRightInd w:val="0"/>
        <w:spacing w:line="240" w:lineRule="auto"/>
        <w:rPr>
          <w:szCs w:val="20"/>
        </w:rPr>
      </w:pPr>
      <w:r w:rsidRPr="00B60FE1">
        <w:rPr>
          <w:szCs w:val="20"/>
        </w:rPr>
        <w:lastRenderedPageBreak/>
        <w:t>We define small competitions as having less than 10,000 participants</w:t>
      </w:r>
      <w:r>
        <w:rPr>
          <w:szCs w:val="20"/>
        </w:rPr>
        <w:t xml:space="preserve"> per year and large</w:t>
      </w:r>
      <w:r w:rsidRPr="00B60FE1">
        <w:rPr>
          <w:szCs w:val="20"/>
        </w:rPr>
        <w:t xml:space="preserve"> competitions </w:t>
      </w:r>
      <w:r>
        <w:rPr>
          <w:szCs w:val="20"/>
        </w:rPr>
        <w:t xml:space="preserve">as </w:t>
      </w:r>
      <w:r w:rsidRPr="00B60FE1">
        <w:rPr>
          <w:szCs w:val="20"/>
        </w:rPr>
        <w:t>having more than 10,000</w:t>
      </w:r>
      <w:r>
        <w:rPr>
          <w:szCs w:val="20"/>
        </w:rPr>
        <w:t xml:space="preserve"> participants per year</w:t>
      </w:r>
      <w:r w:rsidRPr="00B60FE1">
        <w:rPr>
          <w:szCs w:val="20"/>
        </w:rPr>
        <w:t>. In total</w:t>
      </w:r>
      <w:r>
        <w:rPr>
          <w:szCs w:val="20"/>
        </w:rPr>
        <w:t>,</w:t>
      </w:r>
      <w:r w:rsidRPr="00B60FE1">
        <w:rPr>
          <w:szCs w:val="20"/>
        </w:rPr>
        <w:t xml:space="preserve"> we reviewed 18 small competitions </w:t>
      </w:r>
      <w:r>
        <w:rPr>
          <w:szCs w:val="20"/>
        </w:rPr>
        <w:t xml:space="preserve">and </w:t>
      </w:r>
      <w:r w:rsidRPr="00B60FE1">
        <w:rPr>
          <w:szCs w:val="20"/>
        </w:rPr>
        <w:t xml:space="preserve">5 large competitions. </w:t>
      </w:r>
      <w:r>
        <w:rPr>
          <w:szCs w:val="20"/>
        </w:rPr>
        <w:t>Data availability varied across programs.</w:t>
      </w:r>
    </w:p>
    <w:p w14:paraId="429DC546" w14:textId="77777777" w:rsidR="00E01C42" w:rsidRDefault="00E01C42" w:rsidP="00E01C42">
      <w:pPr>
        <w:autoSpaceDE w:val="0"/>
        <w:autoSpaceDN w:val="0"/>
        <w:adjustRightInd w:val="0"/>
        <w:spacing w:line="240" w:lineRule="auto"/>
        <w:rPr>
          <w:szCs w:val="20"/>
        </w:rPr>
      </w:pPr>
    </w:p>
    <w:p w14:paraId="39A5E8B8" w14:textId="77777777" w:rsidR="00E01C42" w:rsidRPr="00B57F57" w:rsidRDefault="004675B4" w:rsidP="00E01C42">
      <w:pPr>
        <w:pStyle w:val="Caption"/>
        <w:rPr>
          <w:b w:val="0"/>
          <w:szCs w:val="24"/>
        </w:rPr>
      </w:pPr>
      <w:bookmarkStart w:id="938" w:name="_Toc485125604"/>
      <w:r>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3</w:t>
      </w:r>
      <w:r w:rsidR="00272F76">
        <w:rPr>
          <w:noProof/>
        </w:rPr>
        <w:fldChar w:fldCharType="end"/>
      </w:r>
      <w:r>
        <w:t xml:space="preserve">. </w:t>
      </w:r>
      <w:r w:rsidR="00E01C42">
        <w:t>Residential Competitions - Key Assumptions</w:t>
      </w:r>
      <w:bookmarkEnd w:id="938"/>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09"/>
        <w:gridCol w:w="1506"/>
        <w:gridCol w:w="991"/>
        <w:gridCol w:w="937"/>
        <w:gridCol w:w="1217"/>
        <w:gridCol w:w="950"/>
        <w:gridCol w:w="1094"/>
        <w:gridCol w:w="1678"/>
      </w:tblGrid>
      <w:tr w:rsidR="00E01C42" w:rsidRPr="00FB7D79" w14:paraId="3917939B" w14:textId="77777777" w:rsidTr="008C0AC4">
        <w:trPr>
          <w:cantSplit/>
          <w:trHeight w:val="296"/>
          <w:tblHeader/>
          <w:jc w:val="center"/>
        </w:trPr>
        <w:tc>
          <w:tcPr>
            <w:tcW w:w="1109" w:type="dxa"/>
            <w:vMerge w:val="restart"/>
            <w:tcBorders>
              <w:top w:val="nil"/>
              <w:left w:val="nil"/>
              <w:bottom w:val="nil"/>
              <w:right w:val="nil"/>
              <w:tl2br w:val="nil"/>
              <w:tr2bl w:val="nil"/>
            </w:tcBorders>
            <w:shd w:val="clear" w:color="auto" w:fill="555759"/>
            <w:hideMark/>
          </w:tcPr>
          <w:p w14:paraId="2CDDAFF7" w14:textId="77777777" w:rsidR="00E01C42" w:rsidRPr="00D11078" w:rsidRDefault="00E01C42" w:rsidP="008C0AC4">
            <w:pPr>
              <w:spacing w:before="40" w:after="40"/>
              <w:jc w:val="center"/>
              <w:rPr>
                <w:b/>
                <w:color w:val="FFFFFF"/>
              </w:rPr>
            </w:pPr>
            <w:r w:rsidRPr="00D11078">
              <w:rPr>
                <w:b/>
                <w:color w:val="FFFFFF"/>
              </w:rPr>
              <w:t>Sector</w:t>
            </w:r>
          </w:p>
        </w:tc>
        <w:tc>
          <w:tcPr>
            <w:tcW w:w="1506" w:type="dxa"/>
            <w:vMerge w:val="restart"/>
            <w:tcBorders>
              <w:top w:val="nil"/>
              <w:left w:val="nil"/>
              <w:bottom w:val="nil"/>
              <w:right w:val="nil"/>
              <w:tl2br w:val="nil"/>
              <w:tr2bl w:val="nil"/>
            </w:tcBorders>
            <w:shd w:val="clear" w:color="auto" w:fill="555759"/>
            <w:hideMark/>
          </w:tcPr>
          <w:p w14:paraId="4FB45765" w14:textId="77777777" w:rsidR="00E01C42" w:rsidRPr="00D11078" w:rsidRDefault="00E01C42" w:rsidP="008C0AC4">
            <w:pPr>
              <w:spacing w:before="40" w:after="40"/>
              <w:jc w:val="center"/>
              <w:rPr>
                <w:b/>
                <w:color w:val="FFFFFF"/>
              </w:rPr>
            </w:pPr>
            <w:r w:rsidRPr="00D11078">
              <w:rPr>
                <w:b/>
                <w:color w:val="FFFFFF"/>
              </w:rPr>
              <w:t>Type</w:t>
            </w:r>
          </w:p>
        </w:tc>
        <w:tc>
          <w:tcPr>
            <w:tcW w:w="991" w:type="dxa"/>
            <w:vMerge w:val="restart"/>
            <w:tcBorders>
              <w:top w:val="nil"/>
              <w:left w:val="nil"/>
              <w:bottom w:val="nil"/>
              <w:right w:val="nil"/>
              <w:tl2br w:val="nil"/>
              <w:tr2bl w:val="nil"/>
            </w:tcBorders>
            <w:shd w:val="clear" w:color="auto" w:fill="555759"/>
            <w:hideMark/>
          </w:tcPr>
          <w:p w14:paraId="54898E2A" w14:textId="77777777" w:rsidR="00E01C42" w:rsidRPr="00D11078" w:rsidRDefault="00E01C42" w:rsidP="008C0AC4">
            <w:pPr>
              <w:spacing w:before="40" w:after="40"/>
              <w:jc w:val="center"/>
              <w:rPr>
                <w:b/>
                <w:color w:val="FFFFFF"/>
              </w:rPr>
            </w:pPr>
            <w:r w:rsidRPr="00D11078">
              <w:rPr>
                <w:b/>
                <w:color w:val="FFFFFF"/>
              </w:rPr>
              <w:t>EUL years</w:t>
            </w:r>
          </w:p>
        </w:tc>
        <w:tc>
          <w:tcPr>
            <w:tcW w:w="2154" w:type="dxa"/>
            <w:gridSpan w:val="2"/>
            <w:tcBorders>
              <w:top w:val="nil"/>
              <w:left w:val="nil"/>
              <w:bottom w:val="single" w:sz="2" w:space="0" w:color="FFFFFF"/>
              <w:right w:val="nil"/>
              <w:tl2br w:val="nil"/>
              <w:tr2bl w:val="nil"/>
            </w:tcBorders>
            <w:shd w:val="clear" w:color="auto" w:fill="555759"/>
            <w:hideMark/>
          </w:tcPr>
          <w:p w14:paraId="3C1FBE3F" w14:textId="77777777" w:rsidR="00E01C42" w:rsidRPr="00D11078" w:rsidRDefault="00E01C42" w:rsidP="008C0AC4">
            <w:pPr>
              <w:spacing w:before="40" w:after="40"/>
              <w:jc w:val="center"/>
              <w:rPr>
                <w:b/>
                <w:color w:val="FFFFFF"/>
              </w:rPr>
            </w:pPr>
            <w:r>
              <w:rPr>
                <w:b/>
                <w:color w:val="FFFFFF"/>
              </w:rPr>
              <w:t>Savings</w:t>
            </w:r>
          </w:p>
        </w:tc>
        <w:tc>
          <w:tcPr>
            <w:tcW w:w="2044" w:type="dxa"/>
            <w:gridSpan w:val="2"/>
            <w:tcBorders>
              <w:top w:val="nil"/>
              <w:left w:val="nil"/>
              <w:bottom w:val="single" w:sz="2" w:space="0" w:color="FFFFFF"/>
              <w:right w:val="nil"/>
              <w:tl2br w:val="nil"/>
              <w:tr2bl w:val="nil"/>
            </w:tcBorders>
            <w:shd w:val="clear" w:color="auto" w:fill="555759"/>
            <w:hideMark/>
          </w:tcPr>
          <w:p w14:paraId="28D23A53" w14:textId="77777777" w:rsidR="00E01C42" w:rsidRPr="00D11078" w:rsidRDefault="00E01C42" w:rsidP="008C0AC4">
            <w:pPr>
              <w:spacing w:before="40" w:after="40"/>
              <w:jc w:val="center"/>
              <w:rPr>
                <w:b/>
                <w:color w:val="FFFFFF"/>
              </w:rPr>
            </w:pPr>
            <w:r w:rsidRPr="00D11078">
              <w:rPr>
                <w:b/>
                <w:color w:val="FFFFFF"/>
              </w:rPr>
              <w:t>Cost</w:t>
            </w:r>
          </w:p>
        </w:tc>
        <w:tc>
          <w:tcPr>
            <w:tcW w:w="1678" w:type="dxa"/>
            <w:vMerge w:val="restart"/>
            <w:tcBorders>
              <w:top w:val="nil"/>
              <w:left w:val="nil"/>
              <w:bottom w:val="nil"/>
              <w:right w:val="nil"/>
              <w:tl2br w:val="nil"/>
              <w:tr2bl w:val="nil"/>
            </w:tcBorders>
            <w:shd w:val="clear" w:color="auto" w:fill="555759"/>
            <w:hideMark/>
          </w:tcPr>
          <w:p w14:paraId="241447EA"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FB7D79" w14:paraId="26AA4293" w14:textId="77777777" w:rsidTr="008C0AC4">
        <w:trPr>
          <w:cantSplit/>
          <w:trHeight w:val="144"/>
          <w:tblHeader/>
          <w:jc w:val="center"/>
        </w:trPr>
        <w:tc>
          <w:tcPr>
            <w:tcW w:w="1109" w:type="dxa"/>
            <w:vMerge/>
            <w:tcBorders>
              <w:top w:val="nil"/>
              <w:left w:val="nil"/>
              <w:bottom w:val="single" w:sz="12" w:space="0" w:color="95D600"/>
              <w:right w:val="nil"/>
              <w:tl2br w:val="nil"/>
              <w:tr2bl w:val="nil"/>
            </w:tcBorders>
            <w:shd w:val="clear" w:color="auto" w:fill="555759"/>
            <w:hideMark/>
          </w:tcPr>
          <w:p w14:paraId="5886729B" w14:textId="77777777" w:rsidR="00E01C42" w:rsidRPr="00D11078" w:rsidRDefault="00E01C42" w:rsidP="008C0AC4">
            <w:pPr>
              <w:spacing w:before="40" w:after="40"/>
              <w:jc w:val="center"/>
              <w:rPr>
                <w:b/>
                <w:color w:val="FFFFFF"/>
              </w:rPr>
            </w:pPr>
          </w:p>
        </w:tc>
        <w:tc>
          <w:tcPr>
            <w:tcW w:w="1506" w:type="dxa"/>
            <w:vMerge/>
            <w:tcBorders>
              <w:top w:val="nil"/>
              <w:left w:val="nil"/>
              <w:bottom w:val="single" w:sz="12" w:space="0" w:color="95D600"/>
              <w:right w:val="nil"/>
              <w:tl2br w:val="nil"/>
              <w:tr2bl w:val="nil"/>
            </w:tcBorders>
            <w:shd w:val="clear" w:color="auto" w:fill="555759"/>
            <w:hideMark/>
          </w:tcPr>
          <w:p w14:paraId="38E78138" w14:textId="77777777" w:rsidR="00E01C42" w:rsidRPr="00D11078" w:rsidRDefault="00E01C42" w:rsidP="008C0AC4">
            <w:pPr>
              <w:spacing w:before="40" w:after="40"/>
              <w:jc w:val="center"/>
              <w:rPr>
                <w:b/>
                <w:color w:val="FFFFFF"/>
              </w:rPr>
            </w:pPr>
          </w:p>
        </w:tc>
        <w:tc>
          <w:tcPr>
            <w:tcW w:w="991" w:type="dxa"/>
            <w:vMerge/>
            <w:tcBorders>
              <w:top w:val="nil"/>
              <w:left w:val="nil"/>
              <w:bottom w:val="single" w:sz="12" w:space="0" w:color="95D600"/>
              <w:right w:val="nil"/>
              <w:tl2br w:val="nil"/>
              <w:tr2bl w:val="nil"/>
            </w:tcBorders>
            <w:shd w:val="clear" w:color="auto" w:fill="555759"/>
            <w:hideMark/>
          </w:tcPr>
          <w:p w14:paraId="2455242D" w14:textId="77777777" w:rsidR="00E01C42" w:rsidRPr="00D11078" w:rsidRDefault="00E01C42" w:rsidP="008C0AC4">
            <w:pPr>
              <w:spacing w:before="40" w:after="40"/>
              <w:jc w:val="center"/>
              <w:rPr>
                <w:b/>
                <w:color w:val="FFFFFF"/>
              </w:rPr>
            </w:pPr>
          </w:p>
        </w:tc>
        <w:tc>
          <w:tcPr>
            <w:tcW w:w="937" w:type="dxa"/>
            <w:tcBorders>
              <w:top w:val="single" w:sz="2" w:space="0" w:color="FFFFFF"/>
              <w:left w:val="nil"/>
              <w:bottom w:val="single" w:sz="12" w:space="0" w:color="95D600"/>
              <w:right w:val="nil"/>
              <w:tl2br w:val="nil"/>
              <w:tr2bl w:val="nil"/>
            </w:tcBorders>
            <w:shd w:val="clear" w:color="auto" w:fill="555759"/>
            <w:hideMark/>
          </w:tcPr>
          <w:p w14:paraId="71599C39" w14:textId="77777777" w:rsidR="00E01C42" w:rsidRPr="00D11078" w:rsidRDefault="00E01C42" w:rsidP="008C0AC4">
            <w:pPr>
              <w:spacing w:before="40" w:after="40"/>
              <w:jc w:val="center"/>
              <w:rPr>
                <w:b/>
                <w:color w:val="FFFFFF"/>
              </w:rPr>
            </w:pPr>
            <w:r w:rsidRPr="00D11078">
              <w:rPr>
                <w:b/>
                <w:color w:val="FFFFFF"/>
              </w:rPr>
              <w:t>kWh</w:t>
            </w:r>
          </w:p>
        </w:tc>
        <w:tc>
          <w:tcPr>
            <w:tcW w:w="1217" w:type="dxa"/>
            <w:tcBorders>
              <w:top w:val="single" w:sz="2" w:space="0" w:color="FFFFFF"/>
              <w:left w:val="nil"/>
              <w:bottom w:val="single" w:sz="12" w:space="0" w:color="95D600"/>
              <w:right w:val="nil"/>
              <w:tl2br w:val="nil"/>
              <w:tr2bl w:val="nil"/>
            </w:tcBorders>
            <w:shd w:val="clear" w:color="auto" w:fill="555759"/>
            <w:hideMark/>
          </w:tcPr>
          <w:p w14:paraId="15CB3AA9" w14:textId="77777777" w:rsidR="00E01C42" w:rsidRPr="00D11078" w:rsidRDefault="00E01C42" w:rsidP="008C0AC4">
            <w:pPr>
              <w:spacing w:before="40" w:after="40"/>
              <w:jc w:val="center"/>
              <w:rPr>
                <w:b/>
                <w:color w:val="FFFFFF"/>
              </w:rPr>
            </w:pPr>
            <w:r w:rsidRPr="00D11078">
              <w:rPr>
                <w:b/>
                <w:color w:val="FFFFFF"/>
              </w:rPr>
              <w:t>Therm</w:t>
            </w:r>
          </w:p>
        </w:tc>
        <w:tc>
          <w:tcPr>
            <w:tcW w:w="950" w:type="dxa"/>
            <w:tcBorders>
              <w:top w:val="single" w:sz="2" w:space="0" w:color="FFFFFF"/>
              <w:left w:val="nil"/>
              <w:bottom w:val="single" w:sz="12" w:space="0" w:color="95D600"/>
              <w:right w:val="nil"/>
              <w:tl2br w:val="nil"/>
              <w:tr2bl w:val="nil"/>
            </w:tcBorders>
            <w:shd w:val="clear" w:color="auto" w:fill="555759"/>
            <w:hideMark/>
          </w:tcPr>
          <w:p w14:paraId="309613ED" w14:textId="77777777" w:rsidR="00E01C42" w:rsidRPr="00D11078" w:rsidRDefault="00E01C42" w:rsidP="008C0AC4">
            <w:pPr>
              <w:spacing w:before="40" w:after="40"/>
              <w:jc w:val="center"/>
              <w:rPr>
                <w:b/>
                <w:color w:val="FFFFFF"/>
              </w:rPr>
            </w:pPr>
            <w:r w:rsidRPr="00D11078">
              <w:rPr>
                <w:b/>
                <w:color w:val="FFFFFF"/>
              </w:rPr>
              <w:t>kWh</w:t>
            </w:r>
          </w:p>
        </w:tc>
        <w:tc>
          <w:tcPr>
            <w:tcW w:w="1094" w:type="dxa"/>
            <w:tcBorders>
              <w:top w:val="single" w:sz="2" w:space="0" w:color="FFFFFF"/>
              <w:left w:val="nil"/>
              <w:bottom w:val="single" w:sz="12" w:space="0" w:color="95D600"/>
              <w:right w:val="nil"/>
              <w:tl2br w:val="nil"/>
              <w:tr2bl w:val="nil"/>
            </w:tcBorders>
            <w:shd w:val="clear" w:color="auto" w:fill="555759"/>
            <w:hideMark/>
          </w:tcPr>
          <w:p w14:paraId="08873D39" w14:textId="77777777" w:rsidR="00E01C42" w:rsidRPr="00D11078" w:rsidRDefault="00E01C42" w:rsidP="008C0AC4">
            <w:pPr>
              <w:spacing w:before="40" w:after="40"/>
              <w:jc w:val="center"/>
              <w:rPr>
                <w:b/>
                <w:color w:val="FFFFFF"/>
              </w:rPr>
            </w:pPr>
            <w:r w:rsidRPr="00D11078">
              <w:rPr>
                <w:b/>
                <w:color w:val="FFFFFF"/>
              </w:rPr>
              <w:t>Therm</w:t>
            </w:r>
          </w:p>
        </w:tc>
        <w:tc>
          <w:tcPr>
            <w:tcW w:w="1678" w:type="dxa"/>
            <w:vMerge/>
            <w:tcBorders>
              <w:top w:val="nil"/>
              <w:left w:val="nil"/>
              <w:bottom w:val="single" w:sz="12" w:space="0" w:color="95D600"/>
              <w:right w:val="nil"/>
              <w:tl2br w:val="nil"/>
              <w:tr2bl w:val="nil"/>
            </w:tcBorders>
            <w:shd w:val="clear" w:color="auto" w:fill="555759"/>
            <w:hideMark/>
          </w:tcPr>
          <w:p w14:paraId="47446A2E" w14:textId="77777777" w:rsidR="00E01C42" w:rsidRPr="00D11078" w:rsidRDefault="00E01C42" w:rsidP="008C0AC4">
            <w:pPr>
              <w:spacing w:before="40" w:after="40"/>
              <w:jc w:val="center"/>
              <w:rPr>
                <w:b/>
                <w:color w:val="FFFFFF"/>
              </w:rPr>
            </w:pPr>
          </w:p>
        </w:tc>
      </w:tr>
      <w:tr w:rsidR="00E01C42" w:rsidRPr="00FB7D79" w14:paraId="53A25DC6" w14:textId="77777777" w:rsidTr="008C0AC4">
        <w:trPr>
          <w:cantSplit/>
          <w:trHeight w:val="738"/>
          <w:jc w:val="center"/>
        </w:trPr>
        <w:tc>
          <w:tcPr>
            <w:tcW w:w="1109" w:type="dxa"/>
            <w:tcBorders>
              <w:top w:val="single" w:sz="12" w:space="0" w:color="95D600"/>
              <w:bottom w:val="single" w:sz="4" w:space="0" w:color="DCDDDE"/>
            </w:tcBorders>
            <w:shd w:val="clear" w:color="auto" w:fill="auto"/>
            <w:hideMark/>
          </w:tcPr>
          <w:p w14:paraId="6CC8CF66" w14:textId="77777777" w:rsidR="00E01C42" w:rsidRPr="00FB7D79" w:rsidRDefault="00E01C42" w:rsidP="008C0AC4">
            <w:pPr>
              <w:spacing w:before="40" w:after="40"/>
              <w:jc w:val="center"/>
            </w:pPr>
            <w:r w:rsidRPr="00FB7D79">
              <w:t>RES</w:t>
            </w:r>
          </w:p>
        </w:tc>
        <w:tc>
          <w:tcPr>
            <w:tcW w:w="1506" w:type="dxa"/>
            <w:tcBorders>
              <w:top w:val="single" w:sz="12" w:space="0" w:color="95D600"/>
              <w:bottom w:val="single" w:sz="4" w:space="0" w:color="DCDDDE"/>
            </w:tcBorders>
            <w:shd w:val="clear" w:color="auto" w:fill="auto"/>
            <w:hideMark/>
          </w:tcPr>
          <w:p w14:paraId="6EC97FA0" w14:textId="77777777" w:rsidR="00E01C42" w:rsidRPr="00FB7D79" w:rsidRDefault="00E01C42" w:rsidP="008C0AC4">
            <w:pPr>
              <w:spacing w:before="40" w:after="40"/>
              <w:jc w:val="center"/>
            </w:pPr>
            <w:r w:rsidRPr="00FB7D79">
              <w:t>Small Competitions (&lt;10,000 ppl)</w:t>
            </w:r>
          </w:p>
        </w:tc>
        <w:tc>
          <w:tcPr>
            <w:tcW w:w="991" w:type="dxa"/>
            <w:tcBorders>
              <w:top w:val="single" w:sz="12" w:space="0" w:color="95D600"/>
              <w:bottom w:val="single" w:sz="4" w:space="0" w:color="DCDDDE"/>
            </w:tcBorders>
            <w:shd w:val="clear" w:color="auto" w:fill="auto"/>
            <w:hideMark/>
          </w:tcPr>
          <w:p w14:paraId="43321BD4" w14:textId="77777777" w:rsidR="00E01C42" w:rsidRPr="00FB7D79" w:rsidRDefault="00E01C42" w:rsidP="008C0AC4">
            <w:pPr>
              <w:spacing w:before="40" w:after="40"/>
              <w:jc w:val="center"/>
            </w:pPr>
            <w:r w:rsidRPr="00FB7D79">
              <w:t>1</w:t>
            </w:r>
          </w:p>
        </w:tc>
        <w:tc>
          <w:tcPr>
            <w:tcW w:w="937" w:type="dxa"/>
            <w:tcBorders>
              <w:top w:val="single" w:sz="12" w:space="0" w:color="95D600"/>
              <w:bottom w:val="single" w:sz="4" w:space="0" w:color="DCDDDE"/>
            </w:tcBorders>
            <w:shd w:val="clear" w:color="auto" w:fill="auto"/>
            <w:hideMark/>
          </w:tcPr>
          <w:p w14:paraId="746273D9" w14:textId="77777777" w:rsidR="00E01C42" w:rsidRPr="00FB7D79" w:rsidRDefault="00E01C42" w:rsidP="008C0AC4">
            <w:pPr>
              <w:spacing w:before="40" w:after="40"/>
              <w:jc w:val="center"/>
            </w:pPr>
            <w:r w:rsidRPr="00FB7D79">
              <w:t>8.1%</w:t>
            </w:r>
          </w:p>
        </w:tc>
        <w:tc>
          <w:tcPr>
            <w:tcW w:w="1217" w:type="dxa"/>
            <w:tcBorders>
              <w:top w:val="single" w:sz="12" w:space="0" w:color="95D600"/>
              <w:bottom w:val="single" w:sz="4" w:space="0" w:color="DCDDDE"/>
            </w:tcBorders>
            <w:shd w:val="clear" w:color="auto" w:fill="auto"/>
            <w:hideMark/>
          </w:tcPr>
          <w:p w14:paraId="000331E3" w14:textId="77777777" w:rsidR="00E01C42" w:rsidRPr="00FB7D79" w:rsidRDefault="00E01C42" w:rsidP="008C0AC4">
            <w:pPr>
              <w:spacing w:before="40" w:after="40"/>
              <w:jc w:val="center"/>
            </w:pPr>
            <w:r w:rsidRPr="00FB7D79">
              <w:t>5.2%</w:t>
            </w:r>
          </w:p>
        </w:tc>
        <w:tc>
          <w:tcPr>
            <w:tcW w:w="950" w:type="dxa"/>
            <w:tcBorders>
              <w:top w:val="single" w:sz="12" w:space="0" w:color="95D600"/>
              <w:bottom w:val="single" w:sz="4" w:space="0" w:color="DCDDDE"/>
            </w:tcBorders>
            <w:shd w:val="clear" w:color="auto" w:fill="auto"/>
            <w:hideMark/>
          </w:tcPr>
          <w:p w14:paraId="159D943B" w14:textId="77777777" w:rsidR="00E01C42" w:rsidRPr="00FB7D79" w:rsidRDefault="00E01C42" w:rsidP="008C0AC4">
            <w:pPr>
              <w:spacing w:before="40" w:after="40"/>
              <w:jc w:val="center"/>
            </w:pPr>
            <w:r>
              <w:t>$0.050</w:t>
            </w:r>
            <w:r w:rsidRPr="00FB7D79">
              <w:t xml:space="preserve"> </w:t>
            </w:r>
          </w:p>
        </w:tc>
        <w:tc>
          <w:tcPr>
            <w:tcW w:w="1094" w:type="dxa"/>
            <w:tcBorders>
              <w:top w:val="single" w:sz="12" w:space="0" w:color="95D600"/>
              <w:bottom w:val="single" w:sz="4" w:space="0" w:color="DCDDDE"/>
            </w:tcBorders>
            <w:shd w:val="clear" w:color="auto" w:fill="auto"/>
            <w:hideMark/>
          </w:tcPr>
          <w:p w14:paraId="594C48D7" w14:textId="77777777" w:rsidR="00E01C42" w:rsidRPr="00D11078" w:rsidRDefault="00E01C42" w:rsidP="008C0AC4">
            <w:pPr>
              <w:spacing w:before="40" w:after="40"/>
              <w:jc w:val="center"/>
              <w:rPr>
                <w:highlight w:val="red"/>
              </w:rPr>
            </w:pPr>
            <w:r w:rsidRPr="00FB7D79">
              <w:t>$</w:t>
            </w:r>
            <w:r>
              <w:t>1.344</w:t>
            </w:r>
          </w:p>
        </w:tc>
        <w:tc>
          <w:tcPr>
            <w:tcW w:w="1678" w:type="dxa"/>
            <w:tcBorders>
              <w:top w:val="single" w:sz="12" w:space="0" w:color="95D600"/>
              <w:bottom w:val="single" w:sz="4" w:space="0" w:color="DCDDDE"/>
            </w:tcBorders>
            <w:shd w:val="clear" w:color="auto" w:fill="auto"/>
            <w:hideMark/>
          </w:tcPr>
          <w:p w14:paraId="5E934A9D" w14:textId="77777777" w:rsidR="00E01C42" w:rsidRPr="00FB7D79" w:rsidRDefault="00E01C42" w:rsidP="008C0AC4">
            <w:pPr>
              <w:spacing w:before="40" w:after="40"/>
              <w:jc w:val="center"/>
            </w:pPr>
            <w:r w:rsidRPr="00FB7D79">
              <w:t>0.00019058</w:t>
            </w:r>
          </w:p>
        </w:tc>
      </w:tr>
      <w:tr w:rsidR="00E01C42" w:rsidRPr="00FB7D79" w14:paraId="1A2B6977" w14:textId="77777777" w:rsidTr="008C0AC4">
        <w:trPr>
          <w:cantSplit/>
          <w:trHeight w:val="738"/>
          <w:jc w:val="center"/>
        </w:trPr>
        <w:tc>
          <w:tcPr>
            <w:tcW w:w="1109" w:type="dxa"/>
            <w:tcBorders>
              <w:top w:val="single" w:sz="4" w:space="0" w:color="DCDDDE"/>
            </w:tcBorders>
            <w:shd w:val="clear" w:color="auto" w:fill="FFFFFF"/>
            <w:hideMark/>
          </w:tcPr>
          <w:p w14:paraId="16F44E9F" w14:textId="77777777" w:rsidR="00E01C42" w:rsidRPr="00FB7D79" w:rsidRDefault="00E01C42" w:rsidP="008C0AC4">
            <w:pPr>
              <w:spacing w:before="40" w:after="40"/>
              <w:jc w:val="center"/>
            </w:pPr>
            <w:r w:rsidRPr="00FB7D79">
              <w:t>RES</w:t>
            </w:r>
          </w:p>
        </w:tc>
        <w:tc>
          <w:tcPr>
            <w:tcW w:w="1506" w:type="dxa"/>
            <w:tcBorders>
              <w:top w:val="single" w:sz="4" w:space="0" w:color="DCDDDE"/>
            </w:tcBorders>
            <w:shd w:val="clear" w:color="auto" w:fill="FFFFFF"/>
            <w:hideMark/>
          </w:tcPr>
          <w:p w14:paraId="3578ED7F" w14:textId="77777777" w:rsidR="00E01C42" w:rsidRPr="00FB7D79" w:rsidRDefault="00E01C42" w:rsidP="008C0AC4">
            <w:pPr>
              <w:spacing w:before="40" w:after="40"/>
              <w:jc w:val="center"/>
            </w:pPr>
            <w:r w:rsidRPr="00FB7D79">
              <w:t>Large Competitions (&gt;10,000 ppl)</w:t>
            </w:r>
          </w:p>
        </w:tc>
        <w:tc>
          <w:tcPr>
            <w:tcW w:w="991" w:type="dxa"/>
            <w:tcBorders>
              <w:top w:val="single" w:sz="4" w:space="0" w:color="DCDDDE"/>
            </w:tcBorders>
            <w:shd w:val="clear" w:color="auto" w:fill="FFFFFF"/>
            <w:hideMark/>
          </w:tcPr>
          <w:p w14:paraId="7B3C02C4" w14:textId="77777777" w:rsidR="00E01C42" w:rsidRPr="00FB7D79" w:rsidRDefault="00E01C42" w:rsidP="008C0AC4">
            <w:pPr>
              <w:spacing w:before="40" w:after="40"/>
              <w:jc w:val="center"/>
            </w:pPr>
            <w:r w:rsidRPr="00FB7D79">
              <w:t>1</w:t>
            </w:r>
          </w:p>
        </w:tc>
        <w:tc>
          <w:tcPr>
            <w:tcW w:w="937" w:type="dxa"/>
            <w:tcBorders>
              <w:top w:val="single" w:sz="4" w:space="0" w:color="DCDDDE"/>
            </w:tcBorders>
            <w:shd w:val="clear" w:color="auto" w:fill="FFFFFF"/>
            <w:hideMark/>
          </w:tcPr>
          <w:p w14:paraId="48430D0B" w14:textId="77777777" w:rsidR="00E01C42" w:rsidRPr="00FB7D79" w:rsidRDefault="00F944B0" w:rsidP="008C0AC4">
            <w:pPr>
              <w:spacing w:before="40" w:after="40"/>
              <w:jc w:val="center"/>
            </w:pPr>
            <w:r>
              <w:t>1</w:t>
            </w:r>
            <w:r w:rsidR="00E01C42" w:rsidRPr="00FB7D79">
              <w:t>4%</w:t>
            </w:r>
          </w:p>
        </w:tc>
        <w:tc>
          <w:tcPr>
            <w:tcW w:w="1217" w:type="dxa"/>
            <w:tcBorders>
              <w:top w:val="single" w:sz="4" w:space="0" w:color="DCDDDE"/>
            </w:tcBorders>
            <w:shd w:val="clear" w:color="auto" w:fill="FFFFFF"/>
            <w:hideMark/>
          </w:tcPr>
          <w:p w14:paraId="4F5831F1" w14:textId="77777777" w:rsidR="00E01C42" w:rsidRPr="00FB7D79" w:rsidRDefault="00E01C42" w:rsidP="008C0AC4">
            <w:pPr>
              <w:spacing w:before="40" w:after="40"/>
              <w:jc w:val="center"/>
            </w:pPr>
            <w:r w:rsidRPr="00FB7D79">
              <w:t>5.2%</w:t>
            </w:r>
          </w:p>
        </w:tc>
        <w:tc>
          <w:tcPr>
            <w:tcW w:w="950" w:type="dxa"/>
            <w:tcBorders>
              <w:top w:val="single" w:sz="4" w:space="0" w:color="DCDDDE"/>
            </w:tcBorders>
            <w:shd w:val="clear" w:color="auto" w:fill="FFFFFF"/>
            <w:hideMark/>
          </w:tcPr>
          <w:p w14:paraId="0580C751" w14:textId="77777777" w:rsidR="00E01C42" w:rsidRPr="00FB7D79" w:rsidRDefault="00E01C42" w:rsidP="008C0AC4">
            <w:pPr>
              <w:spacing w:before="40" w:after="40"/>
              <w:jc w:val="center"/>
            </w:pPr>
            <w:r>
              <w:t>$0.00</w:t>
            </w:r>
            <w:r w:rsidR="00F944B0">
              <w:t>2</w:t>
            </w:r>
          </w:p>
        </w:tc>
        <w:tc>
          <w:tcPr>
            <w:tcW w:w="1094" w:type="dxa"/>
            <w:tcBorders>
              <w:top w:val="single" w:sz="4" w:space="0" w:color="DCDDDE"/>
            </w:tcBorders>
            <w:shd w:val="clear" w:color="auto" w:fill="FFFFFF"/>
            <w:hideMark/>
          </w:tcPr>
          <w:p w14:paraId="386B1CF5" w14:textId="77777777" w:rsidR="00E01C42" w:rsidRPr="00D11078" w:rsidRDefault="00E01C42" w:rsidP="008C0AC4">
            <w:pPr>
              <w:spacing w:before="40" w:after="40"/>
              <w:jc w:val="center"/>
              <w:rPr>
                <w:highlight w:val="red"/>
              </w:rPr>
            </w:pPr>
            <w:r>
              <w:t>$0.101</w:t>
            </w:r>
          </w:p>
        </w:tc>
        <w:tc>
          <w:tcPr>
            <w:tcW w:w="1678" w:type="dxa"/>
            <w:tcBorders>
              <w:top w:val="single" w:sz="4" w:space="0" w:color="DCDDDE"/>
            </w:tcBorders>
            <w:shd w:val="clear" w:color="auto" w:fill="FFFFFF"/>
            <w:hideMark/>
          </w:tcPr>
          <w:p w14:paraId="0042B521" w14:textId="77777777" w:rsidR="00E01C42" w:rsidRPr="00FB7D79" w:rsidRDefault="00E01C42" w:rsidP="008C0AC4">
            <w:pPr>
              <w:spacing w:before="40" w:after="40"/>
              <w:jc w:val="center"/>
            </w:pPr>
            <w:r w:rsidRPr="00FB7D79">
              <w:t>0.00019058</w:t>
            </w:r>
          </w:p>
        </w:tc>
      </w:tr>
    </w:tbl>
    <w:p w14:paraId="0E79AFBC" w14:textId="77777777" w:rsidR="00E01C42" w:rsidRDefault="00E01C42" w:rsidP="00E01C42">
      <w:pPr>
        <w:spacing w:line="240" w:lineRule="auto"/>
        <w:rPr>
          <w:b/>
        </w:rPr>
      </w:pPr>
    </w:p>
    <w:p w14:paraId="6D57754D" w14:textId="77777777" w:rsidR="00E01C42" w:rsidRDefault="00E01C42" w:rsidP="00E01C42">
      <w:pPr>
        <w:rPr>
          <w:b/>
        </w:rPr>
      </w:pPr>
      <w:r w:rsidRPr="00DF089C">
        <w:rPr>
          <w:b/>
        </w:rPr>
        <w:t>Assumptions and Methodology</w:t>
      </w:r>
    </w:p>
    <w:p w14:paraId="4F3BEB3C" w14:textId="77777777" w:rsidR="00E01C42" w:rsidRPr="00DF089C" w:rsidRDefault="00E01C42" w:rsidP="00E01C42">
      <w:pPr>
        <w:rPr>
          <w:b/>
        </w:rPr>
      </w:pPr>
    </w:p>
    <w:p w14:paraId="48BC4E2A" w14:textId="77777777" w:rsidR="00E01C42" w:rsidRDefault="00E01C42" w:rsidP="00E01C42">
      <w:pPr>
        <w:rPr>
          <w:b/>
          <w:i/>
          <w:szCs w:val="20"/>
        </w:rPr>
      </w:pPr>
      <w:r w:rsidRPr="005033D7">
        <w:rPr>
          <w:b/>
          <w:i/>
          <w:szCs w:val="20"/>
        </w:rPr>
        <w:t>Eligibility and Participation</w:t>
      </w:r>
    </w:p>
    <w:p w14:paraId="7B0F7446" w14:textId="77777777" w:rsidR="00E01C42" w:rsidRPr="00163486" w:rsidRDefault="00E01C42" w:rsidP="00E01C42">
      <w:pPr>
        <w:rPr>
          <w:szCs w:val="20"/>
        </w:rPr>
      </w:pPr>
      <w:r>
        <w:t>All residential customers are considered eligible t</w:t>
      </w:r>
      <w:r w:rsidR="00F944B0">
        <w:t>o participate in competitions. The e</w:t>
      </w:r>
      <w:r>
        <w:t>stimated participation rate</w:t>
      </w:r>
      <w:r w:rsidR="00F944B0">
        <w:t xml:space="preserve"> of 6.5%</w:t>
      </w:r>
      <w:r>
        <w:t xml:space="preserve"> </w:t>
      </w:r>
      <w:r w:rsidR="00F944B0">
        <w:t xml:space="preserve">for small competitions </w:t>
      </w:r>
      <w:r>
        <w:t>w</w:t>
      </w:r>
      <w:r w:rsidR="00F944B0">
        <w:t>as</w:t>
      </w:r>
      <w:r>
        <w:t xml:space="preserve"> determined by averaging available reported participation rates. Participation data for small-scale competitions was derived from SDG&amp;E’s “Biggest Energy Saver” program, </w:t>
      </w:r>
      <w:r w:rsidRPr="00E70969">
        <w:t>SMECO</w:t>
      </w:r>
      <w:r>
        <w:t>’s</w:t>
      </w:r>
      <w:r w:rsidRPr="00E70969">
        <w:t xml:space="preserve"> </w:t>
      </w:r>
      <w:r>
        <w:t>“</w:t>
      </w:r>
      <w:r w:rsidRPr="00E70969">
        <w:t>Energy Savings Challenge</w:t>
      </w:r>
      <w:r>
        <w:t xml:space="preserve">”, and </w:t>
      </w:r>
      <w:r w:rsidRPr="00E70969">
        <w:t>Minnesota Valley Electric Cooperative</w:t>
      </w:r>
      <w:r>
        <w:t>’s “</w:t>
      </w:r>
      <w:r w:rsidRPr="00E70969">
        <w:t>Beat The Peak</w:t>
      </w:r>
      <w:r>
        <w:t>” program.</w:t>
      </w:r>
      <w:r w:rsidR="00685B60">
        <w:rPr>
          <w:rStyle w:val="FootnoteReference"/>
        </w:rPr>
        <w:footnoteReference w:id="120"/>
      </w:r>
      <w:r>
        <w:t xml:space="preserve"> </w:t>
      </w:r>
      <w:r w:rsidR="00B76510">
        <w:rPr>
          <w:szCs w:val="20"/>
        </w:rPr>
        <w:t>CoolChallenge California</w:t>
      </w:r>
      <w:r w:rsidR="00B76510">
        <w:rPr>
          <w:rStyle w:val="FootnoteReference"/>
          <w:szCs w:val="20"/>
        </w:rPr>
        <w:footnoteReference w:id="121"/>
      </w:r>
      <w:r w:rsidR="00B76510">
        <w:rPr>
          <w:szCs w:val="20"/>
        </w:rPr>
        <w:t xml:space="preserve"> provided a participation rate of 0.1% for large competitions. </w:t>
      </w:r>
      <w:r>
        <w:t>This information was supplemented with findings from program reviews conducted by the Consortium for Energy Efficiency,</w:t>
      </w:r>
      <w:r w:rsidRPr="00047EF3">
        <w:rPr>
          <w:rStyle w:val="FootnoteReference"/>
        </w:rPr>
        <w:footnoteReference w:id="122"/>
      </w:r>
      <w:r>
        <w:t xml:space="preserve"> </w:t>
      </w:r>
      <w:r w:rsidRPr="005033D7">
        <w:rPr>
          <w:szCs w:val="20"/>
        </w:rPr>
        <w:t>American Council for an Energy-Efficient Economy</w:t>
      </w:r>
      <w:r>
        <w:rPr>
          <w:szCs w:val="20"/>
        </w:rPr>
        <w:t>,</w:t>
      </w:r>
      <w:r w:rsidRPr="00047EF3">
        <w:rPr>
          <w:rStyle w:val="FootnoteReference"/>
          <w:szCs w:val="20"/>
        </w:rPr>
        <w:footnoteReference w:id="123"/>
      </w:r>
      <w:r>
        <w:rPr>
          <w:szCs w:val="20"/>
        </w:rPr>
        <w:t xml:space="preserve"> and </w:t>
      </w:r>
      <w:r w:rsidRPr="00163486">
        <w:rPr>
          <w:szCs w:val="20"/>
        </w:rPr>
        <w:t>Illume Advising</w:t>
      </w:r>
      <w:r>
        <w:rPr>
          <w:szCs w:val="20"/>
        </w:rPr>
        <w:t>.</w:t>
      </w:r>
      <w:r w:rsidRPr="00047EF3">
        <w:rPr>
          <w:rStyle w:val="FootnoteReference"/>
        </w:rPr>
        <w:footnoteReference w:id="124"/>
      </w:r>
      <w:r w:rsidR="00F944B0">
        <w:rPr>
          <w:szCs w:val="20"/>
        </w:rPr>
        <w:t xml:space="preserve"> </w:t>
      </w:r>
    </w:p>
    <w:p w14:paraId="1AECAB86" w14:textId="77777777" w:rsidR="00E01C42" w:rsidRPr="005033D7" w:rsidRDefault="00E01C42" w:rsidP="00E01C42">
      <w:pPr>
        <w:rPr>
          <w:szCs w:val="20"/>
        </w:rPr>
      </w:pPr>
    </w:p>
    <w:p w14:paraId="047D0488" w14:textId="77777777" w:rsidR="00E01C42" w:rsidRDefault="00E01C42" w:rsidP="00E01C42">
      <w:r>
        <w:t>Penetration rates for the</w:t>
      </w:r>
      <w:r w:rsidRPr="009F4E52">
        <w:t xml:space="preserve"> reference case assume that small competitions are </w:t>
      </w:r>
      <w:r>
        <w:t>conducted</w:t>
      </w:r>
      <w:r w:rsidRPr="009F4E52">
        <w:t xml:space="preserve"> </w:t>
      </w:r>
      <w:r>
        <w:t xml:space="preserve">by each utility </w:t>
      </w:r>
      <w:r w:rsidRPr="009F4E52">
        <w:t xml:space="preserve">with a </w:t>
      </w:r>
      <w:r>
        <w:t xml:space="preserve">consistent </w:t>
      </w:r>
      <w:r w:rsidRPr="009F4E52">
        <w:t>target population of 10,000 households per year each year</w:t>
      </w:r>
      <w:r>
        <w:t xml:space="preserve"> between 2019 and 2030. Starting saturation level is determined by dividing 10,000 by the number of residential households per utility and multiplying by the 6.5% participation rate. </w:t>
      </w:r>
      <w:r w:rsidRPr="009F4E52">
        <w:t xml:space="preserve">The aggressive case </w:t>
      </w:r>
      <w:r>
        <w:t xml:space="preserve">also starts in 2019. It </w:t>
      </w:r>
      <w:r w:rsidRPr="009F4E52">
        <w:t xml:space="preserve">assumes that years </w:t>
      </w:r>
      <w:r w:rsidR="003F0C84">
        <w:t>2019-2021</w:t>
      </w:r>
      <w:r w:rsidRPr="009F4E52">
        <w:t xml:space="preserve"> are limited to two target groups of 10,000</w:t>
      </w:r>
      <w:r>
        <w:t>,</w:t>
      </w:r>
      <w:r w:rsidRPr="009F4E52">
        <w:t xml:space="preserve"> but then increased to 5 target groups of 1</w:t>
      </w:r>
      <w:r>
        <w:t>0,000 each in subsequent year.</w:t>
      </w:r>
      <w:r w:rsidRPr="009F4E52">
        <w:t xml:space="preserve"> </w:t>
      </w:r>
      <w:r>
        <w:t>These groups may be small towns,</w:t>
      </w:r>
      <w:r w:rsidRPr="009F4E52">
        <w:t xml:space="preserve"> </w:t>
      </w:r>
      <w:r>
        <w:t>neighborhoods within larger cities</w:t>
      </w:r>
      <w:r w:rsidRPr="009F4E52">
        <w:t xml:space="preserve">, </w:t>
      </w:r>
      <w:r>
        <w:t>or similar</w:t>
      </w:r>
      <w:r w:rsidRPr="009F4E52">
        <w:t xml:space="preserve">. </w:t>
      </w:r>
    </w:p>
    <w:p w14:paraId="4B238882" w14:textId="77777777" w:rsidR="00E01C42" w:rsidRDefault="00E01C42" w:rsidP="00E01C42"/>
    <w:p w14:paraId="2D38B86C" w14:textId="77777777" w:rsidR="00E01C42" w:rsidRDefault="00E01C42" w:rsidP="00E01C42">
      <w:r>
        <w:t xml:space="preserve">Penetration rates for large competitions are based upon </w:t>
      </w:r>
      <w:r w:rsidR="00F944B0">
        <w:t xml:space="preserve">the </w:t>
      </w:r>
      <w:r>
        <w:t xml:space="preserve">participation rate and a </w:t>
      </w:r>
      <w:r w:rsidR="00F944B0">
        <w:t xml:space="preserve">targeted </w:t>
      </w:r>
      <w:r>
        <w:t>percentage of utility households. The reference case for large competitions assumes that each utility targets 10% of its residential customers between 2019 and 2021; then rises to 15% of customers from 2022 to 2024 before increasing to 20% in 2025 and rising to 25% of customers in 2028. The aggressive case uses the same time intervals, but it starts at 20% of customers and rises in increments of 10% rather than the 5% of the reference scenario.</w:t>
      </w:r>
    </w:p>
    <w:p w14:paraId="7407CEDD" w14:textId="77777777" w:rsidR="00E01C42" w:rsidRPr="00065CEA" w:rsidRDefault="00E01C42" w:rsidP="00E01C42">
      <w:pPr>
        <w:rPr>
          <w:szCs w:val="20"/>
        </w:rPr>
      </w:pPr>
    </w:p>
    <w:p w14:paraId="6A97E700" w14:textId="77777777" w:rsidR="00E01C42" w:rsidRDefault="00E01C42" w:rsidP="00E01C42">
      <w:pPr>
        <w:keepNext/>
        <w:rPr>
          <w:szCs w:val="20"/>
        </w:rPr>
      </w:pPr>
      <w:r>
        <w:rPr>
          <w:b/>
          <w:i/>
          <w:szCs w:val="20"/>
        </w:rPr>
        <w:t>Savings</w:t>
      </w:r>
    </w:p>
    <w:p w14:paraId="6085C86F" w14:textId="77777777" w:rsidR="00E01C42" w:rsidRDefault="00B76510" w:rsidP="00E01C42">
      <w:r>
        <w:t>We</w:t>
      </w:r>
      <w:r w:rsidR="00E01C42" w:rsidRPr="00106F82">
        <w:t xml:space="preserve"> averaged the percentage of kWh savings reported</w:t>
      </w:r>
      <w:r w:rsidR="00E01C42">
        <w:t xml:space="preserve"> to arrive at 8.1% for small competitions and </w:t>
      </w:r>
      <w:r>
        <w:t>CoolCalifornia Challenge reported 14</w:t>
      </w:r>
      <w:r w:rsidR="00E01C42">
        <w:t>% for large competitions</w:t>
      </w:r>
      <w:r w:rsidR="00E01C42" w:rsidRPr="00106F82">
        <w:t>.</w:t>
      </w:r>
      <w:r w:rsidR="00114524">
        <w:rPr>
          <w:rStyle w:val="FootnoteReference"/>
        </w:rPr>
        <w:footnoteReference w:id="125"/>
      </w:r>
      <w:r w:rsidR="00E01C42" w:rsidRPr="00106F82">
        <w:t xml:space="preserve"> </w:t>
      </w:r>
      <w:r w:rsidR="00E01C42">
        <w:t>Gas</w:t>
      </w:r>
      <w:r w:rsidR="00E01C42" w:rsidRPr="00106F82">
        <w:t xml:space="preserve"> savings of 5.3% are </w:t>
      </w:r>
      <w:r w:rsidR="00E01C42">
        <w:t xml:space="preserve">used for both small and large competitions and are </w:t>
      </w:r>
      <w:r w:rsidR="00E01C42" w:rsidRPr="00106F82">
        <w:t>based on an average of an</w:t>
      </w:r>
      <w:r w:rsidR="00E01C42">
        <w:t xml:space="preserve"> ACEEE review of three programs that report</w:t>
      </w:r>
      <w:r w:rsidR="00E01C42" w:rsidRPr="00106F82">
        <w:t xml:space="preserve"> gas savings between 0.4</w:t>
      </w:r>
      <w:r w:rsidR="00E01C42">
        <w:t xml:space="preserve">% and </w:t>
      </w:r>
      <w:r w:rsidR="00E01C42" w:rsidRPr="00106F82">
        <w:t>10%.</w:t>
      </w:r>
      <w:r w:rsidR="00E01C42">
        <w:rPr>
          <w:rStyle w:val="FootnoteReference"/>
        </w:rPr>
        <w:footnoteReference w:id="126"/>
      </w:r>
      <w:r w:rsidR="00E01C42" w:rsidRPr="00106F82">
        <w:t xml:space="preserve"> </w:t>
      </w:r>
    </w:p>
    <w:p w14:paraId="07673793" w14:textId="77777777" w:rsidR="00E01C42" w:rsidRDefault="00E01C42" w:rsidP="00E01C42"/>
    <w:p w14:paraId="1DCBAF70" w14:textId="77777777" w:rsidR="00E01C42" w:rsidRDefault="00E01C42" w:rsidP="00E01C42">
      <w:pPr>
        <w:rPr>
          <w:szCs w:val="20"/>
        </w:rPr>
      </w:pPr>
      <w:r>
        <w:t>Because competitions can be run for different lengths of time, lasting from a few months to multiple years, we have standardized the model on a</w:t>
      </w:r>
      <w:r w:rsidRPr="00B11C52">
        <w:t>n EUL of one year</w:t>
      </w:r>
      <w:r>
        <w:t>.</w:t>
      </w:r>
      <w:r w:rsidRPr="00B11C52">
        <w:t xml:space="preserve"> </w:t>
      </w:r>
      <w:r>
        <w:t xml:space="preserve">(This is </w:t>
      </w:r>
      <w:r w:rsidRPr="00B11C52">
        <w:t xml:space="preserve">the same </w:t>
      </w:r>
      <w:r>
        <w:t>EUL that we</w:t>
      </w:r>
      <w:r w:rsidRPr="00B11C52">
        <w:t xml:space="preserve"> apply for </w:t>
      </w:r>
      <w:r>
        <w:t>other residential interventions.)</w:t>
      </w:r>
      <w:r w:rsidRPr="00B11C52">
        <w:t xml:space="preserve"> Because </w:t>
      </w:r>
      <w:r>
        <w:t>insufficient</w:t>
      </w:r>
      <w:r w:rsidRPr="00B11C52">
        <w:t xml:space="preserve"> demand savings data was available for </w:t>
      </w:r>
      <w:r>
        <w:t xml:space="preserve">residential competitions, we applied a </w:t>
      </w:r>
      <w:r w:rsidRPr="00065CEA">
        <w:rPr>
          <w:szCs w:val="20"/>
        </w:rPr>
        <w:t xml:space="preserve">ratio of </w:t>
      </w:r>
      <w:r>
        <w:t xml:space="preserve">0.00019058 </w:t>
      </w:r>
      <w:r w:rsidRPr="00065CEA">
        <w:rPr>
          <w:szCs w:val="20"/>
        </w:rPr>
        <w:t>kW to kWh to savings</w:t>
      </w:r>
      <w:r>
        <w:t xml:space="preserve">, </w:t>
      </w:r>
      <w:r w:rsidRPr="00B11C52">
        <w:t>which is the figure used for</w:t>
      </w:r>
      <w:r>
        <w:t xml:space="preserve"> HERs</w:t>
      </w:r>
      <w:r w:rsidRPr="00B11C52">
        <w:t xml:space="preserve"> </w:t>
      </w:r>
      <w:r>
        <w:t xml:space="preserve">for </w:t>
      </w:r>
      <w:r w:rsidRPr="00B11C52">
        <w:t>all</w:t>
      </w:r>
      <w:r>
        <w:t xml:space="preserve"> three electric utilities.</w:t>
      </w:r>
    </w:p>
    <w:p w14:paraId="2A161589" w14:textId="77777777" w:rsidR="00E01C42" w:rsidRPr="001F55DD" w:rsidRDefault="00E01C42" w:rsidP="00E01C42">
      <w:pPr>
        <w:rPr>
          <w:szCs w:val="20"/>
        </w:rPr>
      </w:pPr>
    </w:p>
    <w:p w14:paraId="2C44E4F0" w14:textId="77777777" w:rsidR="00E01C42" w:rsidRDefault="00E01C42" w:rsidP="00E01C42">
      <w:pPr>
        <w:rPr>
          <w:szCs w:val="20"/>
        </w:rPr>
      </w:pPr>
      <w:r w:rsidRPr="00DF089C">
        <w:rPr>
          <w:b/>
          <w:i/>
          <w:szCs w:val="20"/>
        </w:rPr>
        <w:t>Cost</w:t>
      </w:r>
    </w:p>
    <w:p w14:paraId="6A0F9F8E" w14:textId="77777777" w:rsidR="00E01C42" w:rsidRDefault="00E01C42" w:rsidP="00E01C42">
      <w:r>
        <w:t xml:space="preserve">Costs associated with competitions are largely associated with program administration and game-related prizes. We used data gathered from the 2015 ACEEE’s report on energy efficiency and gamification and information from the CEE database of behavioral programs to create cost estimates for both small and large behavior-based competitions. We approached the calculations for both small and large competitions in the same way. We began by estimating total program costs and total program savings and then divided total program costs by total program savings to get average cost per kWh. We estimated total program savings by multiplying the average number of participants per competition by the cost per participant. We estimated total program savings by multiplying average household electricity consumption by the average number of participants and the average savings rate per participant. </w:t>
      </w:r>
    </w:p>
    <w:p w14:paraId="7468F8A7" w14:textId="77777777" w:rsidR="00E01C42" w:rsidRDefault="00E01C42" w:rsidP="00E01C42"/>
    <w:p w14:paraId="7A181859" w14:textId="77777777" w:rsidR="00E01C42" w:rsidRDefault="00114524" w:rsidP="00E01C42">
      <w:r>
        <w:t>W</w:t>
      </w:r>
      <w:r w:rsidR="00E01C42">
        <w:t>e assume that prizes account for 50% of program costs. We estimated the cost per kWh at $0.007 for large competitions, based on the prizes and participation reported for SDG&amp;E’s “</w:t>
      </w:r>
      <w:r w:rsidR="00E01C42" w:rsidRPr="00E70969">
        <w:t>San Diego Energy Challenge</w:t>
      </w:r>
      <w:r w:rsidR="00E01C42">
        <w:t xml:space="preserve">” and Puget Sound Energy’s “Rock the Bulb” program. We estimated the cost per kWh at $0.050 for small competitions based on the prizes and participation reported for </w:t>
      </w:r>
      <w:r w:rsidR="00E01C42" w:rsidRPr="00E70969">
        <w:t>SMECO</w:t>
      </w:r>
      <w:r w:rsidR="00E01C42">
        <w:t>’s</w:t>
      </w:r>
      <w:r w:rsidR="00E01C42" w:rsidRPr="00E70969">
        <w:t xml:space="preserve"> </w:t>
      </w:r>
      <w:r w:rsidR="00E01C42">
        <w:t>“</w:t>
      </w:r>
      <w:r w:rsidR="00E01C42" w:rsidRPr="00E70969">
        <w:t>Energy Savings Challenge</w:t>
      </w:r>
      <w:r w:rsidR="00E01C42">
        <w:t xml:space="preserve">” and </w:t>
      </w:r>
      <w:r w:rsidR="00E01C42" w:rsidRPr="00E70969">
        <w:t>Minnesota Valley Electric Cooperative</w:t>
      </w:r>
      <w:r w:rsidR="00E01C42">
        <w:t>’s “</w:t>
      </w:r>
      <w:r w:rsidR="00E01C42" w:rsidRPr="00E70969">
        <w:t>Beat The Peak</w:t>
      </w:r>
      <w:r w:rsidR="00E01C42">
        <w:t>” program.</w:t>
      </w:r>
      <w:r w:rsidR="00E01C42">
        <w:rPr>
          <w:rStyle w:val="FootnoteReference"/>
        </w:rPr>
        <w:footnoteReference w:id="127"/>
      </w:r>
      <w:r w:rsidR="00E01C42">
        <w:t xml:space="preserve"> </w:t>
      </w:r>
    </w:p>
    <w:p w14:paraId="096B0DF0" w14:textId="77777777" w:rsidR="00E01C42" w:rsidRDefault="00E01C42" w:rsidP="00E01C42">
      <w:pPr>
        <w:pStyle w:val="Heading6"/>
        <w:numPr>
          <w:ilvl w:val="5"/>
          <w:numId w:val="8"/>
        </w:numPr>
        <w:ind w:left="0" w:firstLine="0"/>
      </w:pPr>
      <w:bookmarkStart w:id="939" w:name="_Toc480271809"/>
      <w:bookmarkStart w:id="940" w:name="_Toc484183066"/>
      <w:bookmarkStart w:id="941" w:name="_Toc485126587"/>
      <w:r>
        <w:lastRenderedPageBreak/>
        <w:t>Commercial - Strategic Energy Management</w:t>
      </w:r>
      <w:bookmarkEnd w:id="939"/>
      <w:bookmarkEnd w:id="940"/>
      <w:bookmarkEnd w:id="941"/>
    </w:p>
    <w:p w14:paraId="6B02708C" w14:textId="77777777" w:rsidR="00E01C42" w:rsidRPr="008261F5" w:rsidRDefault="00E01C42" w:rsidP="00E01C42">
      <w:pPr>
        <w:rPr>
          <w:b/>
        </w:rPr>
      </w:pPr>
      <w:r w:rsidRPr="008261F5">
        <w:rPr>
          <w:b/>
        </w:rPr>
        <w:t xml:space="preserve">Summary </w:t>
      </w:r>
    </w:p>
    <w:p w14:paraId="57A4AC2F" w14:textId="77777777" w:rsidR="00E01C42" w:rsidRPr="008261F5" w:rsidRDefault="00E01C42" w:rsidP="00E01C42"/>
    <w:p w14:paraId="636E74B1" w14:textId="77777777" w:rsidR="00E01C42" w:rsidRPr="008261F5" w:rsidRDefault="00E01C42" w:rsidP="00E01C42">
      <w:r w:rsidRPr="008261F5">
        <w:t>Strategic Energy</w:t>
      </w:r>
      <w:r>
        <w:t xml:space="preserve"> Management (SEM) is a process for</w:t>
      </w:r>
      <w:r w:rsidRPr="008261F5">
        <w:t xml:space="preserve"> evaluating and implementing opportunities to optimize energy use</w:t>
      </w:r>
      <w:r>
        <w:t xml:space="preserve"> in the commercial and industrial sectors. </w:t>
      </w:r>
      <w:r w:rsidRPr="008261F5">
        <w:t>SEM is a continuous improvement approach that focuses on changing business practices to enable companies to</w:t>
      </w:r>
      <w:r>
        <w:t xml:space="preserve"> save money by</w:t>
      </w:r>
      <w:r w:rsidRPr="008261F5">
        <w:t xml:space="preserve"> reduc</w:t>
      </w:r>
      <w:r>
        <w:t>ing</w:t>
      </w:r>
      <w:r w:rsidRPr="008261F5">
        <w:t xml:space="preserve"> energy consumption and waste. In California, </w:t>
      </w:r>
      <w:r>
        <w:t xml:space="preserve">pilot SEM programs are currently being administered in </w:t>
      </w:r>
      <w:r w:rsidRPr="008261F5">
        <w:t>the industrial sectors.</w:t>
      </w:r>
      <w:r>
        <w:t xml:space="preserve"> </w:t>
      </w:r>
      <w:r w:rsidRPr="008261F5">
        <w:t>Customers that benefit the most from SEM</w:t>
      </w:r>
      <w:r>
        <w:t>,</w:t>
      </w:r>
      <w:r w:rsidRPr="008261F5">
        <w:t xml:space="preserve"> typically </w:t>
      </w:r>
      <w:r>
        <w:t>fall under one of the following categories</w:t>
      </w:r>
      <w:r w:rsidRPr="008261F5">
        <w:t>:</w:t>
      </w:r>
    </w:p>
    <w:p w14:paraId="1F7FA08A" w14:textId="77777777" w:rsidR="00E01C42" w:rsidRPr="008261F5" w:rsidRDefault="00E01C42" w:rsidP="004E4E36">
      <w:pPr>
        <w:pStyle w:val="ListParagraph"/>
        <w:numPr>
          <w:ilvl w:val="0"/>
          <w:numId w:val="61"/>
        </w:numPr>
      </w:pPr>
      <w:r w:rsidRPr="008261F5">
        <w:t>Campuses with multiple buildings and building types</w:t>
      </w:r>
    </w:p>
    <w:p w14:paraId="7E3E99BB" w14:textId="77777777" w:rsidR="00E01C42" w:rsidRPr="008261F5" w:rsidRDefault="00E01C42" w:rsidP="004E4E36">
      <w:pPr>
        <w:pStyle w:val="ListParagraph"/>
        <w:numPr>
          <w:ilvl w:val="0"/>
          <w:numId w:val="61"/>
        </w:numPr>
      </w:pPr>
      <w:r w:rsidRPr="008261F5">
        <w:t>Customers with a large portfolio of buildings and a range of building types</w:t>
      </w:r>
    </w:p>
    <w:p w14:paraId="429CA5B3" w14:textId="77777777" w:rsidR="00E01C42" w:rsidRPr="008261F5" w:rsidRDefault="00E01C42" w:rsidP="004E4E36">
      <w:pPr>
        <w:pStyle w:val="ListParagraph"/>
        <w:numPr>
          <w:ilvl w:val="0"/>
          <w:numId w:val="61"/>
        </w:numPr>
      </w:pPr>
      <w:r w:rsidRPr="008261F5">
        <w:t>Buildings with complex energy systems</w:t>
      </w:r>
    </w:p>
    <w:p w14:paraId="0E8DAD28" w14:textId="77777777" w:rsidR="00E01C42" w:rsidRPr="008261F5" w:rsidRDefault="00E01C42" w:rsidP="00E01C42"/>
    <w:p w14:paraId="6C3884EF" w14:textId="77777777" w:rsidR="00E01C42" w:rsidRPr="008261F5" w:rsidRDefault="00E01C42" w:rsidP="00E01C42">
      <w:r w:rsidRPr="008261F5">
        <w:t>SEM allows for continuous energy performance improvement by providing the processes and systems needed to incorporate energy considerations and energy management into daily operations. While SEM applications vary depending on customer specific needs, program participants generally implement the fol</w:t>
      </w:r>
      <w:r>
        <w:t>lowing policies and activities:</w:t>
      </w:r>
    </w:p>
    <w:p w14:paraId="4F50C7E0" w14:textId="77777777" w:rsidR="00E01C42" w:rsidRPr="008261F5" w:rsidRDefault="00E01C42" w:rsidP="004E4E36">
      <w:pPr>
        <w:pStyle w:val="ListParagraph"/>
        <w:numPr>
          <w:ilvl w:val="0"/>
          <w:numId w:val="60"/>
        </w:numPr>
      </w:pPr>
      <w:r w:rsidRPr="008261F5">
        <w:t>Measure and track energy use to help inform strategic business decisions</w:t>
      </w:r>
    </w:p>
    <w:p w14:paraId="6910AA60" w14:textId="77777777" w:rsidR="00E01C42" w:rsidRPr="008261F5" w:rsidRDefault="00E01C42" w:rsidP="004E4E36">
      <w:pPr>
        <w:pStyle w:val="ListParagraph"/>
        <w:numPr>
          <w:ilvl w:val="0"/>
          <w:numId w:val="60"/>
        </w:numPr>
      </w:pPr>
      <w:r w:rsidRPr="008261F5">
        <w:t>Drive managerial and corporate behavioral changes around energy</w:t>
      </w:r>
    </w:p>
    <w:p w14:paraId="3F650216" w14:textId="77777777" w:rsidR="00E01C42" w:rsidRPr="008261F5" w:rsidRDefault="00E01C42" w:rsidP="004E4E36">
      <w:pPr>
        <w:pStyle w:val="ListParagraph"/>
        <w:numPr>
          <w:ilvl w:val="0"/>
          <w:numId w:val="60"/>
        </w:numPr>
      </w:pPr>
      <w:r w:rsidRPr="008261F5">
        <w:t>Develop the mechanisms to track and evaluate energy optimization efforts</w:t>
      </w:r>
    </w:p>
    <w:p w14:paraId="210DDE56" w14:textId="77777777" w:rsidR="00E01C42" w:rsidRPr="008261F5" w:rsidRDefault="00E01C42" w:rsidP="004E4E36">
      <w:pPr>
        <w:pStyle w:val="ListParagraph"/>
        <w:numPr>
          <w:ilvl w:val="0"/>
          <w:numId w:val="60"/>
        </w:numPr>
      </w:pPr>
      <w:r w:rsidRPr="008261F5">
        <w:t>Implement ongoing operations and maintenance practices</w:t>
      </w:r>
    </w:p>
    <w:p w14:paraId="2C1742A4" w14:textId="77777777" w:rsidR="00E01C42" w:rsidRPr="008261F5" w:rsidRDefault="00E01C42" w:rsidP="004E4E36">
      <w:pPr>
        <w:pStyle w:val="ListParagraph"/>
        <w:numPr>
          <w:ilvl w:val="0"/>
          <w:numId w:val="60"/>
        </w:numPr>
      </w:pPr>
      <w:r w:rsidRPr="008261F5">
        <w:t xml:space="preserve">Reduce total annual energy costs between </w:t>
      </w:r>
      <w:r>
        <w:t>5% and 10%</w:t>
      </w:r>
    </w:p>
    <w:p w14:paraId="1364464D" w14:textId="77777777" w:rsidR="00E01C42" w:rsidRPr="008261F5" w:rsidRDefault="00E01C42" w:rsidP="004E4E36">
      <w:pPr>
        <w:pStyle w:val="ListParagraph"/>
        <w:numPr>
          <w:ilvl w:val="0"/>
          <w:numId w:val="60"/>
        </w:numPr>
      </w:pPr>
      <w:r w:rsidRPr="008261F5">
        <w:t>Identify and prioritize capital improvements or process changes that lead to more savings</w:t>
      </w:r>
    </w:p>
    <w:p w14:paraId="08E9BEB5" w14:textId="77777777" w:rsidR="00E01C42" w:rsidRPr="008261F5" w:rsidRDefault="00E01C42" w:rsidP="004E4E36">
      <w:pPr>
        <w:pStyle w:val="ListParagraph"/>
        <w:numPr>
          <w:ilvl w:val="0"/>
          <w:numId w:val="60"/>
        </w:numPr>
      </w:pPr>
      <w:r w:rsidRPr="008261F5">
        <w:t>Justify additional resources to energy management as a result of demonstrated success</w:t>
      </w:r>
    </w:p>
    <w:p w14:paraId="0A45EB37" w14:textId="77777777" w:rsidR="00E01C42" w:rsidRPr="008261F5" w:rsidRDefault="00E01C42" w:rsidP="004E4E36">
      <w:pPr>
        <w:pStyle w:val="ListParagraph"/>
        <w:numPr>
          <w:ilvl w:val="0"/>
          <w:numId w:val="60"/>
        </w:numPr>
      </w:pPr>
      <w:r w:rsidRPr="008261F5">
        <w:t>Overcome barriers to efficiency</w:t>
      </w:r>
    </w:p>
    <w:p w14:paraId="375D5F11" w14:textId="77777777" w:rsidR="00E01C42" w:rsidRPr="008261F5" w:rsidRDefault="00E01C42" w:rsidP="004E4E36">
      <w:pPr>
        <w:pStyle w:val="ListParagraph"/>
        <w:numPr>
          <w:ilvl w:val="0"/>
          <w:numId w:val="60"/>
        </w:numPr>
      </w:pPr>
      <w:r w:rsidRPr="008261F5">
        <w:t>Boost employee engagement to contribute to sustainability goals</w:t>
      </w:r>
    </w:p>
    <w:p w14:paraId="1414F0F6" w14:textId="77777777" w:rsidR="00E01C42" w:rsidRPr="008261F5" w:rsidRDefault="00E01C42" w:rsidP="004E4E36">
      <w:pPr>
        <w:pStyle w:val="ListParagraph"/>
        <w:numPr>
          <w:ilvl w:val="0"/>
          <w:numId w:val="60"/>
        </w:numPr>
      </w:pPr>
      <w:r w:rsidRPr="008261F5">
        <w:t>Embed SEM principles in</w:t>
      </w:r>
      <w:r>
        <w:t>to</w:t>
      </w:r>
      <w:r w:rsidRPr="008261F5">
        <w:t xml:space="preserve"> </w:t>
      </w:r>
      <w:r>
        <w:t xml:space="preserve">a </w:t>
      </w:r>
      <w:r w:rsidRPr="008261F5">
        <w:t xml:space="preserve">company’s operations. </w:t>
      </w:r>
    </w:p>
    <w:p w14:paraId="026CC26C" w14:textId="77777777" w:rsidR="00E01C42" w:rsidRPr="008261F5" w:rsidRDefault="00E01C42" w:rsidP="00E01C42"/>
    <w:p w14:paraId="216B4D6D" w14:textId="3FE97752" w:rsidR="00E01C42" w:rsidRDefault="00E01C42" w:rsidP="00E01C42">
      <w:r w:rsidRPr="008261F5">
        <w:t xml:space="preserve">The model inputs for electric and natural gas shown in </w:t>
      </w:r>
      <w:r>
        <w:fldChar w:fldCharType="begin"/>
      </w:r>
      <w:r>
        <w:instrText xml:space="preserve"> REF _Ref479842671 \h </w:instrText>
      </w:r>
      <w:r>
        <w:fldChar w:fldCharType="separate"/>
      </w:r>
      <w:r w:rsidR="00C407F4">
        <w:t xml:space="preserve">Table </w:t>
      </w:r>
      <w:r w:rsidR="00C407F4">
        <w:rPr>
          <w:noProof/>
        </w:rPr>
        <w:t>B</w:t>
      </w:r>
      <w:r w:rsidR="00C407F4">
        <w:noBreakHyphen/>
      </w:r>
      <w:r w:rsidR="00C407F4">
        <w:rPr>
          <w:noProof/>
        </w:rPr>
        <w:t>4</w:t>
      </w:r>
      <w:r>
        <w:fldChar w:fldCharType="end"/>
      </w:r>
      <w:r w:rsidRPr="008261F5">
        <w:t xml:space="preserve"> represent savings associated with operation</w:t>
      </w:r>
      <w:r>
        <w:t>al</w:t>
      </w:r>
      <w:r w:rsidRPr="008261F5">
        <w:t xml:space="preserve"> and behavior</w:t>
      </w:r>
      <w:r>
        <w:t>al changes. Savings</w:t>
      </w:r>
      <w:r w:rsidRPr="008261F5">
        <w:t xml:space="preserve"> are estimated at 3% of customer segment consumption (</w:t>
      </w:r>
      <w:r>
        <w:t>kWh or therms per</w:t>
      </w:r>
      <w:r w:rsidRPr="008261F5">
        <w:t xml:space="preserve"> year) and are applied consistently by building and fuel type across utilities.</w:t>
      </w:r>
      <w:r>
        <w:t xml:space="preserve"> </w:t>
      </w:r>
      <w:r w:rsidRPr="008261F5">
        <w:t xml:space="preserve">Costs for electricity and natural gas </w:t>
      </w:r>
      <w:r>
        <w:t xml:space="preserve">are </w:t>
      </w:r>
      <w:r w:rsidRPr="008261F5">
        <w:t>$0.2</w:t>
      </w:r>
      <w:r w:rsidR="00C55592">
        <w:t>7</w:t>
      </w:r>
      <w:r w:rsidRPr="008261F5">
        <w:t xml:space="preserve"> </w:t>
      </w:r>
      <w:r>
        <w:t xml:space="preserve">per </w:t>
      </w:r>
      <w:r w:rsidRPr="008261F5">
        <w:t>kWh and $3.65</w:t>
      </w:r>
      <w:r>
        <w:t xml:space="preserve"> per </w:t>
      </w:r>
      <w:r w:rsidRPr="008261F5">
        <w:t>therm, and are also applied consistently by building type across utilities.</w:t>
      </w:r>
      <w:bookmarkStart w:id="942" w:name="_Ref478638705"/>
      <w:bookmarkEnd w:id="942"/>
    </w:p>
    <w:p w14:paraId="2C861E2D" w14:textId="77777777" w:rsidR="00E01C42" w:rsidRPr="00933AE3" w:rsidRDefault="00E01C42" w:rsidP="00E01C42"/>
    <w:p w14:paraId="30406B15" w14:textId="77777777" w:rsidR="00E01C42" w:rsidRDefault="00FF2151" w:rsidP="00E01C42">
      <w:pPr>
        <w:pStyle w:val="Caption"/>
      </w:pPr>
      <w:bookmarkStart w:id="943" w:name="_Ref479842671"/>
      <w:bookmarkStart w:id="944" w:name="_Toc485125605"/>
      <w:r>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4</w:t>
      </w:r>
      <w:r w:rsidR="00272F76">
        <w:rPr>
          <w:noProof/>
        </w:rPr>
        <w:fldChar w:fldCharType="end"/>
      </w:r>
      <w:bookmarkEnd w:id="943"/>
      <w:r>
        <w:t xml:space="preserve">. </w:t>
      </w:r>
      <w:r w:rsidR="00E01C42" w:rsidRPr="00104F00">
        <w:t>Commercial Strategic Energy Management - Key Assumptions</w:t>
      </w:r>
      <w:bookmarkEnd w:id="944"/>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947"/>
        <w:gridCol w:w="1433"/>
        <w:gridCol w:w="840"/>
        <w:gridCol w:w="779"/>
        <w:gridCol w:w="1846"/>
        <w:gridCol w:w="811"/>
        <w:gridCol w:w="1390"/>
        <w:gridCol w:w="1436"/>
      </w:tblGrid>
      <w:tr w:rsidR="00E01C42" w:rsidRPr="005A6B9F" w14:paraId="398E17F4" w14:textId="77777777" w:rsidTr="00C55592">
        <w:trPr>
          <w:cantSplit/>
          <w:trHeight w:val="296"/>
          <w:tblHeader/>
          <w:jc w:val="center"/>
        </w:trPr>
        <w:tc>
          <w:tcPr>
            <w:tcW w:w="947" w:type="dxa"/>
            <w:vMerge w:val="restart"/>
            <w:tcBorders>
              <w:top w:val="nil"/>
              <w:left w:val="nil"/>
              <w:bottom w:val="single" w:sz="12" w:space="0" w:color="95D600"/>
              <w:right w:val="nil"/>
              <w:tl2br w:val="nil"/>
              <w:tr2bl w:val="nil"/>
            </w:tcBorders>
            <w:shd w:val="clear" w:color="auto" w:fill="555759"/>
            <w:hideMark/>
          </w:tcPr>
          <w:p w14:paraId="3258CA17" w14:textId="77777777" w:rsidR="00E01C42" w:rsidRPr="00D11078" w:rsidRDefault="00E01C42" w:rsidP="00C55592">
            <w:pPr>
              <w:keepNext/>
              <w:spacing w:before="40" w:after="40"/>
              <w:jc w:val="center"/>
              <w:rPr>
                <w:b/>
                <w:color w:val="FFFFFF"/>
              </w:rPr>
            </w:pPr>
            <w:r w:rsidRPr="00D11078">
              <w:rPr>
                <w:b/>
                <w:color w:val="FFFFFF"/>
              </w:rPr>
              <w:t>Sector</w:t>
            </w:r>
          </w:p>
        </w:tc>
        <w:tc>
          <w:tcPr>
            <w:tcW w:w="1433" w:type="dxa"/>
            <w:vMerge w:val="restart"/>
            <w:tcBorders>
              <w:top w:val="nil"/>
              <w:left w:val="nil"/>
              <w:bottom w:val="single" w:sz="12" w:space="0" w:color="95D600"/>
              <w:right w:val="nil"/>
              <w:tl2br w:val="nil"/>
              <w:tr2bl w:val="nil"/>
            </w:tcBorders>
            <w:shd w:val="clear" w:color="auto" w:fill="555759"/>
            <w:hideMark/>
          </w:tcPr>
          <w:p w14:paraId="134D9672" w14:textId="77777777" w:rsidR="00E01C42" w:rsidRPr="00D11078" w:rsidRDefault="00E01C42" w:rsidP="008C0AC4">
            <w:pPr>
              <w:spacing w:before="40" w:after="40"/>
              <w:jc w:val="center"/>
              <w:rPr>
                <w:b/>
                <w:color w:val="FFFFFF"/>
              </w:rPr>
            </w:pPr>
            <w:r w:rsidRPr="00D11078">
              <w:rPr>
                <w:b/>
                <w:color w:val="FFFFFF"/>
              </w:rPr>
              <w:t>Type</w:t>
            </w:r>
          </w:p>
        </w:tc>
        <w:tc>
          <w:tcPr>
            <w:tcW w:w="840" w:type="dxa"/>
            <w:vMerge w:val="restart"/>
            <w:tcBorders>
              <w:top w:val="nil"/>
              <w:left w:val="nil"/>
              <w:bottom w:val="single" w:sz="12" w:space="0" w:color="95D600"/>
              <w:right w:val="nil"/>
              <w:tl2br w:val="nil"/>
              <w:tr2bl w:val="nil"/>
            </w:tcBorders>
            <w:shd w:val="clear" w:color="auto" w:fill="555759"/>
            <w:hideMark/>
          </w:tcPr>
          <w:p w14:paraId="22914ED6" w14:textId="77777777" w:rsidR="00E01C42" w:rsidRPr="00D11078" w:rsidRDefault="00E01C42" w:rsidP="008C0AC4">
            <w:pPr>
              <w:spacing w:before="40" w:after="40"/>
              <w:jc w:val="center"/>
              <w:rPr>
                <w:b/>
                <w:color w:val="FFFFFF"/>
              </w:rPr>
            </w:pPr>
            <w:r w:rsidRPr="00D11078">
              <w:rPr>
                <w:b/>
                <w:color w:val="FFFFFF"/>
              </w:rPr>
              <w:t>EUL years</w:t>
            </w:r>
          </w:p>
        </w:tc>
        <w:tc>
          <w:tcPr>
            <w:tcW w:w="2625" w:type="dxa"/>
            <w:gridSpan w:val="2"/>
            <w:tcBorders>
              <w:top w:val="nil"/>
              <w:left w:val="nil"/>
              <w:bottom w:val="single" w:sz="2" w:space="0" w:color="FFFFFF"/>
              <w:right w:val="nil"/>
              <w:tl2br w:val="nil"/>
              <w:tr2bl w:val="nil"/>
            </w:tcBorders>
            <w:shd w:val="clear" w:color="auto" w:fill="555759"/>
            <w:hideMark/>
          </w:tcPr>
          <w:p w14:paraId="3B8A1CCB" w14:textId="77777777" w:rsidR="00E01C42" w:rsidRPr="00D11078" w:rsidRDefault="00E01C42" w:rsidP="008C0AC4">
            <w:pPr>
              <w:spacing w:before="40" w:after="40"/>
              <w:jc w:val="center"/>
              <w:rPr>
                <w:b/>
                <w:color w:val="FFFFFF"/>
              </w:rPr>
            </w:pPr>
            <w:r w:rsidRPr="00D11078">
              <w:rPr>
                <w:b/>
                <w:color w:val="FFFFFF"/>
              </w:rPr>
              <w:t>Savings</w:t>
            </w:r>
          </w:p>
        </w:tc>
        <w:tc>
          <w:tcPr>
            <w:tcW w:w="2201" w:type="dxa"/>
            <w:gridSpan w:val="2"/>
            <w:tcBorders>
              <w:top w:val="nil"/>
              <w:left w:val="nil"/>
              <w:bottom w:val="single" w:sz="2" w:space="0" w:color="FFFFFF"/>
              <w:right w:val="nil"/>
              <w:tl2br w:val="nil"/>
              <w:tr2bl w:val="nil"/>
            </w:tcBorders>
            <w:shd w:val="clear" w:color="auto" w:fill="555759"/>
            <w:hideMark/>
          </w:tcPr>
          <w:p w14:paraId="3C7F624D" w14:textId="77777777" w:rsidR="00E01C42" w:rsidRPr="00D11078" w:rsidRDefault="00E01C42" w:rsidP="008C0AC4">
            <w:pPr>
              <w:spacing w:before="40" w:after="40"/>
              <w:jc w:val="center"/>
              <w:rPr>
                <w:b/>
                <w:color w:val="FFFFFF"/>
              </w:rPr>
            </w:pPr>
            <w:r w:rsidRPr="00D11078">
              <w:rPr>
                <w:b/>
                <w:color w:val="FFFFFF"/>
              </w:rPr>
              <w:t>Cost</w:t>
            </w:r>
          </w:p>
        </w:tc>
        <w:tc>
          <w:tcPr>
            <w:tcW w:w="1436" w:type="dxa"/>
            <w:vMerge w:val="restart"/>
            <w:tcBorders>
              <w:top w:val="nil"/>
              <w:left w:val="nil"/>
              <w:bottom w:val="single" w:sz="12" w:space="0" w:color="95D600"/>
              <w:right w:val="nil"/>
              <w:tl2br w:val="nil"/>
              <w:tr2bl w:val="nil"/>
            </w:tcBorders>
            <w:shd w:val="clear" w:color="auto" w:fill="555759"/>
            <w:hideMark/>
          </w:tcPr>
          <w:p w14:paraId="7DEAF38B"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5A6B9F" w14:paraId="1F95C7D9" w14:textId="77777777" w:rsidTr="00C55592">
        <w:trPr>
          <w:cantSplit/>
          <w:trHeight w:val="144"/>
          <w:tblHeader/>
          <w:jc w:val="center"/>
        </w:trPr>
        <w:tc>
          <w:tcPr>
            <w:tcW w:w="947" w:type="dxa"/>
            <w:vMerge/>
            <w:tcBorders>
              <w:bottom w:val="single" w:sz="12" w:space="0" w:color="95D600"/>
            </w:tcBorders>
            <w:shd w:val="clear" w:color="auto" w:fill="auto"/>
            <w:hideMark/>
          </w:tcPr>
          <w:p w14:paraId="1B39BA3E" w14:textId="77777777" w:rsidR="00E01C42" w:rsidRPr="005A6B9F" w:rsidRDefault="00E01C42" w:rsidP="008C0AC4">
            <w:pPr>
              <w:spacing w:before="40" w:after="40"/>
              <w:jc w:val="center"/>
            </w:pPr>
          </w:p>
        </w:tc>
        <w:tc>
          <w:tcPr>
            <w:tcW w:w="1433" w:type="dxa"/>
            <w:vMerge/>
            <w:tcBorders>
              <w:bottom w:val="single" w:sz="12" w:space="0" w:color="95D600"/>
            </w:tcBorders>
            <w:shd w:val="clear" w:color="auto" w:fill="auto"/>
            <w:hideMark/>
          </w:tcPr>
          <w:p w14:paraId="10AAA4C2" w14:textId="77777777" w:rsidR="00E01C42" w:rsidRPr="005A6B9F" w:rsidRDefault="00E01C42" w:rsidP="008C0AC4">
            <w:pPr>
              <w:spacing w:before="40" w:after="40"/>
              <w:jc w:val="center"/>
            </w:pPr>
          </w:p>
        </w:tc>
        <w:tc>
          <w:tcPr>
            <w:tcW w:w="840" w:type="dxa"/>
            <w:vMerge/>
            <w:tcBorders>
              <w:bottom w:val="single" w:sz="12" w:space="0" w:color="95D600"/>
            </w:tcBorders>
            <w:shd w:val="clear" w:color="auto" w:fill="555759"/>
            <w:hideMark/>
          </w:tcPr>
          <w:p w14:paraId="7D7F5DD8" w14:textId="77777777" w:rsidR="00E01C42" w:rsidRPr="005A6B9F" w:rsidRDefault="00E01C42" w:rsidP="008C0AC4">
            <w:pPr>
              <w:spacing w:before="40" w:after="40"/>
              <w:jc w:val="center"/>
            </w:pPr>
          </w:p>
        </w:tc>
        <w:tc>
          <w:tcPr>
            <w:tcW w:w="779" w:type="dxa"/>
            <w:tcBorders>
              <w:top w:val="single" w:sz="2" w:space="0" w:color="FFFFFF"/>
              <w:bottom w:val="single" w:sz="12" w:space="0" w:color="95D600"/>
            </w:tcBorders>
            <w:shd w:val="clear" w:color="auto" w:fill="555759"/>
            <w:hideMark/>
          </w:tcPr>
          <w:p w14:paraId="1A403097" w14:textId="77777777" w:rsidR="00E01C42" w:rsidRPr="00D11078" w:rsidRDefault="00E01C42" w:rsidP="00C55592">
            <w:pPr>
              <w:keepNext/>
              <w:spacing w:before="40" w:after="40"/>
              <w:jc w:val="center"/>
              <w:rPr>
                <w:b/>
                <w:color w:val="FFFFFF"/>
              </w:rPr>
            </w:pPr>
            <w:r w:rsidRPr="00D11078">
              <w:rPr>
                <w:b/>
                <w:color w:val="FFFFFF"/>
              </w:rPr>
              <w:t>kWh</w:t>
            </w:r>
          </w:p>
        </w:tc>
        <w:tc>
          <w:tcPr>
            <w:tcW w:w="1846" w:type="dxa"/>
            <w:tcBorders>
              <w:top w:val="single" w:sz="2" w:space="0" w:color="FFFFFF"/>
              <w:bottom w:val="single" w:sz="12" w:space="0" w:color="95D600"/>
            </w:tcBorders>
            <w:shd w:val="clear" w:color="auto" w:fill="555759"/>
            <w:hideMark/>
          </w:tcPr>
          <w:p w14:paraId="2B94D3EB" w14:textId="77777777" w:rsidR="00E01C42" w:rsidRPr="00D11078" w:rsidRDefault="00E01C42" w:rsidP="008C0AC4">
            <w:pPr>
              <w:spacing w:before="40" w:after="40"/>
              <w:jc w:val="center"/>
              <w:rPr>
                <w:b/>
                <w:color w:val="FFFFFF"/>
              </w:rPr>
            </w:pPr>
            <w:r w:rsidRPr="00D11078">
              <w:rPr>
                <w:b/>
                <w:color w:val="FFFFFF"/>
              </w:rPr>
              <w:t>Therm</w:t>
            </w:r>
          </w:p>
        </w:tc>
        <w:tc>
          <w:tcPr>
            <w:tcW w:w="811" w:type="dxa"/>
            <w:tcBorders>
              <w:top w:val="single" w:sz="2" w:space="0" w:color="FFFFFF"/>
              <w:bottom w:val="single" w:sz="12" w:space="0" w:color="95D600"/>
            </w:tcBorders>
            <w:shd w:val="clear" w:color="auto" w:fill="555759"/>
            <w:hideMark/>
          </w:tcPr>
          <w:p w14:paraId="0792A7A8" w14:textId="77777777" w:rsidR="00E01C42" w:rsidRPr="00D11078" w:rsidRDefault="00E01C42" w:rsidP="008C0AC4">
            <w:pPr>
              <w:spacing w:before="40" w:after="40"/>
              <w:jc w:val="center"/>
              <w:rPr>
                <w:b/>
                <w:color w:val="FFFFFF"/>
              </w:rPr>
            </w:pPr>
            <w:r w:rsidRPr="00D11078">
              <w:rPr>
                <w:b/>
                <w:color w:val="FFFFFF"/>
              </w:rPr>
              <w:t>kWh</w:t>
            </w:r>
          </w:p>
        </w:tc>
        <w:tc>
          <w:tcPr>
            <w:tcW w:w="1390" w:type="dxa"/>
            <w:tcBorders>
              <w:top w:val="single" w:sz="2" w:space="0" w:color="FFFFFF"/>
              <w:bottom w:val="single" w:sz="12" w:space="0" w:color="95D600"/>
            </w:tcBorders>
            <w:shd w:val="clear" w:color="auto" w:fill="555759"/>
            <w:hideMark/>
          </w:tcPr>
          <w:p w14:paraId="20367DDF" w14:textId="77777777" w:rsidR="00E01C42" w:rsidRPr="00D11078" w:rsidRDefault="00E01C42" w:rsidP="008C0AC4">
            <w:pPr>
              <w:spacing w:before="40" w:after="40"/>
              <w:jc w:val="center"/>
              <w:rPr>
                <w:b/>
                <w:color w:val="FFFFFF"/>
              </w:rPr>
            </w:pPr>
            <w:r w:rsidRPr="00D11078">
              <w:rPr>
                <w:b/>
                <w:color w:val="FFFFFF"/>
              </w:rPr>
              <w:t>Therm</w:t>
            </w:r>
          </w:p>
        </w:tc>
        <w:tc>
          <w:tcPr>
            <w:tcW w:w="1436" w:type="dxa"/>
            <w:vMerge/>
            <w:tcBorders>
              <w:bottom w:val="single" w:sz="12" w:space="0" w:color="95D600"/>
            </w:tcBorders>
            <w:shd w:val="clear" w:color="auto" w:fill="auto"/>
            <w:hideMark/>
          </w:tcPr>
          <w:p w14:paraId="6587A36F" w14:textId="77777777" w:rsidR="00E01C42" w:rsidRPr="005A6B9F" w:rsidRDefault="00E01C42" w:rsidP="008C0AC4">
            <w:pPr>
              <w:spacing w:before="40" w:after="40"/>
              <w:jc w:val="center"/>
            </w:pPr>
          </w:p>
        </w:tc>
      </w:tr>
      <w:tr w:rsidR="00E01C42" w:rsidRPr="00775E71" w14:paraId="11DE3366" w14:textId="77777777" w:rsidTr="008C0AC4">
        <w:trPr>
          <w:cantSplit/>
          <w:trHeight w:val="738"/>
          <w:jc w:val="center"/>
        </w:trPr>
        <w:tc>
          <w:tcPr>
            <w:tcW w:w="947" w:type="dxa"/>
            <w:tcBorders>
              <w:top w:val="single" w:sz="12" w:space="0" w:color="95D600"/>
            </w:tcBorders>
            <w:shd w:val="clear" w:color="auto" w:fill="FFFFFF"/>
            <w:hideMark/>
          </w:tcPr>
          <w:p w14:paraId="5020803C" w14:textId="77777777" w:rsidR="00E01C42" w:rsidRPr="00775E71" w:rsidRDefault="00E01C42" w:rsidP="008C0AC4">
            <w:pPr>
              <w:spacing w:before="40" w:after="40"/>
              <w:jc w:val="center"/>
            </w:pPr>
            <w:r w:rsidRPr="00775E71">
              <w:lastRenderedPageBreak/>
              <w:t>COM</w:t>
            </w:r>
          </w:p>
        </w:tc>
        <w:tc>
          <w:tcPr>
            <w:tcW w:w="1433" w:type="dxa"/>
            <w:tcBorders>
              <w:top w:val="single" w:sz="12" w:space="0" w:color="95D600"/>
            </w:tcBorders>
            <w:shd w:val="clear" w:color="auto" w:fill="FFFFFF"/>
            <w:hideMark/>
          </w:tcPr>
          <w:p w14:paraId="09E464AD" w14:textId="77777777" w:rsidR="00E01C42" w:rsidRPr="00775E71" w:rsidRDefault="00E01C42" w:rsidP="008C0AC4">
            <w:pPr>
              <w:spacing w:before="40" w:after="40"/>
              <w:jc w:val="center"/>
            </w:pPr>
            <w:r w:rsidRPr="00775E71">
              <w:t>Strategic Energy Management</w:t>
            </w:r>
          </w:p>
        </w:tc>
        <w:tc>
          <w:tcPr>
            <w:tcW w:w="840" w:type="dxa"/>
            <w:tcBorders>
              <w:top w:val="single" w:sz="12" w:space="0" w:color="95D600"/>
            </w:tcBorders>
            <w:shd w:val="clear" w:color="auto" w:fill="FFFFFF"/>
            <w:hideMark/>
          </w:tcPr>
          <w:p w14:paraId="19F70363" w14:textId="77777777" w:rsidR="00E01C42" w:rsidRPr="00775E71" w:rsidRDefault="00E01C42" w:rsidP="008C0AC4">
            <w:pPr>
              <w:spacing w:before="40" w:after="40"/>
              <w:jc w:val="center"/>
            </w:pPr>
            <w:r w:rsidRPr="00775E71">
              <w:t>5</w:t>
            </w:r>
          </w:p>
        </w:tc>
        <w:tc>
          <w:tcPr>
            <w:tcW w:w="779" w:type="dxa"/>
            <w:tcBorders>
              <w:top w:val="single" w:sz="12" w:space="0" w:color="95D600"/>
            </w:tcBorders>
            <w:shd w:val="clear" w:color="auto" w:fill="FFFFFF"/>
            <w:hideMark/>
          </w:tcPr>
          <w:p w14:paraId="3449ABD5" w14:textId="77777777" w:rsidR="00E01C42" w:rsidRPr="00775E71" w:rsidRDefault="00E01C42" w:rsidP="008C0AC4">
            <w:pPr>
              <w:spacing w:before="40" w:after="40"/>
              <w:jc w:val="center"/>
            </w:pPr>
            <w:r w:rsidRPr="00775E71">
              <w:t>3.0%</w:t>
            </w:r>
          </w:p>
        </w:tc>
        <w:tc>
          <w:tcPr>
            <w:tcW w:w="1846" w:type="dxa"/>
            <w:tcBorders>
              <w:top w:val="single" w:sz="12" w:space="0" w:color="95D600"/>
            </w:tcBorders>
            <w:shd w:val="clear" w:color="auto" w:fill="FFFFFF"/>
            <w:hideMark/>
          </w:tcPr>
          <w:p w14:paraId="0951CD12" w14:textId="77777777" w:rsidR="00E01C42" w:rsidRPr="00775E71" w:rsidRDefault="00E01C42" w:rsidP="008C0AC4">
            <w:pPr>
              <w:spacing w:before="40" w:after="40"/>
              <w:jc w:val="center"/>
            </w:pPr>
            <w:r w:rsidRPr="00775E71">
              <w:t>3.0%</w:t>
            </w:r>
          </w:p>
        </w:tc>
        <w:tc>
          <w:tcPr>
            <w:tcW w:w="811" w:type="dxa"/>
            <w:tcBorders>
              <w:top w:val="single" w:sz="12" w:space="0" w:color="95D600"/>
            </w:tcBorders>
            <w:shd w:val="clear" w:color="auto" w:fill="FFFFFF"/>
            <w:hideMark/>
          </w:tcPr>
          <w:p w14:paraId="2234D1FB" w14:textId="77777777" w:rsidR="00E01C42" w:rsidRPr="00775E71" w:rsidRDefault="00E01C42" w:rsidP="008C0AC4">
            <w:pPr>
              <w:spacing w:before="40" w:after="40"/>
              <w:jc w:val="center"/>
            </w:pPr>
            <w:r w:rsidRPr="00775E71">
              <w:t>$0.2</w:t>
            </w:r>
            <w:r w:rsidR="00C55592">
              <w:t>7</w:t>
            </w:r>
            <w:r w:rsidRPr="00775E71">
              <w:t xml:space="preserve"> </w:t>
            </w:r>
          </w:p>
        </w:tc>
        <w:tc>
          <w:tcPr>
            <w:tcW w:w="1390" w:type="dxa"/>
            <w:tcBorders>
              <w:top w:val="single" w:sz="12" w:space="0" w:color="95D600"/>
            </w:tcBorders>
            <w:shd w:val="clear" w:color="auto" w:fill="FFFFFF"/>
            <w:hideMark/>
          </w:tcPr>
          <w:p w14:paraId="5F6844A0" w14:textId="77777777" w:rsidR="00E01C42" w:rsidRPr="00775E71" w:rsidRDefault="00E01C42" w:rsidP="008C0AC4">
            <w:pPr>
              <w:spacing w:before="40" w:after="40"/>
              <w:jc w:val="center"/>
              <w:rPr>
                <w:highlight w:val="red"/>
              </w:rPr>
            </w:pPr>
            <w:r w:rsidRPr="00775E71">
              <w:t>$3.65</w:t>
            </w:r>
          </w:p>
        </w:tc>
        <w:tc>
          <w:tcPr>
            <w:tcW w:w="1436" w:type="dxa"/>
            <w:tcBorders>
              <w:top w:val="single" w:sz="12" w:space="0" w:color="95D600"/>
            </w:tcBorders>
            <w:shd w:val="clear" w:color="auto" w:fill="FFFFFF"/>
            <w:hideMark/>
          </w:tcPr>
          <w:p w14:paraId="3E1DA20A" w14:textId="77777777" w:rsidR="00E01C42" w:rsidRPr="00775E71" w:rsidRDefault="00E01C42" w:rsidP="008C0AC4">
            <w:pPr>
              <w:spacing w:before="40" w:after="40"/>
              <w:jc w:val="center"/>
            </w:pPr>
            <w:r w:rsidRPr="00775E71">
              <w:t>0.0001</w:t>
            </w:r>
            <w:r w:rsidR="00C55592">
              <w:t>26</w:t>
            </w:r>
          </w:p>
        </w:tc>
      </w:tr>
    </w:tbl>
    <w:p w14:paraId="14669AC3" w14:textId="77777777" w:rsidR="00E01C42" w:rsidRDefault="00E01C42" w:rsidP="00E01C42">
      <w:pPr>
        <w:spacing w:line="240" w:lineRule="auto"/>
        <w:rPr>
          <w:b/>
        </w:rPr>
      </w:pPr>
    </w:p>
    <w:p w14:paraId="3F4BE1FD" w14:textId="77777777" w:rsidR="00E01C42" w:rsidRPr="008261F5" w:rsidRDefault="00E01C42" w:rsidP="00E01C42">
      <w:pPr>
        <w:rPr>
          <w:b/>
        </w:rPr>
      </w:pPr>
      <w:r w:rsidRPr="008261F5">
        <w:rPr>
          <w:b/>
        </w:rPr>
        <w:t>Assumptions and Methodology</w:t>
      </w:r>
    </w:p>
    <w:p w14:paraId="5D2974C2" w14:textId="77777777" w:rsidR="00E01C42" w:rsidRPr="008261F5" w:rsidRDefault="00E01C42" w:rsidP="00E01C42">
      <w:pPr>
        <w:rPr>
          <w:b/>
        </w:rPr>
      </w:pPr>
    </w:p>
    <w:p w14:paraId="1A712C1E" w14:textId="77777777" w:rsidR="00E01C42" w:rsidRPr="008261F5" w:rsidRDefault="00E01C42" w:rsidP="00E01C42">
      <w:pPr>
        <w:rPr>
          <w:b/>
          <w:i/>
          <w:szCs w:val="20"/>
        </w:rPr>
      </w:pPr>
      <w:r w:rsidRPr="008261F5">
        <w:rPr>
          <w:b/>
          <w:i/>
          <w:szCs w:val="20"/>
        </w:rPr>
        <w:t>Eligibility and Participation</w:t>
      </w:r>
    </w:p>
    <w:p w14:paraId="02B6351F" w14:textId="77777777" w:rsidR="00E01C42" w:rsidRPr="008261F5" w:rsidRDefault="00E01C42" w:rsidP="00E01C42">
      <w:r w:rsidRPr="008261F5">
        <w:t xml:space="preserve">Segments of the commercial market </w:t>
      </w:r>
      <w:r>
        <w:t>are</w:t>
      </w:r>
      <w:r w:rsidRPr="008261F5">
        <w:t xml:space="preserve"> considered suitable for SEM type program approaches</w:t>
      </w:r>
      <w:r>
        <w:t xml:space="preserve">. </w:t>
      </w:r>
      <w:r w:rsidRPr="008261F5">
        <w:t>Customers that benefit the most from SEM typically operate portfolios or campuses with multiple buildings</w:t>
      </w:r>
      <w:r>
        <w:t xml:space="preserve">, </w:t>
      </w:r>
      <w:r w:rsidRPr="008261F5">
        <w:t>building types</w:t>
      </w:r>
      <w:r>
        <w:t>, and a variety of complex energy systems, each with its own unique set of</w:t>
      </w:r>
      <w:r w:rsidRPr="008261F5">
        <w:t xml:space="preserve"> energy management requirements.</w:t>
      </w:r>
      <w:r>
        <w:t xml:space="preserve"> The market defined for the PG BROS Model </w:t>
      </w:r>
      <w:r w:rsidRPr="008261F5">
        <w:t>therefore includes the following segments:</w:t>
      </w:r>
    </w:p>
    <w:p w14:paraId="23209EE9" w14:textId="77777777" w:rsidR="00E01C42" w:rsidRPr="008261F5" w:rsidRDefault="00E01C42" w:rsidP="004E4E36">
      <w:pPr>
        <w:pStyle w:val="ListParagraph"/>
        <w:numPr>
          <w:ilvl w:val="0"/>
          <w:numId w:val="62"/>
        </w:numPr>
      </w:pPr>
      <w:r w:rsidRPr="008261F5">
        <w:t>Schools</w:t>
      </w:r>
    </w:p>
    <w:p w14:paraId="357D1069" w14:textId="77777777" w:rsidR="00E01C42" w:rsidRPr="008261F5" w:rsidRDefault="00E01C42" w:rsidP="004E4E36">
      <w:pPr>
        <w:pStyle w:val="ListParagraph"/>
        <w:numPr>
          <w:ilvl w:val="0"/>
          <w:numId w:val="62"/>
        </w:numPr>
      </w:pPr>
      <w:r w:rsidRPr="008261F5">
        <w:t>Colleges</w:t>
      </w:r>
    </w:p>
    <w:p w14:paraId="19EB6CBB" w14:textId="77777777" w:rsidR="00E01C42" w:rsidRPr="008261F5" w:rsidRDefault="00E01C42" w:rsidP="004E4E36">
      <w:pPr>
        <w:pStyle w:val="ListParagraph"/>
        <w:numPr>
          <w:ilvl w:val="0"/>
          <w:numId w:val="62"/>
        </w:numPr>
      </w:pPr>
      <w:r w:rsidRPr="008261F5">
        <w:t>Healthcare</w:t>
      </w:r>
    </w:p>
    <w:p w14:paraId="77B6FA94" w14:textId="77777777" w:rsidR="00E01C42" w:rsidRPr="008261F5" w:rsidRDefault="00E01C42" w:rsidP="004E4E36">
      <w:pPr>
        <w:pStyle w:val="ListParagraph"/>
        <w:numPr>
          <w:ilvl w:val="0"/>
          <w:numId w:val="62"/>
        </w:numPr>
      </w:pPr>
      <w:r w:rsidRPr="008261F5">
        <w:t>Large Office Buildings</w:t>
      </w:r>
    </w:p>
    <w:p w14:paraId="41B7E5E5" w14:textId="77777777" w:rsidR="00E01C42" w:rsidRDefault="00E01C42" w:rsidP="00E01C42"/>
    <w:p w14:paraId="46FB4BD9" w14:textId="77777777" w:rsidR="00E01C42" w:rsidRPr="008261F5" w:rsidRDefault="00E01C42" w:rsidP="00E01C42">
      <w:r>
        <w:t xml:space="preserve">Depending on the segment, the model assumes that </w:t>
      </w:r>
      <w:r w:rsidRPr="00F2437B">
        <w:t>between</w:t>
      </w:r>
      <w:r>
        <w:t xml:space="preserve"> </w:t>
      </w:r>
      <w:r w:rsidRPr="00F2437B">
        <w:t>1</w:t>
      </w:r>
      <w:r>
        <w:t>0</w:t>
      </w:r>
      <w:r w:rsidRPr="00F2437B">
        <w:t>% and 55% of buildings have already implement</w:t>
      </w:r>
      <w:r>
        <w:t>ed</w:t>
      </w:r>
      <w:r w:rsidRPr="00F2437B">
        <w:t xml:space="preserve"> SEM,</w:t>
      </w:r>
      <w:r w:rsidRPr="008261F5">
        <w:rPr>
          <w:rStyle w:val="FootnoteReference"/>
          <w:szCs w:val="20"/>
        </w:rPr>
        <w:footnoteReference w:id="128"/>
      </w:r>
      <w:r w:rsidRPr="00F2437B">
        <w:t xml:space="preserve"> resulting in reduced </w:t>
      </w:r>
      <w:r>
        <w:t xml:space="preserve">applicability of any commercial </w:t>
      </w:r>
      <w:r w:rsidRPr="00F2437B">
        <w:t xml:space="preserve">SEM program. </w:t>
      </w:r>
      <w:r>
        <w:t xml:space="preserve">After accounting for the estimate of customers that have already implemented SEM outside of any program intervention, the PG BROS model applies an applicability factor of between 45% and 90%. </w:t>
      </w:r>
      <w:r w:rsidRPr="00F2437B">
        <w:t>A compound annual growth rate (CAGR) was used to forecast growth in participation over time</w:t>
      </w:r>
      <w:r w:rsidR="00C55592">
        <w:t>, starting in 2020</w:t>
      </w:r>
      <w:r w:rsidRPr="00F2437B">
        <w:t>.</w:t>
      </w:r>
      <w:r w:rsidR="00114524">
        <w:rPr>
          <w:rStyle w:val="FootnoteReference"/>
        </w:rPr>
        <w:footnoteReference w:id="129"/>
      </w:r>
      <w:r w:rsidRPr="00F2437B">
        <w:t xml:space="preserve"> A 2% CAGR was used in the reference</w:t>
      </w:r>
      <w:r w:rsidRPr="008261F5">
        <w:t xml:space="preserve"> case, while the aggressive case used a 4% CAGR. </w:t>
      </w:r>
    </w:p>
    <w:p w14:paraId="31998C84" w14:textId="77777777" w:rsidR="00E01C42" w:rsidRPr="008261F5" w:rsidRDefault="00E01C42" w:rsidP="00E01C42">
      <w:pPr>
        <w:rPr>
          <w:szCs w:val="20"/>
        </w:rPr>
      </w:pPr>
    </w:p>
    <w:p w14:paraId="6AB05EC5" w14:textId="77777777" w:rsidR="00E01C42" w:rsidRPr="008261F5" w:rsidRDefault="00E01C42" w:rsidP="00122CD3">
      <w:pPr>
        <w:keepNext/>
        <w:rPr>
          <w:szCs w:val="20"/>
        </w:rPr>
      </w:pPr>
      <w:r w:rsidRPr="008261F5">
        <w:rPr>
          <w:b/>
          <w:i/>
          <w:szCs w:val="20"/>
        </w:rPr>
        <w:t>Savings</w:t>
      </w:r>
    </w:p>
    <w:p w14:paraId="0B309BF6" w14:textId="77777777" w:rsidR="00E01C42" w:rsidRPr="008261F5" w:rsidRDefault="00E01C42" w:rsidP="00122CD3">
      <w:pPr>
        <w:keepLines/>
        <w:rPr>
          <w:szCs w:val="20"/>
        </w:rPr>
      </w:pPr>
      <w:r w:rsidRPr="008261F5">
        <w:rPr>
          <w:szCs w:val="20"/>
        </w:rPr>
        <w:t xml:space="preserve">Estimated electric savings for all </w:t>
      </w:r>
      <w:r>
        <w:rPr>
          <w:szCs w:val="20"/>
        </w:rPr>
        <w:t>activities</w:t>
      </w:r>
      <w:r w:rsidRPr="008261F5">
        <w:rPr>
          <w:szCs w:val="20"/>
        </w:rPr>
        <w:t xml:space="preserve"> associated with SEM range from 5% to 10% of customer segment consum</w:t>
      </w:r>
      <w:r>
        <w:rPr>
          <w:szCs w:val="20"/>
        </w:rPr>
        <w:t>ption for electricity and gas (</w:t>
      </w:r>
      <w:r w:rsidRPr="008261F5">
        <w:rPr>
          <w:szCs w:val="20"/>
        </w:rPr>
        <w:t xml:space="preserve">kWh </w:t>
      </w:r>
      <w:r>
        <w:rPr>
          <w:szCs w:val="20"/>
        </w:rPr>
        <w:t>or therms per</w:t>
      </w:r>
      <w:r w:rsidRPr="008261F5">
        <w:rPr>
          <w:szCs w:val="20"/>
        </w:rPr>
        <w:t xml:space="preserve"> year).</w:t>
      </w:r>
      <w:r>
        <w:rPr>
          <w:szCs w:val="20"/>
        </w:rPr>
        <w:t xml:space="preserve"> </w:t>
      </w:r>
      <w:r w:rsidRPr="008261F5">
        <w:rPr>
          <w:szCs w:val="20"/>
        </w:rPr>
        <w:t>These savings estimates include a mix of operational savings and savings associated with capital investments (i.e.</w:t>
      </w:r>
      <w:r>
        <w:rPr>
          <w:szCs w:val="20"/>
        </w:rPr>
        <w:t>,</w:t>
      </w:r>
      <w:r w:rsidRPr="008261F5">
        <w:rPr>
          <w:szCs w:val="20"/>
        </w:rPr>
        <w:t xml:space="preserve"> equipment retrofit and replacement projects).</w:t>
      </w:r>
      <w:r>
        <w:rPr>
          <w:szCs w:val="20"/>
        </w:rPr>
        <w:t xml:space="preserve"> </w:t>
      </w:r>
      <w:r w:rsidRPr="008261F5">
        <w:rPr>
          <w:szCs w:val="20"/>
        </w:rPr>
        <w:t>Because savings from capital investments are addressed in other components of the potential model, the SEM savings associated with BROS activities are constrained to estimates of operational savings.</w:t>
      </w:r>
      <w:r>
        <w:rPr>
          <w:szCs w:val="20"/>
        </w:rPr>
        <w:t xml:space="preserve"> </w:t>
      </w:r>
      <w:r w:rsidRPr="008261F5">
        <w:rPr>
          <w:szCs w:val="20"/>
        </w:rPr>
        <w:t>Based on</w:t>
      </w:r>
      <w:r>
        <w:rPr>
          <w:szCs w:val="20"/>
        </w:rPr>
        <w:t xml:space="preserve"> a</w:t>
      </w:r>
      <w:r w:rsidRPr="008261F5">
        <w:rPr>
          <w:szCs w:val="20"/>
        </w:rPr>
        <w:t xml:space="preserve"> literature review of 16 institutional SEM plans, such as the</w:t>
      </w:r>
      <w:r>
        <w:rPr>
          <w:szCs w:val="20"/>
        </w:rPr>
        <w:t xml:space="preserve"> </w:t>
      </w:r>
      <w:r w:rsidRPr="008261F5">
        <w:rPr>
          <w:szCs w:val="20"/>
        </w:rPr>
        <w:t>LW Hospitals Alliance 2014 plan,</w:t>
      </w:r>
      <w:r w:rsidRPr="008261F5">
        <w:rPr>
          <w:rStyle w:val="FootnoteReference"/>
          <w:szCs w:val="20"/>
        </w:rPr>
        <w:footnoteReference w:id="130"/>
      </w:r>
      <w:r w:rsidRPr="008261F5">
        <w:rPr>
          <w:szCs w:val="20"/>
        </w:rPr>
        <w:t xml:space="preserve"> and market studies such as the Northwest Energy Efficiency Alliance</w:t>
      </w:r>
      <w:r w:rsidRPr="008261F5">
        <w:rPr>
          <w:rStyle w:val="FootnoteReference"/>
          <w:szCs w:val="20"/>
        </w:rPr>
        <w:t xml:space="preserve"> </w:t>
      </w:r>
      <w:r w:rsidRPr="008261F5">
        <w:rPr>
          <w:szCs w:val="20"/>
        </w:rPr>
        <w:t xml:space="preserve">(NEEA) </w:t>
      </w:r>
      <w:r w:rsidRPr="008261F5">
        <w:t>Market Progress Evaluation Report,</w:t>
      </w:r>
      <w:r w:rsidRPr="008261F5">
        <w:rPr>
          <w:rStyle w:val="FootnoteReference"/>
          <w:szCs w:val="20"/>
        </w:rPr>
        <w:footnoteReference w:id="131"/>
      </w:r>
      <w:r>
        <w:rPr>
          <w:szCs w:val="20"/>
        </w:rPr>
        <w:t xml:space="preserve"> operations and maintenance</w:t>
      </w:r>
      <w:r w:rsidRPr="008261F5">
        <w:rPr>
          <w:szCs w:val="20"/>
        </w:rPr>
        <w:t xml:space="preserve"> savings are estimated to </w:t>
      </w:r>
      <w:r>
        <w:rPr>
          <w:szCs w:val="20"/>
        </w:rPr>
        <w:t xml:space="preserve">be </w:t>
      </w:r>
      <w:r w:rsidRPr="008261F5">
        <w:rPr>
          <w:szCs w:val="20"/>
        </w:rPr>
        <w:t xml:space="preserve">3% applied consistently by building and fuel type across all utilities for the market segments considered. </w:t>
      </w:r>
    </w:p>
    <w:p w14:paraId="62DBF186" w14:textId="77777777" w:rsidR="00E01C42" w:rsidRPr="008261F5" w:rsidRDefault="00E01C42" w:rsidP="00E01C42"/>
    <w:p w14:paraId="2ACD949F" w14:textId="77777777" w:rsidR="00E01C42" w:rsidRPr="008261F5" w:rsidRDefault="00E01C42" w:rsidP="00E01C42">
      <w:pPr>
        <w:rPr>
          <w:szCs w:val="20"/>
        </w:rPr>
      </w:pPr>
      <w:r w:rsidRPr="008261F5">
        <w:t xml:space="preserve">The model uses an EUL of five </w:t>
      </w:r>
      <w:r w:rsidR="00114524">
        <w:t>years</w:t>
      </w:r>
      <w:r w:rsidRPr="008261F5">
        <w:t>.</w:t>
      </w:r>
      <w:r w:rsidR="00114524">
        <w:rPr>
          <w:rStyle w:val="FootnoteReference"/>
        </w:rPr>
        <w:footnoteReference w:id="132"/>
      </w:r>
      <w:r w:rsidRPr="008261F5">
        <w:t xml:space="preserve"> A </w:t>
      </w:r>
      <w:r w:rsidRPr="008261F5">
        <w:rPr>
          <w:szCs w:val="20"/>
        </w:rPr>
        <w:t xml:space="preserve">ratio of kW to kWh </w:t>
      </w:r>
      <w:r>
        <w:rPr>
          <w:szCs w:val="20"/>
        </w:rPr>
        <w:t xml:space="preserve">of </w:t>
      </w:r>
      <w:r w:rsidR="00C55592">
        <w:t>0.000126</w:t>
      </w:r>
      <w:r w:rsidRPr="008261F5">
        <w:t xml:space="preserve"> </w:t>
      </w:r>
      <w:r>
        <w:t>was applied to all three electric utilities</w:t>
      </w:r>
      <w:r w:rsidRPr="008261F5">
        <w:t xml:space="preserve"> based on an analysis of several third-party programs operating in California during the 2014-2015 portfolio cycle that included some components of SEM initiatives.</w:t>
      </w:r>
    </w:p>
    <w:p w14:paraId="2BCB63AA" w14:textId="77777777" w:rsidR="00E01C42" w:rsidRPr="008261F5" w:rsidRDefault="00E01C42" w:rsidP="00E01C42"/>
    <w:p w14:paraId="34BB4AAC" w14:textId="77777777" w:rsidR="00E01C42" w:rsidRPr="008261F5" w:rsidRDefault="00E01C42" w:rsidP="00E01C42">
      <w:pPr>
        <w:rPr>
          <w:szCs w:val="20"/>
        </w:rPr>
      </w:pPr>
      <w:r w:rsidRPr="008261F5">
        <w:rPr>
          <w:b/>
          <w:i/>
          <w:szCs w:val="20"/>
        </w:rPr>
        <w:t>Cost</w:t>
      </w:r>
    </w:p>
    <w:p w14:paraId="102C8121" w14:textId="77777777" w:rsidR="00E01C42" w:rsidRDefault="00E01C42" w:rsidP="00E01C42">
      <w:r w:rsidRPr="008261F5">
        <w:rPr>
          <w:szCs w:val="20"/>
        </w:rPr>
        <w:t>Costs for electricity and natural gas</w:t>
      </w:r>
      <w:r>
        <w:rPr>
          <w:szCs w:val="20"/>
        </w:rPr>
        <w:t xml:space="preserve"> savings are estimate</w:t>
      </w:r>
      <w:r w:rsidR="00C55592">
        <w:rPr>
          <w:szCs w:val="20"/>
        </w:rPr>
        <w:t>d at $0.27</w:t>
      </w:r>
      <w:r>
        <w:rPr>
          <w:szCs w:val="20"/>
        </w:rPr>
        <w:t xml:space="preserve"> per kWh and $3.65 per </w:t>
      </w:r>
      <w:r w:rsidRPr="008261F5">
        <w:rPr>
          <w:szCs w:val="20"/>
        </w:rPr>
        <w:t xml:space="preserve">therm, applied consistently by building and fuel type across utilities </w:t>
      </w:r>
      <w:r>
        <w:t xml:space="preserve">based on an analysis </w:t>
      </w:r>
      <w:r w:rsidRPr="008261F5">
        <w:t>of several third-party programs operating in California during the 2014-2015 portfolio cycle that included some components of SEM initiatives</w:t>
      </w:r>
      <w:r>
        <w:t>, including the Commercial Energy Advisor, Monitoring-Based Persistence Commissioning, and Energy Fitness programs</w:t>
      </w:r>
    </w:p>
    <w:p w14:paraId="16627DE5" w14:textId="77777777" w:rsidR="00E01C42" w:rsidRDefault="00E01C42" w:rsidP="00E01C42">
      <w:pPr>
        <w:pStyle w:val="Heading6"/>
        <w:numPr>
          <w:ilvl w:val="5"/>
          <w:numId w:val="8"/>
        </w:numPr>
      </w:pPr>
      <w:bookmarkStart w:id="945" w:name="_Toc480271810"/>
      <w:bookmarkStart w:id="946" w:name="_Toc484183067"/>
      <w:bookmarkStart w:id="947" w:name="_Toc485126588"/>
      <w:r>
        <w:t>Commercial - Building Operator Certification</w:t>
      </w:r>
      <w:bookmarkEnd w:id="945"/>
      <w:bookmarkEnd w:id="946"/>
      <w:bookmarkEnd w:id="947"/>
    </w:p>
    <w:p w14:paraId="5B8488CA" w14:textId="77777777" w:rsidR="00E01C42" w:rsidRDefault="00E01C42" w:rsidP="00E01C42">
      <w:pPr>
        <w:rPr>
          <w:b/>
        </w:rPr>
      </w:pPr>
      <w:r w:rsidRPr="008261F5">
        <w:rPr>
          <w:b/>
        </w:rPr>
        <w:t xml:space="preserve">Summary </w:t>
      </w:r>
    </w:p>
    <w:p w14:paraId="06809BFB" w14:textId="77777777" w:rsidR="00114524" w:rsidRPr="008261F5" w:rsidRDefault="00114524" w:rsidP="00E01C42">
      <w:pPr>
        <w:rPr>
          <w:b/>
        </w:rPr>
      </w:pPr>
    </w:p>
    <w:p w14:paraId="0EECA38F" w14:textId="77777777" w:rsidR="00E01C42" w:rsidRPr="008261F5" w:rsidRDefault="00E01C42" w:rsidP="00E01C42">
      <w:r w:rsidRPr="008261F5">
        <w:t>Building Operator Certification (BOC) offer</w:t>
      </w:r>
      <w:r>
        <w:t>s</w:t>
      </w:r>
      <w:r w:rsidRPr="008261F5">
        <w:t xml:space="preserve"> energy efficiency training and certification courses to commercial building operators in the commercial sector.</w:t>
      </w:r>
      <w:r>
        <w:t xml:space="preserve"> </w:t>
      </w:r>
      <w:r w:rsidRPr="008261F5">
        <w:t xml:space="preserve">BOC has been modelled as a component of behavioral savings in the 2011, 2013, and 2015 </w:t>
      </w:r>
      <w:r>
        <w:t xml:space="preserve">Potential Studies </w:t>
      </w:r>
      <w:r w:rsidRPr="008261F5">
        <w:t xml:space="preserve">and research conducted for those studies indicate that </w:t>
      </w:r>
      <w:r>
        <w:t>operations and maintenance</w:t>
      </w:r>
      <w:r w:rsidRPr="008261F5">
        <w:t xml:space="preserve"> practices mostly fell into the following categories:</w:t>
      </w:r>
      <w:r w:rsidR="00963FD0">
        <w:rPr>
          <w:rStyle w:val="FootnoteReference"/>
        </w:rPr>
        <w:footnoteReference w:id="133"/>
      </w:r>
    </w:p>
    <w:p w14:paraId="274B6158" w14:textId="77777777" w:rsidR="00E01C42" w:rsidRPr="008261F5" w:rsidRDefault="00E01C42" w:rsidP="004E4E36">
      <w:pPr>
        <w:pStyle w:val="ListParagraph"/>
        <w:numPr>
          <w:ilvl w:val="0"/>
          <w:numId w:val="63"/>
        </w:numPr>
      </w:pPr>
      <w:r w:rsidRPr="008261F5">
        <w:t>Improved air compressor operations and maintenance</w:t>
      </w:r>
    </w:p>
    <w:p w14:paraId="11E22FE2" w14:textId="77777777" w:rsidR="00E01C42" w:rsidRPr="008261F5" w:rsidRDefault="00E01C42" w:rsidP="004E4E36">
      <w:pPr>
        <w:pStyle w:val="ListParagraph"/>
        <w:numPr>
          <w:ilvl w:val="0"/>
          <w:numId w:val="63"/>
        </w:numPr>
      </w:pPr>
      <w:r w:rsidRPr="008261F5">
        <w:t>Improved HVAC operations and maintenance</w:t>
      </w:r>
    </w:p>
    <w:p w14:paraId="2D53AC72" w14:textId="77777777" w:rsidR="00E01C42" w:rsidRPr="008261F5" w:rsidRDefault="00E01C42" w:rsidP="004E4E36">
      <w:pPr>
        <w:pStyle w:val="ListParagraph"/>
        <w:numPr>
          <w:ilvl w:val="0"/>
          <w:numId w:val="63"/>
        </w:numPr>
      </w:pPr>
      <w:r w:rsidRPr="008261F5">
        <w:t>Improved lighting operations and maintenance</w:t>
      </w:r>
    </w:p>
    <w:p w14:paraId="7E0B65DB" w14:textId="77777777" w:rsidR="00E01C42" w:rsidRPr="008261F5" w:rsidRDefault="00E01C42" w:rsidP="004E4E36">
      <w:pPr>
        <w:pStyle w:val="ListParagraph"/>
        <w:numPr>
          <w:ilvl w:val="0"/>
          <w:numId w:val="63"/>
        </w:numPr>
      </w:pPr>
      <w:r w:rsidRPr="008261F5">
        <w:t>Improved motors/drives operations and maintenance</w:t>
      </w:r>
    </w:p>
    <w:p w14:paraId="164F7799" w14:textId="77777777" w:rsidR="00E01C42" w:rsidRPr="008261F5" w:rsidRDefault="00E01C42" w:rsidP="004E4E36">
      <w:pPr>
        <w:pStyle w:val="ListParagraph"/>
        <w:numPr>
          <w:ilvl w:val="0"/>
          <w:numId w:val="63"/>
        </w:numPr>
      </w:pPr>
      <w:r w:rsidRPr="008261F5">
        <w:t>Water conservation resulting in energy savings</w:t>
      </w:r>
    </w:p>
    <w:p w14:paraId="01ABF7EF" w14:textId="77777777" w:rsidR="00E01C42" w:rsidRPr="008261F5" w:rsidRDefault="00E01C42" w:rsidP="004E4E36">
      <w:pPr>
        <w:pStyle w:val="ListParagraph"/>
        <w:numPr>
          <w:ilvl w:val="0"/>
          <w:numId w:val="63"/>
        </w:numPr>
      </w:pPr>
      <w:r w:rsidRPr="008261F5">
        <w:t>Adjusted controls of HVAC systems</w:t>
      </w:r>
    </w:p>
    <w:p w14:paraId="3D534D03" w14:textId="77777777" w:rsidR="00E01C42" w:rsidRPr="008261F5" w:rsidRDefault="00E01C42" w:rsidP="004E4E36">
      <w:pPr>
        <w:pStyle w:val="ListParagraph"/>
        <w:numPr>
          <w:ilvl w:val="0"/>
          <w:numId w:val="63"/>
        </w:numPr>
      </w:pPr>
      <w:r w:rsidRPr="008261F5">
        <w:t>Adjusted controls of energy management systems</w:t>
      </w:r>
    </w:p>
    <w:p w14:paraId="3FBE46FB" w14:textId="77777777" w:rsidR="00E01C42" w:rsidRPr="008261F5" w:rsidRDefault="00E01C42" w:rsidP="00E01C42"/>
    <w:p w14:paraId="01B5E254" w14:textId="77777777" w:rsidR="00E01C42" w:rsidRPr="008261F5" w:rsidRDefault="00E01C42" w:rsidP="00E01C42">
      <w:pPr>
        <w:rPr>
          <w:szCs w:val="20"/>
        </w:rPr>
      </w:pPr>
      <w:r>
        <w:rPr>
          <w:szCs w:val="20"/>
        </w:rPr>
        <w:t>The</w:t>
      </w:r>
      <w:r w:rsidRPr="008261F5">
        <w:rPr>
          <w:szCs w:val="20"/>
        </w:rPr>
        <w:t xml:space="preserve"> inputs for electric and natural gas shown in </w:t>
      </w:r>
      <w:r w:rsidRPr="008261F5">
        <w:rPr>
          <w:szCs w:val="20"/>
        </w:rPr>
        <w:fldChar w:fldCharType="begin"/>
      </w:r>
      <w:r w:rsidRPr="008261F5">
        <w:rPr>
          <w:szCs w:val="20"/>
        </w:rPr>
        <w:instrText xml:space="preserve"> REF _Ref478638745 \h </w:instrText>
      </w:r>
      <w:r>
        <w:rPr>
          <w:szCs w:val="20"/>
        </w:rPr>
        <w:instrText xml:space="preserve"> \* MERGEFORMAT </w:instrText>
      </w:r>
      <w:r w:rsidRPr="008261F5">
        <w:rPr>
          <w:szCs w:val="20"/>
        </w:rPr>
      </w:r>
      <w:r w:rsidRPr="008261F5">
        <w:rPr>
          <w:szCs w:val="20"/>
        </w:rPr>
        <w:fldChar w:fldCharType="separate"/>
      </w:r>
      <w:r w:rsidR="00C407F4">
        <w:t xml:space="preserve">Table </w:t>
      </w:r>
      <w:r w:rsidR="00C407F4">
        <w:rPr>
          <w:noProof/>
        </w:rPr>
        <w:t>B</w:t>
      </w:r>
      <w:r w:rsidR="00C407F4">
        <w:rPr>
          <w:noProof/>
        </w:rPr>
        <w:noBreakHyphen/>
        <w:t>5</w:t>
      </w:r>
      <w:r w:rsidRPr="008261F5">
        <w:rPr>
          <w:szCs w:val="20"/>
        </w:rPr>
        <w:fldChar w:fldCharType="end"/>
      </w:r>
      <w:r w:rsidRPr="008261F5">
        <w:rPr>
          <w:szCs w:val="20"/>
        </w:rPr>
        <w:t xml:space="preserve"> represent savings associated with changes in operation and behavior</w:t>
      </w:r>
      <w:r>
        <w:rPr>
          <w:szCs w:val="20"/>
        </w:rPr>
        <w:t>,</w:t>
      </w:r>
      <w:r w:rsidRPr="008261F5">
        <w:rPr>
          <w:szCs w:val="20"/>
        </w:rPr>
        <w:t xml:space="preserve"> estimated on a population basis of 1</w:t>
      </w:r>
      <w:r>
        <w:rPr>
          <w:szCs w:val="20"/>
        </w:rPr>
        <w:t>,</w:t>
      </w:r>
      <w:r w:rsidRPr="008261F5">
        <w:rPr>
          <w:szCs w:val="20"/>
        </w:rPr>
        <w:t>000 sq. ft. of floor space.</w:t>
      </w:r>
      <w:r>
        <w:rPr>
          <w:szCs w:val="20"/>
        </w:rPr>
        <w:t xml:space="preserve"> </w:t>
      </w:r>
      <w:r w:rsidRPr="008261F5">
        <w:rPr>
          <w:szCs w:val="20"/>
        </w:rPr>
        <w:t>Savings var</w:t>
      </w:r>
      <w:r>
        <w:rPr>
          <w:szCs w:val="20"/>
        </w:rPr>
        <w:t>y</w:t>
      </w:r>
      <w:r w:rsidRPr="008261F5">
        <w:rPr>
          <w:szCs w:val="20"/>
        </w:rPr>
        <w:t xml:space="preserve"> depending on the energy intensity of facilities in each market segment</w:t>
      </w:r>
      <w:r>
        <w:rPr>
          <w:szCs w:val="20"/>
        </w:rPr>
        <w:t>,</w:t>
      </w:r>
      <w:r w:rsidRPr="008261F5">
        <w:rPr>
          <w:szCs w:val="20"/>
        </w:rPr>
        <w:t xml:space="preserve"> as defined in the 2009 CEUS.</w:t>
      </w:r>
      <w:r w:rsidRPr="008261F5">
        <w:rPr>
          <w:rStyle w:val="FootnoteReference"/>
          <w:szCs w:val="20"/>
        </w:rPr>
        <w:footnoteReference w:id="134"/>
      </w:r>
      <w:r>
        <w:rPr>
          <w:szCs w:val="20"/>
        </w:rPr>
        <w:t xml:space="preserve"> </w:t>
      </w:r>
      <w:r w:rsidRPr="008261F5">
        <w:rPr>
          <w:szCs w:val="20"/>
        </w:rPr>
        <w:t xml:space="preserve">EUL is </w:t>
      </w:r>
      <w:r w:rsidR="00C55592">
        <w:rPr>
          <w:szCs w:val="20"/>
        </w:rPr>
        <w:t xml:space="preserve">set to 3 </w:t>
      </w:r>
      <w:r w:rsidRPr="008261F5">
        <w:rPr>
          <w:szCs w:val="20"/>
        </w:rPr>
        <w:t>years</w:t>
      </w:r>
      <w:r w:rsidR="00C55592">
        <w:rPr>
          <w:szCs w:val="20"/>
        </w:rPr>
        <w:t xml:space="preserve"> per CPUC Decision</w:t>
      </w:r>
      <w:r w:rsidRPr="008261F5">
        <w:rPr>
          <w:szCs w:val="20"/>
        </w:rPr>
        <w:t xml:space="preserve"> </w:t>
      </w:r>
      <w:r w:rsidR="00C0634E">
        <w:t xml:space="preserve">16-08-019, </w:t>
      </w:r>
      <w:r w:rsidRPr="008261F5">
        <w:rPr>
          <w:szCs w:val="20"/>
        </w:rPr>
        <w:t>and costs for electricity and natural gas savings</w:t>
      </w:r>
      <w:r>
        <w:rPr>
          <w:szCs w:val="20"/>
        </w:rPr>
        <w:t xml:space="preserve"> are</w:t>
      </w:r>
      <w:r w:rsidRPr="008261F5">
        <w:rPr>
          <w:szCs w:val="20"/>
        </w:rPr>
        <w:t xml:space="preserve"> $0.29 </w:t>
      </w:r>
      <w:r>
        <w:rPr>
          <w:szCs w:val="20"/>
        </w:rPr>
        <w:t xml:space="preserve">per kWh and $3.65 per </w:t>
      </w:r>
      <w:r w:rsidRPr="008261F5">
        <w:rPr>
          <w:szCs w:val="20"/>
        </w:rPr>
        <w:t>therm.</w:t>
      </w:r>
      <w:r>
        <w:rPr>
          <w:szCs w:val="20"/>
        </w:rPr>
        <w:t xml:space="preserve"> </w:t>
      </w:r>
      <w:r w:rsidRPr="008261F5">
        <w:rPr>
          <w:szCs w:val="20"/>
        </w:rPr>
        <w:t>Cost and EUL values are applied consistently by building and fuel type across all utilities.</w:t>
      </w:r>
    </w:p>
    <w:p w14:paraId="39B86D82" w14:textId="77777777" w:rsidR="00E01C42" w:rsidRDefault="00E01C42" w:rsidP="00E01C42"/>
    <w:p w14:paraId="734DE885" w14:textId="77777777" w:rsidR="00E01C42" w:rsidRDefault="00F9578C" w:rsidP="00E01C42">
      <w:pPr>
        <w:pStyle w:val="Caption"/>
      </w:pPr>
      <w:bookmarkStart w:id="948" w:name="_Ref478638745"/>
      <w:bookmarkStart w:id="949" w:name="_Toc485125606"/>
      <w:r>
        <w:lastRenderedPageBreak/>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5</w:t>
      </w:r>
      <w:r w:rsidR="00272F76">
        <w:rPr>
          <w:noProof/>
        </w:rPr>
        <w:fldChar w:fldCharType="end"/>
      </w:r>
      <w:bookmarkEnd w:id="948"/>
      <w:r>
        <w:t xml:space="preserve">. </w:t>
      </w:r>
      <w:r w:rsidR="00E01C42">
        <w:t>Commercial Building Operator Training - Key Assumptions</w:t>
      </w:r>
      <w:bookmarkEnd w:id="949"/>
    </w:p>
    <w:tbl>
      <w:tblPr>
        <w:tblW w:w="9037" w:type="dxa"/>
        <w:jc w:val="center"/>
        <w:tblBorders>
          <w:bottom w:val="single" w:sz="8" w:space="0" w:color="555759"/>
          <w:insideH w:val="single" w:sz="4" w:space="0" w:color="DCDDDE"/>
        </w:tblBorders>
        <w:tblLook w:val="04A0" w:firstRow="1" w:lastRow="0" w:firstColumn="1" w:lastColumn="0" w:noHBand="0" w:noVBand="1"/>
      </w:tblPr>
      <w:tblGrid>
        <w:gridCol w:w="947"/>
        <w:gridCol w:w="1433"/>
        <w:gridCol w:w="770"/>
        <w:gridCol w:w="920"/>
        <w:gridCol w:w="1330"/>
        <w:gridCol w:w="811"/>
        <w:gridCol w:w="1390"/>
        <w:gridCol w:w="1436"/>
      </w:tblGrid>
      <w:tr w:rsidR="00E01C42" w:rsidRPr="00F2437B" w14:paraId="53AB09F6" w14:textId="77777777" w:rsidTr="008C0AC4">
        <w:trPr>
          <w:cantSplit/>
          <w:trHeight w:val="296"/>
          <w:jc w:val="center"/>
        </w:trPr>
        <w:tc>
          <w:tcPr>
            <w:tcW w:w="947" w:type="dxa"/>
            <w:vMerge w:val="restart"/>
            <w:tcBorders>
              <w:top w:val="nil"/>
              <w:left w:val="nil"/>
              <w:bottom w:val="single" w:sz="12" w:space="0" w:color="95D600"/>
              <w:right w:val="nil"/>
              <w:tl2br w:val="nil"/>
              <w:tr2bl w:val="nil"/>
            </w:tcBorders>
            <w:shd w:val="clear" w:color="auto" w:fill="555759"/>
            <w:hideMark/>
          </w:tcPr>
          <w:p w14:paraId="0EDE346D" w14:textId="77777777" w:rsidR="00E01C42" w:rsidRPr="00D11078" w:rsidRDefault="00E01C42" w:rsidP="008C0AC4">
            <w:pPr>
              <w:spacing w:before="40" w:after="40"/>
              <w:jc w:val="center"/>
              <w:rPr>
                <w:b/>
                <w:color w:val="FFFFFF"/>
              </w:rPr>
            </w:pPr>
            <w:r w:rsidRPr="00D11078">
              <w:rPr>
                <w:b/>
                <w:color w:val="FFFFFF"/>
              </w:rPr>
              <w:t>Sector</w:t>
            </w:r>
          </w:p>
        </w:tc>
        <w:tc>
          <w:tcPr>
            <w:tcW w:w="1433" w:type="dxa"/>
            <w:vMerge w:val="restart"/>
            <w:tcBorders>
              <w:top w:val="nil"/>
              <w:left w:val="nil"/>
              <w:bottom w:val="single" w:sz="12" w:space="0" w:color="95D600"/>
              <w:right w:val="nil"/>
              <w:tl2br w:val="nil"/>
              <w:tr2bl w:val="nil"/>
            </w:tcBorders>
            <w:shd w:val="clear" w:color="auto" w:fill="555759"/>
            <w:hideMark/>
          </w:tcPr>
          <w:p w14:paraId="7D8DE1AE" w14:textId="77777777" w:rsidR="00E01C42" w:rsidRPr="00D11078" w:rsidRDefault="00E01C42" w:rsidP="008C0AC4">
            <w:pPr>
              <w:spacing w:before="40" w:after="40"/>
              <w:jc w:val="center"/>
              <w:rPr>
                <w:b/>
                <w:color w:val="FFFFFF"/>
              </w:rPr>
            </w:pPr>
            <w:r w:rsidRPr="00D11078">
              <w:rPr>
                <w:b/>
                <w:color w:val="FFFFFF"/>
              </w:rPr>
              <w:t>Type</w:t>
            </w:r>
          </w:p>
        </w:tc>
        <w:tc>
          <w:tcPr>
            <w:tcW w:w="770" w:type="dxa"/>
            <w:vMerge w:val="restart"/>
            <w:tcBorders>
              <w:top w:val="nil"/>
              <w:left w:val="nil"/>
              <w:bottom w:val="single" w:sz="12" w:space="0" w:color="95D600"/>
              <w:right w:val="nil"/>
              <w:tl2br w:val="nil"/>
              <w:tr2bl w:val="nil"/>
            </w:tcBorders>
            <w:shd w:val="clear" w:color="auto" w:fill="555759"/>
            <w:hideMark/>
          </w:tcPr>
          <w:p w14:paraId="4717D73B" w14:textId="77777777" w:rsidR="00E01C42" w:rsidRPr="00D11078" w:rsidRDefault="00E01C42" w:rsidP="008C0AC4">
            <w:pPr>
              <w:spacing w:before="40" w:after="40"/>
              <w:jc w:val="center"/>
              <w:rPr>
                <w:b/>
                <w:color w:val="FFFFFF"/>
              </w:rPr>
            </w:pPr>
            <w:r w:rsidRPr="00D11078">
              <w:rPr>
                <w:b/>
                <w:color w:val="FFFFFF"/>
              </w:rPr>
              <w:t>EUL years</w:t>
            </w:r>
          </w:p>
        </w:tc>
        <w:tc>
          <w:tcPr>
            <w:tcW w:w="2250" w:type="dxa"/>
            <w:gridSpan w:val="2"/>
            <w:tcBorders>
              <w:top w:val="nil"/>
              <w:left w:val="nil"/>
              <w:bottom w:val="single" w:sz="2" w:space="0" w:color="FFFFFF"/>
              <w:right w:val="nil"/>
              <w:tl2br w:val="nil"/>
              <w:tr2bl w:val="nil"/>
            </w:tcBorders>
            <w:shd w:val="clear" w:color="auto" w:fill="555759"/>
            <w:hideMark/>
          </w:tcPr>
          <w:p w14:paraId="78A8D88F" w14:textId="77777777" w:rsidR="00E01C42" w:rsidRPr="00D11078" w:rsidRDefault="00E01C42" w:rsidP="008C0AC4">
            <w:pPr>
              <w:spacing w:before="40" w:after="40"/>
              <w:jc w:val="center"/>
              <w:rPr>
                <w:b/>
                <w:color w:val="FFFFFF"/>
              </w:rPr>
            </w:pPr>
            <w:r w:rsidRPr="00D11078">
              <w:rPr>
                <w:b/>
                <w:color w:val="FFFFFF"/>
              </w:rPr>
              <w:t xml:space="preserve">Savings </w:t>
            </w:r>
            <w:r w:rsidRPr="00D11078">
              <w:rPr>
                <w:b/>
                <w:color w:val="FFFFFF"/>
              </w:rPr>
              <w:br/>
              <w:t>(per 1,000 sq. ft.)</w:t>
            </w:r>
          </w:p>
        </w:tc>
        <w:tc>
          <w:tcPr>
            <w:tcW w:w="2201" w:type="dxa"/>
            <w:gridSpan w:val="2"/>
            <w:tcBorders>
              <w:top w:val="nil"/>
              <w:left w:val="nil"/>
              <w:bottom w:val="single" w:sz="2" w:space="0" w:color="FFFFFF"/>
              <w:right w:val="nil"/>
              <w:tl2br w:val="nil"/>
              <w:tr2bl w:val="nil"/>
            </w:tcBorders>
            <w:shd w:val="clear" w:color="auto" w:fill="555759"/>
            <w:hideMark/>
          </w:tcPr>
          <w:p w14:paraId="0088D5E5" w14:textId="77777777" w:rsidR="00E01C42" w:rsidRPr="00D11078" w:rsidRDefault="00E01C42" w:rsidP="008C0AC4">
            <w:pPr>
              <w:spacing w:before="40" w:after="40"/>
              <w:jc w:val="center"/>
              <w:rPr>
                <w:b/>
                <w:color w:val="FFFFFF"/>
              </w:rPr>
            </w:pPr>
            <w:r w:rsidRPr="00D11078">
              <w:rPr>
                <w:b/>
                <w:color w:val="FFFFFF"/>
              </w:rPr>
              <w:t>Cost</w:t>
            </w:r>
          </w:p>
        </w:tc>
        <w:tc>
          <w:tcPr>
            <w:tcW w:w="1436" w:type="dxa"/>
            <w:vMerge w:val="restart"/>
            <w:tcBorders>
              <w:top w:val="nil"/>
              <w:left w:val="nil"/>
              <w:bottom w:val="single" w:sz="12" w:space="0" w:color="95D600"/>
              <w:right w:val="nil"/>
              <w:tl2br w:val="nil"/>
              <w:tr2bl w:val="nil"/>
            </w:tcBorders>
            <w:shd w:val="clear" w:color="auto" w:fill="555759"/>
            <w:hideMark/>
          </w:tcPr>
          <w:p w14:paraId="1C82740E"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F2437B" w14:paraId="56E6B094" w14:textId="77777777" w:rsidTr="008C0AC4">
        <w:trPr>
          <w:cantSplit/>
          <w:trHeight w:val="144"/>
          <w:jc w:val="center"/>
        </w:trPr>
        <w:tc>
          <w:tcPr>
            <w:tcW w:w="947" w:type="dxa"/>
            <w:vMerge/>
            <w:tcBorders>
              <w:bottom w:val="single" w:sz="12" w:space="0" w:color="95D600"/>
            </w:tcBorders>
            <w:shd w:val="clear" w:color="auto" w:fill="auto"/>
            <w:hideMark/>
          </w:tcPr>
          <w:p w14:paraId="63AA15A4" w14:textId="77777777" w:rsidR="00E01C42" w:rsidRPr="00F2437B" w:rsidRDefault="00E01C42" w:rsidP="008C0AC4">
            <w:pPr>
              <w:spacing w:before="40" w:after="40"/>
              <w:jc w:val="center"/>
            </w:pPr>
          </w:p>
        </w:tc>
        <w:tc>
          <w:tcPr>
            <w:tcW w:w="1433" w:type="dxa"/>
            <w:vMerge/>
            <w:tcBorders>
              <w:bottom w:val="single" w:sz="12" w:space="0" w:color="95D600"/>
            </w:tcBorders>
            <w:shd w:val="clear" w:color="auto" w:fill="auto"/>
            <w:hideMark/>
          </w:tcPr>
          <w:p w14:paraId="0F0D330F" w14:textId="77777777" w:rsidR="00E01C42" w:rsidRPr="00F2437B" w:rsidRDefault="00E01C42" w:rsidP="008C0AC4">
            <w:pPr>
              <w:spacing w:before="40" w:after="40"/>
              <w:jc w:val="center"/>
            </w:pPr>
          </w:p>
        </w:tc>
        <w:tc>
          <w:tcPr>
            <w:tcW w:w="770" w:type="dxa"/>
            <w:vMerge/>
            <w:tcBorders>
              <w:bottom w:val="single" w:sz="12" w:space="0" w:color="95D600"/>
            </w:tcBorders>
            <w:shd w:val="clear" w:color="auto" w:fill="555759"/>
            <w:hideMark/>
          </w:tcPr>
          <w:p w14:paraId="086C914E" w14:textId="77777777" w:rsidR="00E01C42" w:rsidRPr="00F2437B" w:rsidRDefault="00E01C42" w:rsidP="008C0AC4">
            <w:pPr>
              <w:spacing w:before="40" w:after="40"/>
              <w:jc w:val="center"/>
            </w:pPr>
          </w:p>
        </w:tc>
        <w:tc>
          <w:tcPr>
            <w:tcW w:w="920" w:type="dxa"/>
            <w:tcBorders>
              <w:top w:val="single" w:sz="2" w:space="0" w:color="FFFFFF"/>
              <w:bottom w:val="single" w:sz="12" w:space="0" w:color="95D600"/>
            </w:tcBorders>
            <w:shd w:val="clear" w:color="auto" w:fill="555759"/>
            <w:hideMark/>
          </w:tcPr>
          <w:p w14:paraId="480F226B" w14:textId="77777777" w:rsidR="00E01C42" w:rsidRPr="00D11078" w:rsidRDefault="00E01C42" w:rsidP="008C0AC4">
            <w:pPr>
              <w:spacing w:before="40" w:after="40"/>
              <w:jc w:val="center"/>
              <w:rPr>
                <w:b/>
                <w:color w:val="FFFFFF"/>
              </w:rPr>
            </w:pPr>
            <w:r w:rsidRPr="00D11078">
              <w:rPr>
                <w:b/>
                <w:color w:val="FFFFFF"/>
              </w:rPr>
              <w:t>kWh</w:t>
            </w:r>
          </w:p>
        </w:tc>
        <w:tc>
          <w:tcPr>
            <w:tcW w:w="1330" w:type="dxa"/>
            <w:tcBorders>
              <w:top w:val="single" w:sz="2" w:space="0" w:color="FFFFFF"/>
              <w:bottom w:val="single" w:sz="12" w:space="0" w:color="95D600"/>
            </w:tcBorders>
            <w:shd w:val="clear" w:color="auto" w:fill="555759"/>
            <w:hideMark/>
          </w:tcPr>
          <w:p w14:paraId="07A84ED9" w14:textId="77777777" w:rsidR="00E01C42" w:rsidRPr="00D11078" w:rsidRDefault="00E01C42" w:rsidP="008C0AC4">
            <w:pPr>
              <w:spacing w:before="40" w:after="40"/>
              <w:jc w:val="center"/>
              <w:rPr>
                <w:b/>
                <w:color w:val="FFFFFF"/>
              </w:rPr>
            </w:pPr>
            <w:r w:rsidRPr="00D11078">
              <w:rPr>
                <w:b/>
                <w:color w:val="FFFFFF"/>
              </w:rPr>
              <w:t>Therm</w:t>
            </w:r>
          </w:p>
        </w:tc>
        <w:tc>
          <w:tcPr>
            <w:tcW w:w="811" w:type="dxa"/>
            <w:tcBorders>
              <w:top w:val="single" w:sz="2" w:space="0" w:color="FFFFFF"/>
              <w:bottom w:val="single" w:sz="12" w:space="0" w:color="95D600"/>
            </w:tcBorders>
            <w:shd w:val="clear" w:color="auto" w:fill="555759"/>
            <w:hideMark/>
          </w:tcPr>
          <w:p w14:paraId="5EE5847E" w14:textId="77777777" w:rsidR="00E01C42" w:rsidRPr="00D11078" w:rsidRDefault="00E01C42" w:rsidP="008C0AC4">
            <w:pPr>
              <w:spacing w:before="40" w:after="40"/>
              <w:jc w:val="center"/>
              <w:rPr>
                <w:b/>
                <w:color w:val="FFFFFF"/>
              </w:rPr>
            </w:pPr>
            <w:r w:rsidRPr="00D11078">
              <w:rPr>
                <w:b/>
                <w:color w:val="FFFFFF"/>
              </w:rPr>
              <w:t>kWh</w:t>
            </w:r>
          </w:p>
        </w:tc>
        <w:tc>
          <w:tcPr>
            <w:tcW w:w="1390" w:type="dxa"/>
            <w:tcBorders>
              <w:top w:val="single" w:sz="2" w:space="0" w:color="FFFFFF"/>
              <w:bottom w:val="single" w:sz="12" w:space="0" w:color="95D600"/>
            </w:tcBorders>
            <w:shd w:val="clear" w:color="auto" w:fill="555759"/>
            <w:hideMark/>
          </w:tcPr>
          <w:p w14:paraId="2618AF51" w14:textId="77777777" w:rsidR="00E01C42" w:rsidRPr="00D11078" w:rsidRDefault="00E01C42" w:rsidP="008C0AC4">
            <w:pPr>
              <w:spacing w:before="40" w:after="40"/>
              <w:jc w:val="center"/>
              <w:rPr>
                <w:b/>
                <w:color w:val="FFFFFF"/>
              </w:rPr>
            </w:pPr>
            <w:r w:rsidRPr="00D11078">
              <w:rPr>
                <w:b/>
                <w:color w:val="FFFFFF"/>
              </w:rPr>
              <w:t>Therm</w:t>
            </w:r>
          </w:p>
        </w:tc>
        <w:tc>
          <w:tcPr>
            <w:tcW w:w="1436" w:type="dxa"/>
            <w:vMerge/>
            <w:tcBorders>
              <w:bottom w:val="single" w:sz="12" w:space="0" w:color="95D600"/>
            </w:tcBorders>
            <w:shd w:val="clear" w:color="auto" w:fill="auto"/>
            <w:hideMark/>
          </w:tcPr>
          <w:p w14:paraId="1C0A6C3A" w14:textId="77777777" w:rsidR="00E01C42" w:rsidRPr="00F2437B" w:rsidRDefault="00E01C42" w:rsidP="008C0AC4">
            <w:pPr>
              <w:spacing w:before="40" w:after="40"/>
              <w:jc w:val="center"/>
            </w:pPr>
          </w:p>
        </w:tc>
      </w:tr>
      <w:tr w:rsidR="00E01C42" w:rsidRPr="00F2437B" w14:paraId="7BE386ED" w14:textId="77777777" w:rsidTr="008C0AC4">
        <w:trPr>
          <w:cantSplit/>
          <w:trHeight w:val="738"/>
          <w:jc w:val="center"/>
        </w:trPr>
        <w:tc>
          <w:tcPr>
            <w:tcW w:w="947" w:type="dxa"/>
            <w:tcBorders>
              <w:top w:val="single" w:sz="12" w:space="0" w:color="95D600"/>
            </w:tcBorders>
            <w:shd w:val="clear" w:color="auto" w:fill="FFFFFF"/>
            <w:hideMark/>
          </w:tcPr>
          <w:p w14:paraId="6B1110DA" w14:textId="77777777" w:rsidR="00E01C42" w:rsidRPr="00F2437B" w:rsidRDefault="00E01C42" w:rsidP="008C0AC4">
            <w:pPr>
              <w:spacing w:before="40" w:after="40"/>
              <w:jc w:val="center"/>
            </w:pPr>
            <w:r w:rsidRPr="00F2437B">
              <w:t>COM</w:t>
            </w:r>
          </w:p>
        </w:tc>
        <w:tc>
          <w:tcPr>
            <w:tcW w:w="1433" w:type="dxa"/>
            <w:tcBorders>
              <w:top w:val="single" w:sz="12" w:space="0" w:color="95D600"/>
            </w:tcBorders>
            <w:shd w:val="clear" w:color="auto" w:fill="FFFFFF"/>
            <w:hideMark/>
          </w:tcPr>
          <w:p w14:paraId="08C07B67" w14:textId="77777777" w:rsidR="00E01C42" w:rsidRPr="00F2437B" w:rsidRDefault="00E01C42" w:rsidP="008C0AC4">
            <w:pPr>
              <w:spacing w:before="40" w:after="40"/>
              <w:jc w:val="center"/>
            </w:pPr>
            <w:r w:rsidRPr="00F2437B">
              <w:t>Building Operator Certification</w:t>
            </w:r>
          </w:p>
        </w:tc>
        <w:tc>
          <w:tcPr>
            <w:tcW w:w="770" w:type="dxa"/>
            <w:tcBorders>
              <w:top w:val="single" w:sz="12" w:space="0" w:color="95D600"/>
            </w:tcBorders>
            <w:shd w:val="clear" w:color="auto" w:fill="FFFFFF"/>
            <w:hideMark/>
          </w:tcPr>
          <w:p w14:paraId="5B4AC9CD" w14:textId="77777777" w:rsidR="00E01C42" w:rsidRPr="00F2437B" w:rsidRDefault="00C0634E" w:rsidP="008C0AC4">
            <w:pPr>
              <w:spacing w:before="40" w:after="40"/>
              <w:jc w:val="center"/>
            </w:pPr>
            <w:r>
              <w:t>3</w:t>
            </w:r>
          </w:p>
        </w:tc>
        <w:tc>
          <w:tcPr>
            <w:tcW w:w="920" w:type="dxa"/>
            <w:tcBorders>
              <w:top w:val="single" w:sz="12" w:space="0" w:color="95D600"/>
            </w:tcBorders>
            <w:shd w:val="clear" w:color="auto" w:fill="FFFFFF"/>
            <w:hideMark/>
          </w:tcPr>
          <w:p w14:paraId="5F2C9DD4" w14:textId="77777777" w:rsidR="00E01C42" w:rsidRPr="00F2437B" w:rsidRDefault="00E01C42" w:rsidP="008C0AC4">
            <w:pPr>
              <w:spacing w:before="40" w:after="40"/>
              <w:jc w:val="center"/>
            </w:pPr>
            <w:r w:rsidRPr="00F2437B">
              <w:t>18-151</w:t>
            </w:r>
          </w:p>
        </w:tc>
        <w:tc>
          <w:tcPr>
            <w:tcW w:w="1330" w:type="dxa"/>
            <w:tcBorders>
              <w:top w:val="single" w:sz="12" w:space="0" w:color="95D600"/>
            </w:tcBorders>
            <w:shd w:val="clear" w:color="auto" w:fill="FFFFFF"/>
            <w:hideMark/>
          </w:tcPr>
          <w:p w14:paraId="4DAFBE7C" w14:textId="77777777" w:rsidR="00E01C42" w:rsidRPr="00F2437B" w:rsidRDefault="00E01C42" w:rsidP="008C0AC4">
            <w:pPr>
              <w:spacing w:before="40" w:after="40"/>
              <w:jc w:val="center"/>
            </w:pPr>
            <w:r w:rsidRPr="00F2437B">
              <w:t>0.8-14.2</w:t>
            </w:r>
          </w:p>
        </w:tc>
        <w:tc>
          <w:tcPr>
            <w:tcW w:w="811" w:type="dxa"/>
            <w:tcBorders>
              <w:top w:val="single" w:sz="12" w:space="0" w:color="95D600"/>
            </w:tcBorders>
            <w:shd w:val="clear" w:color="auto" w:fill="FFFFFF"/>
            <w:hideMark/>
          </w:tcPr>
          <w:p w14:paraId="6A2B672C" w14:textId="77777777" w:rsidR="00E01C42" w:rsidRPr="00F2437B" w:rsidRDefault="00E01C42" w:rsidP="008C0AC4">
            <w:pPr>
              <w:spacing w:before="40" w:after="40"/>
              <w:jc w:val="center"/>
            </w:pPr>
            <w:r w:rsidRPr="00F2437B">
              <w:t xml:space="preserve">$0.29 </w:t>
            </w:r>
          </w:p>
        </w:tc>
        <w:tc>
          <w:tcPr>
            <w:tcW w:w="1390" w:type="dxa"/>
            <w:tcBorders>
              <w:top w:val="single" w:sz="12" w:space="0" w:color="95D600"/>
            </w:tcBorders>
            <w:shd w:val="clear" w:color="auto" w:fill="FFFFFF"/>
            <w:hideMark/>
          </w:tcPr>
          <w:p w14:paraId="1E21F1CE" w14:textId="77777777" w:rsidR="00E01C42" w:rsidRPr="00D11078" w:rsidRDefault="00E01C42" w:rsidP="008C0AC4">
            <w:pPr>
              <w:spacing w:before="40" w:after="40"/>
              <w:jc w:val="center"/>
              <w:rPr>
                <w:highlight w:val="red"/>
              </w:rPr>
            </w:pPr>
            <w:r w:rsidRPr="00F2437B">
              <w:t>$3.65</w:t>
            </w:r>
          </w:p>
        </w:tc>
        <w:tc>
          <w:tcPr>
            <w:tcW w:w="1436" w:type="dxa"/>
            <w:tcBorders>
              <w:top w:val="single" w:sz="12" w:space="0" w:color="95D600"/>
            </w:tcBorders>
            <w:shd w:val="clear" w:color="auto" w:fill="FFFFFF"/>
            <w:hideMark/>
          </w:tcPr>
          <w:p w14:paraId="1746381E" w14:textId="77777777" w:rsidR="00E01C42" w:rsidRPr="00F2437B" w:rsidRDefault="00E01C42" w:rsidP="008C0AC4">
            <w:pPr>
              <w:spacing w:before="40" w:after="40"/>
              <w:jc w:val="center"/>
            </w:pPr>
            <w:r w:rsidRPr="00F2437B">
              <w:t>0.000114</w:t>
            </w:r>
          </w:p>
        </w:tc>
      </w:tr>
    </w:tbl>
    <w:p w14:paraId="62BC1C7E" w14:textId="77777777" w:rsidR="00E01C42" w:rsidRDefault="00E01C42" w:rsidP="00E01C42">
      <w:pPr>
        <w:spacing w:line="240" w:lineRule="auto"/>
        <w:rPr>
          <w:b/>
        </w:rPr>
      </w:pPr>
    </w:p>
    <w:p w14:paraId="659E0B47" w14:textId="77777777" w:rsidR="00E01C42" w:rsidRPr="008261F5" w:rsidRDefault="00E01C42" w:rsidP="00E01C42">
      <w:pPr>
        <w:rPr>
          <w:b/>
        </w:rPr>
      </w:pPr>
      <w:r w:rsidRPr="008261F5">
        <w:rPr>
          <w:b/>
        </w:rPr>
        <w:t>Assumptions and Methodology</w:t>
      </w:r>
    </w:p>
    <w:p w14:paraId="7B238625" w14:textId="77777777" w:rsidR="00E01C42" w:rsidRPr="008261F5" w:rsidRDefault="00E01C42" w:rsidP="00E01C42">
      <w:pPr>
        <w:rPr>
          <w:b/>
        </w:rPr>
      </w:pPr>
    </w:p>
    <w:p w14:paraId="1CDE341A" w14:textId="77777777" w:rsidR="00E01C42" w:rsidRPr="008261F5" w:rsidRDefault="00E01C42" w:rsidP="00E01C42">
      <w:pPr>
        <w:rPr>
          <w:b/>
          <w:i/>
          <w:szCs w:val="20"/>
        </w:rPr>
      </w:pPr>
      <w:r w:rsidRPr="008261F5">
        <w:rPr>
          <w:b/>
          <w:i/>
          <w:szCs w:val="20"/>
        </w:rPr>
        <w:t>Eligibility and Participation</w:t>
      </w:r>
    </w:p>
    <w:p w14:paraId="13818A43" w14:textId="77777777" w:rsidR="00E01C42" w:rsidRPr="008261F5" w:rsidRDefault="00E01C42" w:rsidP="00E01C42">
      <w:pPr>
        <w:autoSpaceDE w:val="0"/>
        <w:autoSpaceDN w:val="0"/>
        <w:adjustRightInd w:val="0"/>
        <w:spacing w:line="240" w:lineRule="auto"/>
        <w:rPr>
          <w:szCs w:val="20"/>
        </w:rPr>
      </w:pPr>
      <w:r w:rsidRPr="008261F5">
        <w:t xml:space="preserve">Consistent with </w:t>
      </w:r>
      <w:r>
        <w:t>prior studies</w:t>
      </w:r>
      <w:r w:rsidRPr="008261F5">
        <w:t>, BOC savings apply to all commercial market segments, though the applicability factor of BOC ranges from 5% to 100%, depending on the market segment.</w:t>
      </w:r>
      <w:r>
        <w:t xml:space="preserve"> </w:t>
      </w:r>
      <w:r>
        <w:rPr>
          <w:szCs w:val="20"/>
        </w:rPr>
        <w:t xml:space="preserve">This </w:t>
      </w:r>
      <w:r w:rsidRPr="008261F5">
        <w:rPr>
          <w:szCs w:val="20"/>
        </w:rPr>
        <w:t xml:space="preserve">model assumes that </w:t>
      </w:r>
      <w:r w:rsidR="00643524">
        <w:rPr>
          <w:szCs w:val="20"/>
        </w:rPr>
        <w:t>BOC</w:t>
      </w:r>
      <w:r w:rsidRPr="008261F5">
        <w:rPr>
          <w:szCs w:val="20"/>
        </w:rPr>
        <w:t xml:space="preserve"> program interventions in the commercial market have been ongoing and a CAGR was used to forecast growth in participation through the model forecast horizon.</w:t>
      </w:r>
      <w:r>
        <w:rPr>
          <w:szCs w:val="20"/>
        </w:rPr>
        <w:t xml:space="preserve"> In t</w:t>
      </w:r>
      <w:r w:rsidRPr="008261F5">
        <w:rPr>
          <w:szCs w:val="20"/>
        </w:rPr>
        <w:t>he reference case</w:t>
      </w:r>
      <w:r>
        <w:rPr>
          <w:szCs w:val="20"/>
        </w:rPr>
        <w:t>, a</w:t>
      </w:r>
      <w:r w:rsidRPr="008261F5">
        <w:rPr>
          <w:szCs w:val="20"/>
        </w:rPr>
        <w:t xml:space="preserve"> 12.5% CAGR was used to forecast growth in BOC, while the aggressive case used a 18.0% CAGR.</w:t>
      </w:r>
      <w:r>
        <w:rPr>
          <w:szCs w:val="20"/>
        </w:rPr>
        <w:t xml:space="preserve"> </w:t>
      </w:r>
      <w:r w:rsidRPr="008261F5">
        <w:rPr>
          <w:szCs w:val="20"/>
        </w:rPr>
        <w:t xml:space="preserve">While these growth rates appear ambitious, low initial sector engagement in BOC results in forecast market </w:t>
      </w:r>
      <w:r w:rsidR="00643524">
        <w:rPr>
          <w:szCs w:val="20"/>
        </w:rPr>
        <w:t>penetrat</w:t>
      </w:r>
      <w:r w:rsidRPr="008261F5">
        <w:rPr>
          <w:szCs w:val="20"/>
        </w:rPr>
        <w:t>ions of 6.52% and 12.12% for the reference and aggressive cases, respectively. While there is the potential for overlap in savings between BOC and SEM interventions, the current saturation of these measures and relatively low penetration rate forecast</w:t>
      </w:r>
      <w:r>
        <w:rPr>
          <w:szCs w:val="20"/>
        </w:rPr>
        <w:t>ed</w:t>
      </w:r>
      <w:r w:rsidRPr="008261F5">
        <w:rPr>
          <w:szCs w:val="20"/>
        </w:rPr>
        <w:t xml:space="preserve"> indicate that the risk of double counting savings is minimal and was therefore was not considered in this model.</w:t>
      </w:r>
    </w:p>
    <w:p w14:paraId="6BA1E462" w14:textId="77777777" w:rsidR="00E01C42" w:rsidRPr="008261F5" w:rsidRDefault="00E01C42" w:rsidP="00E01C42">
      <w:pPr>
        <w:rPr>
          <w:szCs w:val="20"/>
        </w:rPr>
      </w:pPr>
    </w:p>
    <w:p w14:paraId="3CC37EB6" w14:textId="77777777" w:rsidR="00E01C42" w:rsidRPr="008261F5" w:rsidRDefault="00E01C42" w:rsidP="00E01C42">
      <w:pPr>
        <w:rPr>
          <w:szCs w:val="20"/>
        </w:rPr>
      </w:pPr>
      <w:r w:rsidRPr="008261F5">
        <w:rPr>
          <w:b/>
          <w:i/>
          <w:szCs w:val="20"/>
        </w:rPr>
        <w:t>Savings</w:t>
      </w:r>
    </w:p>
    <w:p w14:paraId="32E0D061" w14:textId="77777777" w:rsidR="00E01C42" w:rsidRPr="008261F5" w:rsidRDefault="00E01C42" w:rsidP="00E01C42">
      <w:pPr>
        <w:rPr>
          <w:szCs w:val="20"/>
        </w:rPr>
      </w:pPr>
      <w:r w:rsidRPr="008261F5">
        <w:rPr>
          <w:szCs w:val="20"/>
        </w:rPr>
        <w:t>Th</w:t>
      </w:r>
      <w:r>
        <w:rPr>
          <w:szCs w:val="20"/>
        </w:rPr>
        <w:t xml:space="preserve">is </w:t>
      </w:r>
      <w:r w:rsidRPr="008261F5">
        <w:rPr>
          <w:szCs w:val="20"/>
        </w:rPr>
        <w:t>model used the same average electric and natural gas savings as the 2015</w:t>
      </w:r>
      <w:r>
        <w:rPr>
          <w:szCs w:val="20"/>
        </w:rPr>
        <w:t xml:space="preserve"> Study model,</w:t>
      </w:r>
      <w:r w:rsidR="00963FD0">
        <w:rPr>
          <w:rStyle w:val="FootnoteReference"/>
          <w:szCs w:val="20"/>
        </w:rPr>
        <w:footnoteReference w:id="135"/>
      </w:r>
      <w:r w:rsidRPr="008261F5">
        <w:rPr>
          <w:szCs w:val="20"/>
        </w:rPr>
        <w:t xml:space="preserve"> 58 kWh and 5.6 therm</w:t>
      </w:r>
      <w:r>
        <w:rPr>
          <w:szCs w:val="20"/>
        </w:rPr>
        <w:t>s</w:t>
      </w:r>
      <w:r w:rsidRPr="008261F5">
        <w:rPr>
          <w:szCs w:val="20"/>
        </w:rPr>
        <w:t xml:space="preserve"> per </w:t>
      </w:r>
      <w:r>
        <w:rPr>
          <w:szCs w:val="20"/>
        </w:rPr>
        <w:t>1,000 sq. ft.</w:t>
      </w:r>
      <w:r w:rsidRPr="008261F5">
        <w:rPr>
          <w:szCs w:val="20"/>
        </w:rPr>
        <w:t xml:space="preserve"> of participating building space.</w:t>
      </w:r>
      <w:r>
        <w:rPr>
          <w:szCs w:val="20"/>
        </w:rPr>
        <w:t xml:space="preserve"> </w:t>
      </w:r>
      <w:r w:rsidRPr="008261F5">
        <w:rPr>
          <w:szCs w:val="20"/>
        </w:rPr>
        <w:t xml:space="preserve">Past </w:t>
      </w:r>
      <w:r>
        <w:rPr>
          <w:szCs w:val="20"/>
        </w:rPr>
        <w:t xml:space="preserve">studies </w:t>
      </w:r>
      <w:r w:rsidRPr="008261F5">
        <w:rPr>
          <w:szCs w:val="20"/>
        </w:rPr>
        <w:t>applied these values consistently by building type across all utilities.</w:t>
      </w:r>
      <w:r>
        <w:rPr>
          <w:szCs w:val="20"/>
        </w:rPr>
        <w:t xml:space="preserve"> </w:t>
      </w:r>
      <w:r w:rsidRPr="008261F5">
        <w:rPr>
          <w:szCs w:val="20"/>
        </w:rPr>
        <w:t xml:space="preserve">The </w:t>
      </w:r>
      <w:r w:rsidR="00BB59F5">
        <w:rPr>
          <w:szCs w:val="20"/>
        </w:rPr>
        <w:t>2018</w:t>
      </w:r>
      <w:r>
        <w:rPr>
          <w:szCs w:val="20"/>
        </w:rPr>
        <w:t xml:space="preserve"> Study</w:t>
      </w:r>
      <w:r w:rsidRPr="008261F5">
        <w:rPr>
          <w:szCs w:val="20"/>
        </w:rPr>
        <w:t xml:space="preserve"> approach was revis</w:t>
      </w:r>
      <w:r>
        <w:rPr>
          <w:szCs w:val="20"/>
        </w:rPr>
        <w:t>ed and applied a market segment-</w:t>
      </w:r>
      <w:r w:rsidRPr="008261F5">
        <w:rPr>
          <w:szCs w:val="20"/>
        </w:rPr>
        <w:t>specific value that adjusted these market average savings to account for differences in building energy density.</w:t>
      </w:r>
      <w:r>
        <w:rPr>
          <w:szCs w:val="20"/>
        </w:rPr>
        <w:t xml:space="preserve"> </w:t>
      </w:r>
      <w:r w:rsidRPr="008261F5">
        <w:rPr>
          <w:szCs w:val="20"/>
        </w:rPr>
        <w:t>For example, a grocery store with ten times the energy density of a warehouse w</w:t>
      </w:r>
      <w:r>
        <w:rPr>
          <w:szCs w:val="20"/>
        </w:rPr>
        <w:t>ould experience a proportionall</w:t>
      </w:r>
      <w:r w:rsidRPr="008261F5">
        <w:rPr>
          <w:szCs w:val="20"/>
        </w:rPr>
        <w:t>y greater savings rate per unit of conditioned space. I</w:t>
      </w:r>
      <w:r>
        <w:rPr>
          <w:szCs w:val="20"/>
        </w:rPr>
        <w:t>n</w:t>
      </w:r>
      <w:r w:rsidRPr="008261F5">
        <w:rPr>
          <w:szCs w:val="20"/>
        </w:rPr>
        <w:t xml:space="preserve"> this example, a grocery store in PG&amp;E territor</w:t>
      </w:r>
      <w:r>
        <w:rPr>
          <w:szCs w:val="20"/>
        </w:rPr>
        <w:t xml:space="preserve">y is expected to save 151.3 kWh per </w:t>
      </w:r>
      <w:r w:rsidRPr="008261F5">
        <w:rPr>
          <w:szCs w:val="20"/>
        </w:rPr>
        <w:t>1</w:t>
      </w:r>
      <w:r>
        <w:rPr>
          <w:szCs w:val="20"/>
        </w:rPr>
        <w:t>,</w:t>
      </w:r>
      <w:r w:rsidRPr="008261F5">
        <w:rPr>
          <w:szCs w:val="20"/>
        </w:rPr>
        <w:t>000 sq. ft. and 5.2 ther</w:t>
      </w:r>
      <w:r>
        <w:rPr>
          <w:szCs w:val="20"/>
        </w:rPr>
        <w:t xml:space="preserve">ms per </w:t>
      </w:r>
      <w:r w:rsidRPr="008261F5">
        <w:rPr>
          <w:szCs w:val="20"/>
        </w:rPr>
        <w:t>1</w:t>
      </w:r>
      <w:r>
        <w:rPr>
          <w:szCs w:val="20"/>
        </w:rPr>
        <w:t>,</w:t>
      </w:r>
      <w:r w:rsidRPr="008261F5">
        <w:rPr>
          <w:szCs w:val="20"/>
        </w:rPr>
        <w:t>000 sq. ft.</w:t>
      </w:r>
      <w:r>
        <w:rPr>
          <w:szCs w:val="20"/>
        </w:rPr>
        <w:t>,</w:t>
      </w:r>
      <w:r w:rsidRPr="008261F5">
        <w:rPr>
          <w:szCs w:val="20"/>
        </w:rPr>
        <w:t xml:space="preserve"> compared to an unrefrigerated warehouse, which wou</w:t>
      </w:r>
      <w:r>
        <w:rPr>
          <w:szCs w:val="20"/>
        </w:rPr>
        <w:t xml:space="preserve">ld be expected to save 18.2 kWh per </w:t>
      </w:r>
      <w:r w:rsidRPr="008261F5">
        <w:rPr>
          <w:szCs w:val="20"/>
        </w:rPr>
        <w:t>1</w:t>
      </w:r>
      <w:r>
        <w:rPr>
          <w:szCs w:val="20"/>
        </w:rPr>
        <w:t xml:space="preserve">,000 sq. ft. and 0.8 therms per </w:t>
      </w:r>
      <w:r w:rsidRPr="008261F5">
        <w:rPr>
          <w:szCs w:val="20"/>
        </w:rPr>
        <w:t>1</w:t>
      </w:r>
      <w:r>
        <w:rPr>
          <w:szCs w:val="20"/>
        </w:rPr>
        <w:t>,</w:t>
      </w:r>
      <w:r w:rsidRPr="008261F5">
        <w:rPr>
          <w:szCs w:val="20"/>
        </w:rPr>
        <w:t>000 sq. ft. after accounting for differences in energy density.</w:t>
      </w:r>
    </w:p>
    <w:p w14:paraId="75A6DEEB" w14:textId="77777777" w:rsidR="00E01C42" w:rsidRPr="008261F5" w:rsidRDefault="00E01C42" w:rsidP="00E01C42">
      <w:pPr>
        <w:rPr>
          <w:szCs w:val="20"/>
        </w:rPr>
      </w:pPr>
    </w:p>
    <w:p w14:paraId="1DC2DABB" w14:textId="77777777" w:rsidR="00E01C42" w:rsidRPr="008261F5" w:rsidRDefault="00E01C42" w:rsidP="00E01C42">
      <w:pPr>
        <w:rPr>
          <w:szCs w:val="20"/>
        </w:rPr>
      </w:pPr>
      <w:r w:rsidRPr="008261F5">
        <w:t xml:space="preserve">The </w:t>
      </w:r>
      <w:r w:rsidR="00BB59F5">
        <w:t>2018</w:t>
      </w:r>
      <w:r>
        <w:t xml:space="preserve"> Study</w:t>
      </w:r>
      <w:r w:rsidRPr="008261F5">
        <w:t xml:space="preserve"> uses an EUL of </w:t>
      </w:r>
      <w:r w:rsidR="00643524">
        <w:t>3</w:t>
      </w:r>
      <w:r w:rsidRPr="008261F5">
        <w:t xml:space="preserve"> years</w:t>
      </w:r>
      <w:r w:rsidR="00643524">
        <w:t xml:space="preserve"> Per CPUC Decision 16-08-019.</w:t>
      </w:r>
      <w:r w:rsidRPr="008261F5">
        <w:t xml:space="preserve"> A </w:t>
      </w:r>
      <w:r w:rsidRPr="008261F5">
        <w:rPr>
          <w:szCs w:val="20"/>
        </w:rPr>
        <w:t xml:space="preserve">ratio of kW to kWh </w:t>
      </w:r>
      <w:r>
        <w:t xml:space="preserve">of </w:t>
      </w:r>
      <w:r w:rsidRPr="008261F5">
        <w:t xml:space="preserve">0.000114 </w:t>
      </w:r>
      <w:r>
        <w:t xml:space="preserve">was applied to all three electric utilities. This value is </w:t>
      </w:r>
      <w:r w:rsidRPr="008261F5">
        <w:t>based on an analysis of several third-party programs operating in California during the 2014-2015 portfolio cycle.</w:t>
      </w:r>
    </w:p>
    <w:p w14:paraId="574DE710" w14:textId="77777777" w:rsidR="00E01C42" w:rsidRPr="008261F5" w:rsidRDefault="00E01C42" w:rsidP="00E01C42"/>
    <w:p w14:paraId="62A63451" w14:textId="77777777" w:rsidR="00E01C42" w:rsidRPr="008261F5" w:rsidRDefault="00E01C42" w:rsidP="00E01C42">
      <w:pPr>
        <w:rPr>
          <w:szCs w:val="20"/>
        </w:rPr>
      </w:pPr>
      <w:r w:rsidRPr="008261F5">
        <w:rPr>
          <w:b/>
          <w:i/>
          <w:szCs w:val="20"/>
        </w:rPr>
        <w:t>Cost</w:t>
      </w:r>
    </w:p>
    <w:p w14:paraId="1D31E9A9" w14:textId="77777777" w:rsidR="006F3CF3" w:rsidRDefault="00E01C42" w:rsidP="00122CD3">
      <w:r w:rsidRPr="008261F5">
        <w:t xml:space="preserve">Costs for electricity and natural gas savings </w:t>
      </w:r>
      <w:r>
        <w:t xml:space="preserve">are estimated at $0.29 per </w:t>
      </w:r>
      <w:r w:rsidRPr="008261F5">
        <w:t>kWh and $3.65</w:t>
      </w:r>
      <w:r>
        <w:t xml:space="preserve"> per </w:t>
      </w:r>
      <w:r w:rsidRPr="008261F5">
        <w:t>therm, applied consistently by building type across utilities.</w:t>
      </w:r>
      <w:bookmarkStart w:id="950" w:name="_Toc480271811"/>
      <w:bookmarkStart w:id="951" w:name="_Toc484183068"/>
    </w:p>
    <w:p w14:paraId="1EDDB0E5" w14:textId="77777777" w:rsidR="00E01C42" w:rsidRDefault="00E01C42" w:rsidP="00122CD3">
      <w:pPr>
        <w:pStyle w:val="Heading6"/>
      </w:pPr>
      <w:bookmarkStart w:id="952" w:name="_Toc485126589"/>
      <w:r>
        <w:lastRenderedPageBreak/>
        <w:t>Commercial - Building Energy and Information Management Systems</w:t>
      </w:r>
      <w:bookmarkEnd w:id="950"/>
      <w:bookmarkEnd w:id="951"/>
      <w:bookmarkEnd w:id="952"/>
    </w:p>
    <w:p w14:paraId="39D7F305" w14:textId="77777777" w:rsidR="00E01C42" w:rsidRPr="009C1B6F" w:rsidRDefault="00E01C42" w:rsidP="006F3CF3">
      <w:pPr>
        <w:keepNext/>
        <w:keepLines/>
        <w:rPr>
          <w:b/>
        </w:rPr>
      </w:pPr>
      <w:r w:rsidRPr="009C1B6F">
        <w:rPr>
          <w:b/>
        </w:rPr>
        <w:t xml:space="preserve">Summary </w:t>
      </w:r>
    </w:p>
    <w:p w14:paraId="2C92D8A4" w14:textId="77777777" w:rsidR="00E01C42" w:rsidRDefault="00E01C42" w:rsidP="006F3CF3">
      <w:pPr>
        <w:keepLines/>
      </w:pPr>
    </w:p>
    <w:p w14:paraId="188DCC8B" w14:textId="77777777" w:rsidR="00E01C42" w:rsidRPr="008261F5" w:rsidRDefault="00E01C42" w:rsidP="00122CD3">
      <w:pPr>
        <w:keepLines/>
      </w:pPr>
      <w:r w:rsidRPr="008261F5">
        <w:t>The potential for building energy management and information systems (BEIMS) were first modelled by Navigant as part of the AB 802 Technical Analysis.</w:t>
      </w:r>
      <w:r w:rsidRPr="008261F5">
        <w:rPr>
          <w:rStyle w:val="FootnoteReference"/>
        </w:rPr>
        <w:footnoteReference w:id="136"/>
      </w:r>
      <w:r w:rsidRPr="008261F5">
        <w:t xml:space="preserve"> The Technical Analysis was issued in March of 2016 and not used at that time to set goals. That work has</w:t>
      </w:r>
      <w:r>
        <w:t xml:space="preserve"> now been incorporated into this </w:t>
      </w:r>
      <w:r w:rsidRPr="008261F5">
        <w:t>model.</w:t>
      </w:r>
    </w:p>
    <w:p w14:paraId="12ECB67B" w14:textId="77777777" w:rsidR="00E01C42" w:rsidRPr="008261F5" w:rsidRDefault="00E01C42" w:rsidP="00E01C42"/>
    <w:p w14:paraId="1E215930" w14:textId="77777777" w:rsidR="00E01C42" w:rsidRPr="008261F5" w:rsidRDefault="00E01C42" w:rsidP="00E01C42">
      <w:r w:rsidRPr="008261F5">
        <w:t>As discusse</w:t>
      </w:r>
      <w:r>
        <w:t>d in the Technical Analysis, BEI</w:t>
      </w:r>
      <w:r w:rsidRPr="008261F5">
        <w:t>MS includes IT-based monitoring and control systems that provide information on the performance of some or all the components of a building’s infrastructure, including its envelope, heating and ventilation, lighting, plug load, water use, occupancy, an</w:t>
      </w:r>
      <w:r>
        <w:t>d other critical resources. A BEI</w:t>
      </w:r>
      <w:r w:rsidRPr="008261F5">
        <w:t>MS primarily consists of software, hardware (such as dedicated controllers, sensors, and sub-meters), as well as value-added services (including outsourced software management, building maintenance contracts, and others).</w:t>
      </w:r>
      <w:r>
        <w:t xml:space="preserve"> This </w:t>
      </w:r>
      <w:r w:rsidRPr="008261F5">
        <w:t>model focuses on the potential</w:t>
      </w:r>
      <w:r w:rsidRPr="00854460">
        <w:t xml:space="preserve"> </w:t>
      </w:r>
      <w:r w:rsidRPr="008261F5">
        <w:t>for BIEMS to change energy consumption associated with the operation of buil</w:t>
      </w:r>
      <w:r>
        <w:t>ding HVAC systems as the result</w:t>
      </w:r>
      <w:r w:rsidRPr="008261F5">
        <w:t xml:space="preserve"> of several ap</w:t>
      </w:r>
      <w:r>
        <w:t>plications of BEI</w:t>
      </w:r>
      <w:r w:rsidRPr="008261F5">
        <w:t>MS technology, including</w:t>
      </w:r>
      <w:r>
        <w:t xml:space="preserve"> the following</w:t>
      </w:r>
      <w:r w:rsidRPr="008261F5">
        <w:t>:</w:t>
      </w:r>
    </w:p>
    <w:p w14:paraId="00674B60" w14:textId="77777777" w:rsidR="00E01C42" w:rsidRPr="008261F5" w:rsidRDefault="00E01C42" w:rsidP="004E4E36">
      <w:pPr>
        <w:pStyle w:val="ListParagraph"/>
        <w:numPr>
          <w:ilvl w:val="0"/>
          <w:numId w:val="64"/>
        </w:numPr>
      </w:pPr>
      <w:r w:rsidRPr="008261F5">
        <w:t>Energy visualization</w:t>
      </w:r>
    </w:p>
    <w:p w14:paraId="15C3598D" w14:textId="77777777" w:rsidR="00E01C42" w:rsidRPr="00D11078" w:rsidRDefault="00E01C42" w:rsidP="004E4E36">
      <w:pPr>
        <w:pStyle w:val="ListParagraph"/>
        <w:numPr>
          <w:ilvl w:val="0"/>
          <w:numId w:val="64"/>
        </w:numPr>
        <w:rPr>
          <w:color w:val="000000"/>
        </w:rPr>
      </w:pPr>
      <w:r w:rsidRPr="00D11078">
        <w:rPr>
          <w:color w:val="000000"/>
        </w:rPr>
        <w:t>Energy analytics</w:t>
      </w:r>
    </w:p>
    <w:p w14:paraId="024F2821" w14:textId="77777777" w:rsidR="00E01C42" w:rsidRPr="00D11078" w:rsidRDefault="00E01C42" w:rsidP="004E4E36">
      <w:pPr>
        <w:pStyle w:val="ListParagraph"/>
        <w:numPr>
          <w:ilvl w:val="0"/>
          <w:numId w:val="64"/>
        </w:numPr>
        <w:rPr>
          <w:color w:val="000000"/>
        </w:rPr>
      </w:pPr>
      <w:r w:rsidRPr="00D11078">
        <w:rPr>
          <w:color w:val="000000"/>
        </w:rPr>
        <w:t xml:space="preserve">Operational control and facility management </w:t>
      </w:r>
    </w:p>
    <w:p w14:paraId="31C33AC9" w14:textId="77777777" w:rsidR="00E01C42" w:rsidRPr="00D11078" w:rsidRDefault="00E01C42" w:rsidP="004E4E36">
      <w:pPr>
        <w:pStyle w:val="ListParagraph"/>
        <w:numPr>
          <w:ilvl w:val="0"/>
          <w:numId w:val="64"/>
        </w:numPr>
        <w:rPr>
          <w:color w:val="000000"/>
        </w:rPr>
      </w:pPr>
      <w:r w:rsidRPr="00D11078">
        <w:rPr>
          <w:color w:val="000000"/>
        </w:rPr>
        <w:t>Continuous commissioning and self-healing buildings.</w:t>
      </w:r>
    </w:p>
    <w:p w14:paraId="29B2F0EB" w14:textId="77777777" w:rsidR="00E01C42" w:rsidRPr="00D11078" w:rsidRDefault="00E01C42" w:rsidP="00E01C42">
      <w:pPr>
        <w:rPr>
          <w:color w:val="000000"/>
          <w:szCs w:val="20"/>
        </w:rPr>
      </w:pPr>
    </w:p>
    <w:p w14:paraId="50D1375B" w14:textId="7831323E" w:rsidR="00E01C42" w:rsidRPr="00D11078" w:rsidRDefault="00E01C42" w:rsidP="00E01C42">
      <w:pPr>
        <w:rPr>
          <w:color w:val="000000"/>
          <w:szCs w:val="20"/>
        </w:rPr>
      </w:pPr>
      <w:r w:rsidRPr="00D11078">
        <w:rPr>
          <w:color w:val="000000"/>
          <w:szCs w:val="20"/>
        </w:rPr>
        <w:t xml:space="preserve">The model inputs for electric and natural gas for BEIMS are shown in </w:t>
      </w:r>
      <w:r w:rsidRPr="00D11078">
        <w:rPr>
          <w:color w:val="000000"/>
          <w:szCs w:val="20"/>
        </w:rPr>
        <w:fldChar w:fldCharType="begin"/>
      </w:r>
      <w:r w:rsidRPr="00D11078">
        <w:rPr>
          <w:color w:val="000000"/>
          <w:szCs w:val="20"/>
        </w:rPr>
        <w:instrText xml:space="preserve"> REF _Ref478639383 \h  \* MERGEFORMAT </w:instrText>
      </w:r>
      <w:r w:rsidRPr="00D11078">
        <w:rPr>
          <w:color w:val="000000"/>
          <w:szCs w:val="20"/>
        </w:rPr>
      </w:r>
      <w:r w:rsidRPr="00D11078">
        <w:rPr>
          <w:color w:val="000000"/>
          <w:szCs w:val="20"/>
        </w:rPr>
        <w:fldChar w:fldCharType="separate"/>
      </w:r>
      <w:r w:rsidR="00C407F4" w:rsidRPr="00F9578C">
        <w:rPr>
          <w:color w:val="000000"/>
        </w:rPr>
        <w:t xml:space="preserve">Table </w:t>
      </w:r>
      <w:r w:rsidR="00C407F4">
        <w:rPr>
          <w:noProof/>
          <w:color w:val="000000"/>
        </w:rPr>
        <w:t>B</w:t>
      </w:r>
      <w:r w:rsidR="00C407F4" w:rsidRPr="00F9578C">
        <w:rPr>
          <w:noProof/>
          <w:color w:val="000000"/>
        </w:rPr>
        <w:noBreakHyphen/>
      </w:r>
      <w:r w:rsidR="00C407F4">
        <w:rPr>
          <w:noProof/>
          <w:color w:val="000000"/>
        </w:rPr>
        <w:t>6.</w:t>
      </w:r>
      <w:r w:rsidR="00C407F4">
        <w:rPr>
          <w:color w:val="000000"/>
        </w:rPr>
        <w:t xml:space="preserve"> </w:t>
      </w:r>
      <w:r w:rsidRPr="00D11078">
        <w:rPr>
          <w:color w:val="000000"/>
          <w:szCs w:val="20"/>
        </w:rPr>
        <w:fldChar w:fldCharType="end"/>
      </w:r>
      <w:r w:rsidRPr="00D11078">
        <w:rPr>
          <w:color w:val="000000"/>
          <w:szCs w:val="20"/>
        </w:rPr>
        <w:t xml:space="preserve"> based on customer segment consumption (kWh or therms per year). Electricity savings range from </w:t>
      </w:r>
      <w:r>
        <w:rPr>
          <w:color w:val="000000"/>
        </w:rPr>
        <w:t>1.1</w:t>
      </w:r>
      <w:r w:rsidRPr="00D11078">
        <w:rPr>
          <w:color w:val="000000"/>
        </w:rPr>
        <w:t xml:space="preserve">% to 4.2% </w:t>
      </w:r>
      <w:r w:rsidRPr="00D11078">
        <w:rPr>
          <w:color w:val="000000"/>
          <w:szCs w:val="20"/>
        </w:rPr>
        <w:t xml:space="preserve">and natural gas savings range from </w:t>
      </w:r>
      <w:r>
        <w:rPr>
          <w:color w:val="000000"/>
        </w:rPr>
        <w:t>0.2</w:t>
      </w:r>
      <w:r w:rsidRPr="00D11078">
        <w:rPr>
          <w:color w:val="000000"/>
        </w:rPr>
        <w:t xml:space="preserve">% to 7.4%. Variations are due to differences in segments’ energy densities and </w:t>
      </w:r>
      <w:r w:rsidRPr="00D11078">
        <w:rPr>
          <w:color w:val="000000"/>
          <w:szCs w:val="20"/>
        </w:rPr>
        <w:t>differences in climate</w:t>
      </w:r>
      <w:r w:rsidR="000922F6">
        <w:rPr>
          <w:color w:val="000000"/>
          <w:szCs w:val="20"/>
        </w:rPr>
        <w:t xml:space="preserve"> across utilities</w:t>
      </w:r>
      <w:r w:rsidRPr="00D11078">
        <w:rPr>
          <w:color w:val="000000"/>
          <w:szCs w:val="20"/>
        </w:rPr>
        <w:t xml:space="preserve">. Costs for electricity and natural gas savings also varied by utility between </w:t>
      </w:r>
      <w:r w:rsidRPr="00D11078">
        <w:rPr>
          <w:color w:val="000000"/>
        </w:rPr>
        <w:t>$0.20 and $0.46</w:t>
      </w:r>
      <w:r w:rsidRPr="00D11078">
        <w:rPr>
          <w:color w:val="000000"/>
          <w:szCs w:val="20"/>
        </w:rPr>
        <w:t xml:space="preserve"> per kWh and between </w:t>
      </w:r>
      <w:r w:rsidRPr="00D11078">
        <w:rPr>
          <w:color w:val="000000"/>
        </w:rPr>
        <w:t>$0.18 and $0.46</w:t>
      </w:r>
      <w:r w:rsidRPr="00D11078">
        <w:rPr>
          <w:color w:val="000000"/>
          <w:szCs w:val="20"/>
        </w:rPr>
        <w:t xml:space="preserve"> per </w:t>
      </w:r>
      <w:r>
        <w:rPr>
          <w:color w:val="000000"/>
          <w:szCs w:val="20"/>
        </w:rPr>
        <w:t>therm.</w:t>
      </w:r>
    </w:p>
    <w:p w14:paraId="0545874D" w14:textId="77777777" w:rsidR="00E01C42" w:rsidRPr="00D11078" w:rsidRDefault="00E01C42" w:rsidP="00E01C42">
      <w:pPr>
        <w:rPr>
          <w:color w:val="000000"/>
          <w:szCs w:val="20"/>
        </w:rPr>
      </w:pPr>
    </w:p>
    <w:p w14:paraId="576439B0" w14:textId="77777777" w:rsidR="00E01C42" w:rsidRPr="00D11078" w:rsidRDefault="00F9578C" w:rsidP="00E01C42">
      <w:pPr>
        <w:pStyle w:val="Caption"/>
        <w:rPr>
          <w:b w:val="0"/>
          <w:color w:val="000000"/>
          <w:szCs w:val="24"/>
        </w:rPr>
      </w:pPr>
      <w:bookmarkStart w:id="953" w:name="_Ref478639383"/>
      <w:bookmarkStart w:id="954" w:name="_Toc485125607"/>
      <w:r w:rsidRPr="00F9578C">
        <w:rPr>
          <w:color w:val="000000"/>
        </w:rPr>
        <w:t xml:space="preserve">Table </w:t>
      </w:r>
      <w:r w:rsidRPr="00F9578C">
        <w:rPr>
          <w:color w:val="000000"/>
        </w:rPr>
        <w:fldChar w:fldCharType="begin"/>
      </w:r>
      <w:r w:rsidRPr="00F9578C">
        <w:rPr>
          <w:color w:val="000000"/>
        </w:rPr>
        <w:instrText xml:space="preserve"> STYLEREF 5 \s </w:instrText>
      </w:r>
      <w:r w:rsidRPr="00F9578C">
        <w:rPr>
          <w:color w:val="000000"/>
        </w:rPr>
        <w:fldChar w:fldCharType="separate"/>
      </w:r>
      <w:r w:rsidR="00C407F4">
        <w:rPr>
          <w:noProof/>
          <w:color w:val="000000"/>
        </w:rPr>
        <w:t>B</w:t>
      </w:r>
      <w:r w:rsidRPr="00F9578C">
        <w:rPr>
          <w:color w:val="000000"/>
        </w:rPr>
        <w:fldChar w:fldCharType="end"/>
      </w:r>
      <w:r w:rsidRPr="00F9578C">
        <w:rPr>
          <w:color w:val="000000"/>
        </w:rPr>
        <w:noBreakHyphen/>
      </w:r>
      <w:r w:rsidRPr="00F9578C">
        <w:rPr>
          <w:color w:val="000000"/>
        </w:rPr>
        <w:fldChar w:fldCharType="begin"/>
      </w:r>
      <w:r w:rsidRPr="00F9578C">
        <w:rPr>
          <w:color w:val="000000"/>
        </w:rPr>
        <w:instrText xml:space="preserve"> SEQ Table_Apx \* ARABIC \s 5 </w:instrText>
      </w:r>
      <w:r w:rsidRPr="00F9578C">
        <w:rPr>
          <w:color w:val="000000"/>
        </w:rPr>
        <w:fldChar w:fldCharType="separate"/>
      </w:r>
      <w:r w:rsidR="00C407F4">
        <w:rPr>
          <w:noProof/>
          <w:color w:val="000000"/>
        </w:rPr>
        <w:t>6</w:t>
      </w:r>
      <w:r w:rsidRPr="00F9578C">
        <w:rPr>
          <w:color w:val="000000"/>
        </w:rPr>
        <w:fldChar w:fldCharType="end"/>
      </w:r>
      <w:r>
        <w:rPr>
          <w:color w:val="000000"/>
        </w:rPr>
        <w:t xml:space="preserve">. </w:t>
      </w:r>
      <w:bookmarkEnd w:id="953"/>
      <w:r w:rsidR="00E01C42" w:rsidRPr="00D11078">
        <w:rPr>
          <w:color w:val="000000"/>
        </w:rPr>
        <w:t>Building Energy and Information Management Systems - Key Assumptions</w:t>
      </w:r>
      <w:bookmarkEnd w:id="954"/>
    </w:p>
    <w:tbl>
      <w:tblPr>
        <w:tblW w:w="8366" w:type="dxa"/>
        <w:jc w:val="center"/>
        <w:tblBorders>
          <w:bottom w:val="single" w:sz="8" w:space="0" w:color="555759"/>
          <w:insideH w:val="single" w:sz="4" w:space="0" w:color="DCDDDE"/>
        </w:tblBorders>
        <w:tblLook w:val="04A0" w:firstRow="1" w:lastRow="0" w:firstColumn="1" w:lastColumn="0" w:noHBand="0" w:noVBand="1"/>
      </w:tblPr>
      <w:tblGrid>
        <w:gridCol w:w="947"/>
        <w:gridCol w:w="1433"/>
        <w:gridCol w:w="840"/>
        <w:gridCol w:w="830"/>
        <w:gridCol w:w="990"/>
        <w:gridCol w:w="900"/>
        <w:gridCol w:w="990"/>
        <w:gridCol w:w="1436"/>
      </w:tblGrid>
      <w:tr w:rsidR="00E01C42" w:rsidRPr="00DD2D77" w14:paraId="4A884415" w14:textId="77777777" w:rsidTr="008C0AC4">
        <w:trPr>
          <w:cantSplit/>
          <w:trHeight w:val="296"/>
          <w:tblHeader/>
          <w:jc w:val="center"/>
        </w:trPr>
        <w:tc>
          <w:tcPr>
            <w:tcW w:w="947" w:type="dxa"/>
            <w:vMerge w:val="restart"/>
            <w:tcBorders>
              <w:top w:val="nil"/>
              <w:left w:val="nil"/>
              <w:bottom w:val="single" w:sz="12" w:space="0" w:color="95D600"/>
              <w:right w:val="nil"/>
              <w:tl2br w:val="nil"/>
              <w:tr2bl w:val="nil"/>
            </w:tcBorders>
            <w:shd w:val="clear" w:color="auto" w:fill="555759"/>
            <w:hideMark/>
          </w:tcPr>
          <w:p w14:paraId="3B05EEED" w14:textId="77777777" w:rsidR="00E01C42" w:rsidRPr="00D11078" w:rsidRDefault="00E01C42" w:rsidP="008C0AC4">
            <w:pPr>
              <w:spacing w:before="40" w:after="40"/>
              <w:jc w:val="center"/>
              <w:rPr>
                <w:b/>
                <w:color w:val="FFFFFF"/>
              </w:rPr>
            </w:pPr>
            <w:r w:rsidRPr="00D11078">
              <w:rPr>
                <w:b/>
                <w:color w:val="FFFFFF"/>
              </w:rPr>
              <w:t>Sector</w:t>
            </w:r>
          </w:p>
        </w:tc>
        <w:tc>
          <w:tcPr>
            <w:tcW w:w="1433" w:type="dxa"/>
            <w:vMerge w:val="restart"/>
            <w:tcBorders>
              <w:top w:val="nil"/>
              <w:left w:val="nil"/>
              <w:bottom w:val="single" w:sz="12" w:space="0" w:color="95D600"/>
              <w:right w:val="nil"/>
              <w:tl2br w:val="nil"/>
              <w:tr2bl w:val="nil"/>
            </w:tcBorders>
            <w:shd w:val="clear" w:color="auto" w:fill="555759"/>
            <w:hideMark/>
          </w:tcPr>
          <w:p w14:paraId="6DABD9B4" w14:textId="77777777" w:rsidR="00E01C42" w:rsidRPr="00D11078" w:rsidRDefault="00E01C42" w:rsidP="008C0AC4">
            <w:pPr>
              <w:spacing w:before="40" w:after="40"/>
              <w:jc w:val="center"/>
              <w:rPr>
                <w:b/>
                <w:color w:val="FFFFFF"/>
              </w:rPr>
            </w:pPr>
            <w:r w:rsidRPr="00D11078">
              <w:rPr>
                <w:b/>
                <w:color w:val="FFFFFF"/>
              </w:rPr>
              <w:t>Type</w:t>
            </w:r>
          </w:p>
        </w:tc>
        <w:tc>
          <w:tcPr>
            <w:tcW w:w="840" w:type="dxa"/>
            <w:vMerge w:val="restart"/>
            <w:tcBorders>
              <w:top w:val="nil"/>
              <w:left w:val="nil"/>
              <w:bottom w:val="single" w:sz="12" w:space="0" w:color="95D600"/>
              <w:right w:val="nil"/>
              <w:tl2br w:val="nil"/>
              <w:tr2bl w:val="nil"/>
            </w:tcBorders>
            <w:shd w:val="clear" w:color="auto" w:fill="555759"/>
            <w:hideMark/>
          </w:tcPr>
          <w:p w14:paraId="74CBC5E6" w14:textId="77777777" w:rsidR="00E01C42" w:rsidRPr="00D11078" w:rsidRDefault="00E01C42" w:rsidP="008C0AC4">
            <w:pPr>
              <w:spacing w:before="40" w:after="40"/>
              <w:jc w:val="center"/>
              <w:rPr>
                <w:b/>
                <w:color w:val="FFFFFF"/>
              </w:rPr>
            </w:pPr>
            <w:r w:rsidRPr="00D11078">
              <w:rPr>
                <w:b/>
                <w:color w:val="FFFFFF"/>
              </w:rPr>
              <w:t>EUL years</w:t>
            </w:r>
          </w:p>
        </w:tc>
        <w:tc>
          <w:tcPr>
            <w:tcW w:w="1820" w:type="dxa"/>
            <w:gridSpan w:val="2"/>
            <w:tcBorders>
              <w:top w:val="nil"/>
              <w:left w:val="nil"/>
              <w:bottom w:val="single" w:sz="2" w:space="0" w:color="FFFFFF"/>
              <w:right w:val="nil"/>
              <w:tl2br w:val="nil"/>
              <w:tr2bl w:val="nil"/>
            </w:tcBorders>
            <w:shd w:val="clear" w:color="auto" w:fill="555759"/>
            <w:hideMark/>
          </w:tcPr>
          <w:p w14:paraId="4873FDF8" w14:textId="77777777" w:rsidR="00E01C42" w:rsidRPr="00D11078" w:rsidRDefault="00E01C42" w:rsidP="008C0AC4">
            <w:pPr>
              <w:spacing w:before="40" w:after="40"/>
              <w:jc w:val="center"/>
              <w:rPr>
                <w:b/>
                <w:color w:val="FFFFFF"/>
              </w:rPr>
            </w:pPr>
            <w:r w:rsidRPr="00D11078">
              <w:rPr>
                <w:b/>
                <w:color w:val="FFFFFF"/>
              </w:rPr>
              <w:t>Savings</w:t>
            </w:r>
          </w:p>
        </w:tc>
        <w:tc>
          <w:tcPr>
            <w:tcW w:w="1890" w:type="dxa"/>
            <w:gridSpan w:val="2"/>
            <w:tcBorders>
              <w:top w:val="nil"/>
              <w:left w:val="nil"/>
              <w:bottom w:val="single" w:sz="2" w:space="0" w:color="FFFFFF"/>
              <w:right w:val="nil"/>
              <w:tl2br w:val="nil"/>
              <w:tr2bl w:val="nil"/>
            </w:tcBorders>
            <w:shd w:val="clear" w:color="auto" w:fill="555759"/>
            <w:hideMark/>
          </w:tcPr>
          <w:p w14:paraId="24E2DED9" w14:textId="77777777" w:rsidR="00E01C42" w:rsidRPr="00D11078" w:rsidRDefault="00E01C42" w:rsidP="008C0AC4">
            <w:pPr>
              <w:spacing w:before="40" w:after="40"/>
              <w:jc w:val="center"/>
              <w:rPr>
                <w:b/>
                <w:color w:val="FFFFFF"/>
              </w:rPr>
            </w:pPr>
            <w:r w:rsidRPr="00D11078">
              <w:rPr>
                <w:b/>
                <w:color w:val="FFFFFF"/>
              </w:rPr>
              <w:t>Cost</w:t>
            </w:r>
          </w:p>
        </w:tc>
        <w:tc>
          <w:tcPr>
            <w:tcW w:w="1436" w:type="dxa"/>
            <w:vMerge w:val="restart"/>
            <w:tcBorders>
              <w:top w:val="nil"/>
              <w:left w:val="nil"/>
              <w:bottom w:val="single" w:sz="12" w:space="0" w:color="95D600"/>
              <w:right w:val="nil"/>
              <w:tl2br w:val="nil"/>
              <w:tr2bl w:val="nil"/>
            </w:tcBorders>
            <w:shd w:val="clear" w:color="auto" w:fill="555759"/>
            <w:hideMark/>
          </w:tcPr>
          <w:p w14:paraId="2E8BF6D0"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DD2D77" w14:paraId="4285273F" w14:textId="77777777" w:rsidTr="008C0AC4">
        <w:trPr>
          <w:cantSplit/>
          <w:trHeight w:val="144"/>
          <w:tblHeader/>
          <w:jc w:val="center"/>
        </w:trPr>
        <w:tc>
          <w:tcPr>
            <w:tcW w:w="947" w:type="dxa"/>
            <w:vMerge/>
            <w:tcBorders>
              <w:bottom w:val="single" w:sz="12" w:space="0" w:color="95D600"/>
            </w:tcBorders>
            <w:shd w:val="clear" w:color="auto" w:fill="auto"/>
            <w:hideMark/>
          </w:tcPr>
          <w:p w14:paraId="68A8AE25" w14:textId="77777777" w:rsidR="00E01C42" w:rsidRPr="00D11078" w:rsidRDefault="00E01C42" w:rsidP="008C0AC4">
            <w:pPr>
              <w:spacing w:before="40" w:after="40"/>
              <w:jc w:val="center"/>
              <w:rPr>
                <w:color w:val="000000"/>
              </w:rPr>
            </w:pPr>
          </w:p>
        </w:tc>
        <w:tc>
          <w:tcPr>
            <w:tcW w:w="1433" w:type="dxa"/>
            <w:vMerge/>
            <w:tcBorders>
              <w:bottom w:val="single" w:sz="12" w:space="0" w:color="95D600"/>
            </w:tcBorders>
            <w:shd w:val="clear" w:color="auto" w:fill="auto"/>
            <w:hideMark/>
          </w:tcPr>
          <w:p w14:paraId="2A2DBD73" w14:textId="77777777" w:rsidR="00E01C42" w:rsidRPr="00D11078" w:rsidRDefault="00E01C42" w:rsidP="008C0AC4">
            <w:pPr>
              <w:spacing w:before="40" w:after="40"/>
              <w:jc w:val="center"/>
              <w:rPr>
                <w:color w:val="000000"/>
              </w:rPr>
            </w:pPr>
          </w:p>
        </w:tc>
        <w:tc>
          <w:tcPr>
            <w:tcW w:w="840" w:type="dxa"/>
            <w:vMerge/>
            <w:tcBorders>
              <w:bottom w:val="single" w:sz="12" w:space="0" w:color="95D600"/>
            </w:tcBorders>
            <w:shd w:val="clear" w:color="auto" w:fill="555759"/>
            <w:hideMark/>
          </w:tcPr>
          <w:p w14:paraId="37C9AFDB" w14:textId="77777777" w:rsidR="00E01C42" w:rsidRPr="00D11078" w:rsidRDefault="00E01C42" w:rsidP="008C0AC4">
            <w:pPr>
              <w:spacing w:before="40" w:after="40"/>
              <w:jc w:val="center"/>
              <w:rPr>
                <w:color w:val="000000"/>
              </w:rPr>
            </w:pPr>
          </w:p>
        </w:tc>
        <w:tc>
          <w:tcPr>
            <w:tcW w:w="830" w:type="dxa"/>
            <w:tcBorders>
              <w:top w:val="single" w:sz="2" w:space="0" w:color="FFFFFF"/>
              <w:bottom w:val="single" w:sz="12" w:space="0" w:color="95D600"/>
            </w:tcBorders>
            <w:shd w:val="clear" w:color="auto" w:fill="555759"/>
            <w:hideMark/>
          </w:tcPr>
          <w:p w14:paraId="4F6C3E8C" w14:textId="77777777" w:rsidR="00E01C42" w:rsidRPr="00D11078" w:rsidRDefault="00E01C42" w:rsidP="008C0AC4">
            <w:pPr>
              <w:spacing w:before="40" w:after="40"/>
              <w:jc w:val="center"/>
              <w:rPr>
                <w:b/>
                <w:color w:val="FFFFFF"/>
              </w:rPr>
            </w:pPr>
            <w:r w:rsidRPr="00D11078">
              <w:rPr>
                <w:b/>
                <w:color w:val="FFFFFF"/>
              </w:rPr>
              <w:t>kWh</w:t>
            </w:r>
          </w:p>
        </w:tc>
        <w:tc>
          <w:tcPr>
            <w:tcW w:w="990" w:type="dxa"/>
            <w:tcBorders>
              <w:top w:val="single" w:sz="2" w:space="0" w:color="FFFFFF"/>
              <w:bottom w:val="single" w:sz="12" w:space="0" w:color="95D600"/>
            </w:tcBorders>
            <w:shd w:val="clear" w:color="auto" w:fill="555759"/>
            <w:hideMark/>
          </w:tcPr>
          <w:p w14:paraId="06A86079" w14:textId="77777777" w:rsidR="00E01C42" w:rsidRPr="00D11078" w:rsidRDefault="00E01C42" w:rsidP="008C0AC4">
            <w:pPr>
              <w:spacing w:before="40" w:after="40"/>
              <w:jc w:val="center"/>
              <w:rPr>
                <w:b/>
                <w:color w:val="FFFFFF"/>
              </w:rPr>
            </w:pPr>
            <w:r w:rsidRPr="00D11078">
              <w:rPr>
                <w:b/>
                <w:color w:val="FFFFFF"/>
              </w:rPr>
              <w:t>Therm</w:t>
            </w:r>
          </w:p>
        </w:tc>
        <w:tc>
          <w:tcPr>
            <w:tcW w:w="900" w:type="dxa"/>
            <w:tcBorders>
              <w:top w:val="single" w:sz="2" w:space="0" w:color="FFFFFF"/>
              <w:bottom w:val="single" w:sz="12" w:space="0" w:color="95D600"/>
            </w:tcBorders>
            <w:shd w:val="clear" w:color="auto" w:fill="555759"/>
            <w:hideMark/>
          </w:tcPr>
          <w:p w14:paraId="0489ACBF" w14:textId="77777777" w:rsidR="00E01C42" w:rsidRPr="00D11078" w:rsidRDefault="00E01C42" w:rsidP="008C0AC4">
            <w:pPr>
              <w:spacing w:before="40" w:after="40"/>
              <w:jc w:val="center"/>
              <w:rPr>
                <w:b/>
                <w:color w:val="FFFFFF"/>
              </w:rPr>
            </w:pPr>
            <w:r w:rsidRPr="00D11078">
              <w:rPr>
                <w:b/>
                <w:color w:val="FFFFFF"/>
              </w:rPr>
              <w:t>kWh</w:t>
            </w:r>
          </w:p>
        </w:tc>
        <w:tc>
          <w:tcPr>
            <w:tcW w:w="989" w:type="dxa"/>
            <w:tcBorders>
              <w:top w:val="single" w:sz="2" w:space="0" w:color="FFFFFF"/>
              <w:bottom w:val="single" w:sz="12" w:space="0" w:color="95D600"/>
            </w:tcBorders>
            <w:shd w:val="clear" w:color="auto" w:fill="555759"/>
            <w:hideMark/>
          </w:tcPr>
          <w:p w14:paraId="30B4C400" w14:textId="77777777" w:rsidR="00E01C42" w:rsidRPr="00D11078" w:rsidRDefault="00E01C42" w:rsidP="008C0AC4">
            <w:pPr>
              <w:spacing w:before="40" w:after="40"/>
              <w:jc w:val="center"/>
              <w:rPr>
                <w:b/>
                <w:color w:val="FFFFFF"/>
              </w:rPr>
            </w:pPr>
            <w:r w:rsidRPr="00D11078">
              <w:rPr>
                <w:b/>
                <w:color w:val="FFFFFF"/>
              </w:rPr>
              <w:t>Therm</w:t>
            </w:r>
          </w:p>
        </w:tc>
        <w:tc>
          <w:tcPr>
            <w:tcW w:w="1436" w:type="dxa"/>
            <w:vMerge/>
            <w:tcBorders>
              <w:bottom w:val="single" w:sz="12" w:space="0" w:color="95D600"/>
            </w:tcBorders>
            <w:shd w:val="clear" w:color="auto" w:fill="auto"/>
            <w:hideMark/>
          </w:tcPr>
          <w:p w14:paraId="21CFF8B6" w14:textId="77777777" w:rsidR="00E01C42" w:rsidRPr="00D11078" w:rsidRDefault="00E01C42" w:rsidP="008C0AC4">
            <w:pPr>
              <w:spacing w:before="40" w:after="40"/>
              <w:jc w:val="center"/>
              <w:rPr>
                <w:color w:val="000000"/>
              </w:rPr>
            </w:pPr>
          </w:p>
        </w:tc>
      </w:tr>
      <w:tr w:rsidR="00E01C42" w:rsidRPr="00DD2D77" w14:paraId="45014F40" w14:textId="77777777" w:rsidTr="008C0AC4">
        <w:trPr>
          <w:cantSplit/>
          <w:trHeight w:val="738"/>
          <w:jc w:val="center"/>
        </w:trPr>
        <w:tc>
          <w:tcPr>
            <w:tcW w:w="947" w:type="dxa"/>
            <w:tcBorders>
              <w:top w:val="single" w:sz="12" w:space="0" w:color="95D600"/>
            </w:tcBorders>
            <w:shd w:val="clear" w:color="auto" w:fill="FFFFFF"/>
            <w:hideMark/>
          </w:tcPr>
          <w:p w14:paraId="093F8085" w14:textId="77777777" w:rsidR="00E01C42" w:rsidRPr="00D11078" w:rsidRDefault="00E01C42" w:rsidP="008C0AC4">
            <w:pPr>
              <w:spacing w:before="40" w:after="40"/>
              <w:jc w:val="center"/>
              <w:rPr>
                <w:color w:val="000000"/>
              </w:rPr>
            </w:pPr>
            <w:r w:rsidRPr="00D11078">
              <w:rPr>
                <w:color w:val="000000"/>
              </w:rPr>
              <w:t>COM</w:t>
            </w:r>
          </w:p>
        </w:tc>
        <w:tc>
          <w:tcPr>
            <w:tcW w:w="1433" w:type="dxa"/>
            <w:tcBorders>
              <w:top w:val="single" w:sz="12" w:space="0" w:color="95D600"/>
            </w:tcBorders>
            <w:shd w:val="clear" w:color="auto" w:fill="FFFFFF"/>
            <w:hideMark/>
          </w:tcPr>
          <w:p w14:paraId="64321F9E" w14:textId="77777777" w:rsidR="00E01C42" w:rsidRPr="00D11078" w:rsidRDefault="00E01C42" w:rsidP="008C0AC4">
            <w:pPr>
              <w:spacing w:before="40" w:after="40"/>
              <w:jc w:val="center"/>
              <w:rPr>
                <w:color w:val="000000"/>
              </w:rPr>
            </w:pPr>
            <w:r w:rsidRPr="00D11078">
              <w:rPr>
                <w:color w:val="000000"/>
              </w:rPr>
              <w:t>Building Energy and Information Management Systems</w:t>
            </w:r>
          </w:p>
        </w:tc>
        <w:tc>
          <w:tcPr>
            <w:tcW w:w="840" w:type="dxa"/>
            <w:tcBorders>
              <w:top w:val="single" w:sz="12" w:space="0" w:color="95D600"/>
            </w:tcBorders>
            <w:shd w:val="clear" w:color="auto" w:fill="FFFFFF"/>
            <w:hideMark/>
          </w:tcPr>
          <w:p w14:paraId="71F3DE2A" w14:textId="77777777" w:rsidR="00E01C42" w:rsidRPr="00D11078" w:rsidRDefault="00643524" w:rsidP="008C0AC4">
            <w:pPr>
              <w:spacing w:before="40" w:after="40"/>
              <w:jc w:val="center"/>
              <w:rPr>
                <w:color w:val="000000"/>
              </w:rPr>
            </w:pPr>
            <w:r>
              <w:rPr>
                <w:color w:val="000000"/>
              </w:rPr>
              <w:t>3</w:t>
            </w:r>
          </w:p>
        </w:tc>
        <w:tc>
          <w:tcPr>
            <w:tcW w:w="830" w:type="dxa"/>
            <w:tcBorders>
              <w:top w:val="single" w:sz="12" w:space="0" w:color="95D600"/>
            </w:tcBorders>
            <w:shd w:val="clear" w:color="auto" w:fill="FFFFFF"/>
            <w:hideMark/>
          </w:tcPr>
          <w:p w14:paraId="339EF56F" w14:textId="77777777" w:rsidR="00E01C42" w:rsidRPr="00D11078" w:rsidRDefault="00E01C42" w:rsidP="008C0AC4">
            <w:pPr>
              <w:spacing w:before="40" w:after="40"/>
              <w:jc w:val="center"/>
              <w:rPr>
                <w:color w:val="000000"/>
              </w:rPr>
            </w:pPr>
            <w:r>
              <w:rPr>
                <w:color w:val="000000"/>
              </w:rPr>
              <w:t>1.1</w:t>
            </w:r>
            <w:r w:rsidRPr="00D11078">
              <w:rPr>
                <w:color w:val="000000"/>
              </w:rPr>
              <w:t>% - 4.2%</w:t>
            </w:r>
          </w:p>
        </w:tc>
        <w:tc>
          <w:tcPr>
            <w:tcW w:w="990" w:type="dxa"/>
            <w:tcBorders>
              <w:top w:val="single" w:sz="12" w:space="0" w:color="95D600"/>
            </w:tcBorders>
            <w:shd w:val="clear" w:color="auto" w:fill="FFFFFF"/>
            <w:hideMark/>
          </w:tcPr>
          <w:p w14:paraId="743A66AF" w14:textId="77777777" w:rsidR="00E01C42" w:rsidRPr="00D11078" w:rsidRDefault="00E01C42" w:rsidP="008C0AC4">
            <w:pPr>
              <w:spacing w:before="40" w:after="40"/>
              <w:jc w:val="center"/>
              <w:rPr>
                <w:color w:val="000000"/>
              </w:rPr>
            </w:pPr>
            <w:r>
              <w:rPr>
                <w:color w:val="000000"/>
              </w:rPr>
              <w:t>0.2</w:t>
            </w:r>
            <w:r w:rsidRPr="00D11078">
              <w:rPr>
                <w:color w:val="000000"/>
              </w:rPr>
              <w:t>% - 7.4%</w:t>
            </w:r>
          </w:p>
        </w:tc>
        <w:tc>
          <w:tcPr>
            <w:tcW w:w="900" w:type="dxa"/>
            <w:tcBorders>
              <w:top w:val="single" w:sz="12" w:space="0" w:color="95D600"/>
            </w:tcBorders>
            <w:shd w:val="clear" w:color="auto" w:fill="FFFFFF"/>
            <w:hideMark/>
          </w:tcPr>
          <w:p w14:paraId="7F822CB9" w14:textId="77777777" w:rsidR="00E01C42" w:rsidRPr="00D11078" w:rsidRDefault="00E01C42" w:rsidP="008C0AC4">
            <w:pPr>
              <w:spacing w:before="40" w:after="40"/>
              <w:jc w:val="center"/>
              <w:rPr>
                <w:color w:val="000000"/>
              </w:rPr>
            </w:pPr>
            <w:r w:rsidRPr="00D11078">
              <w:rPr>
                <w:color w:val="000000"/>
              </w:rPr>
              <w:t>$0.20 - $0.46</w:t>
            </w:r>
          </w:p>
        </w:tc>
        <w:tc>
          <w:tcPr>
            <w:tcW w:w="989" w:type="dxa"/>
            <w:tcBorders>
              <w:top w:val="single" w:sz="12" w:space="0" w:color="95D600"/>
            </w:tcBorders>
            <w:shd w:val="clear" w:color="auto" w:fill="FFFFFF"/>
            <w:hideMark/>
          </w:tcPr>
          <w:p w14:paraId="3FFABDCD" w14:textId="77777777" w:rsidR="00E01C42" w:rsidRPr="00D11078" w:rsidRDefault="00E01C42" w:rsidP="008C0AC4">
            <w:pPr>
              <w:spacing w:before="40" w:after="40"/>
              <w:jc w:val="center"/>
              <w:rPr>
                <w:color w:val="000000"/>
              </w:rPr>
            </w:pPr>
            <w:r w:rsidRPr="00D11078">
              <w:rPr>
                <w:color w:val="000000"/>
              </w:rPr>
              <w:t xml:space="preserve">$0.18 – </w:t>
            </w:r>
          </w:p>
          <w:p w14:paraId="11504069" w14:textId="77777777" w:rsidR="00E01C42" w:rsidRPr="00D11078" w:rsidRDefault="00E01C42" w:rsidP="008C0AC4">
            <w:pPr>
              <w:spacing w:before="40" w:after="40"/>
              <w:jc w:val="center"/>
              <w:rPr>
                <w:color w:val="000000"/>
                <w:highlight w:val="red"/>
              </w:rPr>
            </w:pPr>
            <w:r w:rsidRPr="00D11078">
              <w:rPr>
                <w:color w:val="000000"/>
              </w:rPr>
              <w:t>$0.46</w:t>
            </w:r>
          </w:p>
        </w:tc>
        <w:tc>
          <w:tcPr>
            <w:tcW w:w="1436" w:type="dxa"/>
            <w:tcBorders>
              <w:top w:val="single" w:sz="12" w:space="0" w:color="95D600"/>
            </w:tcBorders>
            <w:shd w:val="clear" w:color="auto" w:fill="FFFFFF"/>
            <w:hideMark/>
          </w:tcPr>
          <w:p w14:paraId="4EC3B4F1" w14:textId="77777777" w:rsidR="00E01C42" w:rsidRPr="00D11078" w:rsidRDefault="00E01C42" w:rsidP="008C0AC4">
            <w:pPr>
              <w:spacing w:before="40" w:after="40"/>
              <w:jc w:val="center"/>
              <w:rPr>
                <w:color w:val="000000"/>
              </w:rPr>
            </w:pPr>
            <w:r w:rsidRPr="00D11078">
              <w:rPr>
                <w:color w:val="000000"/>
              </w:rPr>
              <w:t>0.000138</w:t>
            </w:r>
          </w:p>
        </w:tc>
      </w:tr>
    </w:tbl>
    <w:p w14:paraId="5E4A31F3" w14:textId="77777777" w:rsidR="00E01C42" w:rsidRPr="00D11078" w:rsidRDefault="00E01C42" w:rsidP="00E01C42">
      <w:pPr>
        <w:spacing w:line="240" w:lineRule="auto"/>
        <w:rPr>
          <w:b/>
          <w:color w:val="000000"/>
        </w:rPr>
      </w:pPr>
    </w:p>
    <w:p w14:paraId="5F6B201A" w14:textId="77777777" w:rsidR="00E01C42" w:rsidRPr="00D11078" w:rsidRDefault="00E01C42" w:rsidP="00122CD3">
      <w:pPr>
        <w:keepNext/>
        <w:rPr>
          <w:b/>
          <w:color w:val="000000"/>
        </w:rPr>
      </w:pPr>
      <w:r w:rsidRPr="00D11078">
        <w:rPr>
          <w:b/>
          <w:color w:val="000000"/>
        </w:rPr>
        <w:t>Assumptions and Methodology</w:t>
      </w:r>
    </w:p>
    <w:p w14:paraId="2BBB63B5" w14:textId="77777777" w:rsidR="00E01C42" w:rsidRPr="00D11078" w:rsidRDefault="00E01C42" w:rsidP="00E01C42">
      <w:pPr>
        <w:rPr>
          <w:b/>
          <w:color w:val="000000"/>
        </w:rPr>
      </w:pPr>
    </w:p>
    <w:p w14:paraId="4EECDD90" w14:textId="77777777" w:rsidR="00E01C42" w:rsidRPr="00D11078" w:rsidRDefault="00E01C42" w:rsidP="00E01C42">
      <w:pPr>
        <w:rPr>
          <w:b/>
          <w:i/>
          <w:color w:val="000000"/>
          <w:szCs w:val="20"/>
        </w:rPr>
      </w:pPr>
      <w:r w:rsidRPr="00D11078">
        <w:rPr>
          <w:b/>
          <w:i/>
          <w:color w:val="000000"/>
          <w:szCs w:val="20"/>
        </w:rPr>
        <w:t>Eligibility and Participation</w:t>
      </w:r>
    </w:p>
    <w:p w14:paraId="6FFCA9BD" w14:textId="77777777" w:rsidR="00E01C42" w:rsidRPr="008261F5" w:rsidRDefault="00E01C42" w:rsidP="00E01C42">
      <w:pPr>
        <w:autoSpaceDE w:val="0"/>
        <w:autoSpaceDN w:val="0"/>
        <w:adjustRightInd w:val="0"/>
        <w:spacing w:line="240" w:lineRule="auto"/>
        <w:rPr>
          <w:szCs w:val="20"/>
        </w:rPr>
      </w:pPr>
      <w:r w:rsidRPr="00D11078">
        <w:rPr>
          <w:color w:val="000000"/>
        </w:rPr>
        <w:t xml:space="preserve">The technologies that enable BEIMS are primarily associated with energy management systems (EMS) that are broadly applicable across all market sectors, though the existing market </w:t>
      </w:r>
      <w:r w:rsidRPr="00D11078">
        <w:rPr>
          <w:color w:val="000000"/>
          <w:szCs w:val="20"/>
        </w:rPr>
        <w:t xml:space="preserve">saturation of these </w:t>
      </w:r>
      <w:r w:rsidRPr="00D11078">
        <w:rPr>
          <w:color w:val="000000"/>
          <w:szCs w:val="20"/>
        </w:rPr>
        <w:lastRenderedPageBreak/>
        <w:t>technologies, which cannot be claimed by IOU programs moving forward, ranges across market segments from 1% to 80%.</w:t>
      </w:r>
      <w:r w:rsidR="00963FD0">
        <w:rPr>
          <w:rStyle w:val="FootnoteReference"/>
          <w:szCs w:val="20"/>
        </w:rPr>
        <w:footnoteReference w:id="137"/>
      </w:r>
      <w:r w:rsidRPr="00D11078">
        <w:rPr>
          <w:color w:val="000000"/>
          <w:szCs w:val="20"/>
        </w:rPr>
        <w:t xml:space="preserve"> In general, segments that operate larger facilities (e.g., large offices) or facilities that are energy intensive (e.g., grocery stores) will have a higher existing saturation of BEIMS-enabling technologies. A CAGR was used to forecast growth in BEIMS technology penetration over time. A 12% CAGR was used in the reference case, while the aggressive case used a 24% CAGR. The same CAGR was applied to all commercial market segments and utilities. Based on estimates of existing market saturations, these </w:t>
      </w:r>
      <w:r w:rsidRPr="008261F5">
        <w:rPr>
          <w:szCs w:val="20"/>
        </w:rPr>
        <w:t xml:space="preserve">growth </w:t>
      </w:r>
      <w:r>
        <w:rPr>
          <w:szCs w:val="20"/>
        </w:rPr>
        <w:t xml:space="preserve">rates </w:t>
      </w:r>
      <w:r w:rsidRPr="008261F5">
        <w:rPr>
          <w:szCs w:val="20"/>
        </w:rPr>
        <w:t>result</w:t>
      </w:r>
      <w:r>
        <w:rPr>
          <w:szCs w:val="20"/>
        </w:rPr>
        <w:t xml:space="preserve"> in BEIM</w:t>
      </w:r>
      <w:r w:rsidRPr="008261F5">
        <w:rPr>
          <w:szCs w:val="20"/>
        </w:rPr>
        <w:t>S forecast</w:t>
      </w:r>
      <w:r>
        <w:rPr>
          <w:szCs w:val="20"/>
        </w:rPr>
        <w:t>ed</w:t>
      </w:r>
      <w:r w:rsidRPr="008261F5">
        <w:rPr>
          <w:szCs w:val="20"/>
        </w:rPr>
        <w:t xml:space="preserve"> </w:t>
      </w:r>
      <w:r>
        <w:rPr>
          <w:szCs w:val="20"/>
        </w:rPr>
        <w:t xml:space="preserve">penetrations </w:t>
      </w:r>
      <w:r w:rsidRPr="008261F5">
        <w:rPr>
          <w:szCs w:val="20"/>
        </w:rPr>
        <w:t xml:space="preserve">of 5.6% and 20.9% for the reference and aggressive cases, respectively. </w:t>
      </w:r>
    </w:p>
    <w:p w14:paraId="4B089BFD" w14:textId="77777777" w:rsidR="00E01C42" w:rsidRPr="008261F5" w:rsidRDefault="00E01C42" w:rsidP="00E01C42">
      <w:pPr>
        <w:rPr>
          <w:szCs w:val="20"/>
        </w:rPr>
      </w:pPr>
      <w:r>
        <w:rPr>
          <w:szCs w:val="20"/>
        </w:rPr>
        <w:t xml:space="preserve"> </w:t>
      </w:r>
    </w:p>
    <w:p w14:paraId="24551B25" w14:textId="77777777" w:rsidR="00E01C42" w:rsidRPr="008261F5" w:rsidRDefault="00E01C42" w:rsidP="00E01C42">
      <w:pPr>
        <w:rPr>
          <w:szCs w:val="20"/>
        </w:rPr>
      </w:pPr>
      <w:r w:rsidRPr="008261F5">
        <w:rPr>
          <w:b/>
          <w:i/>
          <w:szCs w:val="20"/>
        </w:rPr>
        <w:t>Savings</w:t>
      </w:r>
    </w:p>
    <w:p w14:paraId="6FFF12EF" w14:textId="77777777" w:rsidR="00E01C42" w:rsidRPr="008261F5" w:rsidRDefault="00E01C42" w:rsidP="00E01C42">
      <w:r w:rsidRPr="008261F5">
        <w:t>As discussed in the AB 802 Technical Analysis, energy</w:t>
      </w:r>
      <w:r>
        <w:t xml:space="preserve"> savings associated with BEI</w:t>
      </w:r>
      <w:r w:rsidRPr="008261F5">
        <w:t>MS are calculated using the following equation:</w:t>
      </w:r>
    </w:p>
    <w:p w14:paraId="27865961" w14:textId="77777777" w:rsidR="00E01C42" w:rsidRPr="008261F5" w:rsidRDefault="00E01C42" w:rsidP="00E01C42"/>
    <w:p w14:paraId="681FB022" w14:textId="77777777" w:rsidR="00E01C42" w:rsidRPr="008261F5" w:rsidRDefault="00E01C42" w:rsidP="00E01C42">
      <w:pPr>
        <w:ind w:left="720"/>
        <w:rPr>
          <w:szCs w:val="20"/>
        </w:rPr>
      </w:pPr>
      <w:r w:rsidRPr="008261F5">
        <w:t>E</w:t>
      </w:r>
      <w:r w:rsidRPr="008261F5">
        <w:rPr>
          <w:szCs w:val="20"/>
        </w:rPr>
        <w:t xml:space="preserve">nergy Savings, BIEMS = Starting Saturation of EMS by Building Type x Total Annual Consumption x % End Use Consumption for </w:t>
      </w:r>
      <w:r>
        <w:rPr>
          <w:szCs w:val="20"/>
        </w:rPr>
        <w:t xml:space="preserve">HVAC </w:t>
      </w:r>
      <w:r w:rsidRPr="008261F5">
        <w:rPr>
          <w:szCs w:val="20"/>
        </w:rPr>
        <w:t>x % End Use Savings by Building Type.</w:t>
      </w:r>
    </w:p>
    <w:p w14:paraId="22B4F6A6" w14:textId="77777777" w:rsidR="00E01C42" w:rsidRPr="008261F5" w:rsidRDefault="00E01C42" w:rsidP="00E01C42">
      <w:pPr>
        <w:rPr>
          <w:szCs w:val="20"/>
        </w:rPr>
      </w:pPr>
    </w:p>
    <w:p w14:paraId="1367002B" w14:textId="77777777" w:rsidR="00E01C42" w:rsidRPr="008261F5" w:rsidRDefault="00E01C42" w:rsidP="00E01C42">
      <w:pPr>
        <w:rPr>
          <w:szCs w:val="20"/>
        </w:rPr>
      </w:pPr>
      <w:r w:rsidRPr="008261F5">
        <w:rPr>
          <w:szCs w:val="20"/>
        </w:rPr>
        <w:t xml:space="preserve">This equation resulted in a range of unit energy savings </w:t>
      </w:r>
      <w:r>
        <w:rPr>
          <w:szCs w:val="20"/>
        </w:rPr>
        <w:t>(UES) values associated with BEI</w:t>
      </w:r>
      <w:r w:rsidRPr="008261F5">
        <w:rPr>
          <w:szCs w:val="20"/>
        </w:rPr>
        <w:t>MS.</w:t>
      </w:r>
      <w:r>
        <w:rPr>
          <w:szCs w:val="20"/>
        </w:rPr>
        <w:t xml:space="preserve"> </w:t>
      </w:r>
      <w:r w:rsidRPr="008261F5">
        <w:rPr>
          <w:szCs w:val="20"/>
        </w:rPr>
        <w:t>While there is the potential for o</w:t>
      </w:r>
      <w:r>
        <w:rPr>
          <w:szCs w:val="20"/>
        </w:rPr>
        <w:t xml:space="preserve">verlap in savings between BEIMS, </w:t>
      </w:r>
      <w:r w:rsidRPr="008261F5">
        <w:rPr>
          <w:szCs w:val="20"/>
        </w:rPr>
        <w:t>BOC</w:t>
      </w:r>
      <w:r>
        <w:rPr>
          <w:szCs w:val="20"/>
        </w:rPr>
        <w:t>,</w:t>
      </w:r>
      <w:r w:rsidRPr="008261F5">
        <w:rPr>
          <w:szCs w:val="20"/>
        </w:rPr>
        <w:t xml:space="preserve"> and SEM interventions, the current saturation of these measures and relatively low penetration rate</w:t>
      </w:r>
      <w:r>
        <w:rPr>
          <w:szCs w:val="20"/>
        </w:rPr>
        <w:t>s</w:t>
      </w:r>
      <w:r w:rsidRPr="008261F5">
        <w:rPr>
          <w:szCs w:val="20"/>
        </w:rPr>
        <w:t xml:space="preserve"> forecast</w:t>
      </w:r>
      <w:r>
        <w:rPr>
          <w:szCs w:val="20"/>
        </w:rPr>
        <w:t>ed</w:t>
      </w:r>
      <w:r w:rsidRPr="008261F5">
        <w:rPr>
          <w:szCs w:val="20"/>
        </w:rPr>
        <w:t xml:space="preserve"> indicate that the risk of double counting savings is minimal and was therefore was not considered</w:t>
      </w:r>
      <w:r>
        <w:rPr>
          <w:szCs w:val="20"/>
        </w:rPr>
        <w:t xml:space="preserve"> in this model. Additionally, BEI</w:t>
      </w:r>
      <w:r w:rsidRPr="008261F5">
        <w:rPr>
          <w:szCs w:val="20"/>
        </w:rPr>
        <w:t>MS often requires capital investment while BOC and SEM are typica</w:t>
      </w:r>
      <w:r>
        <w:rPr>
          <w:szCs w:val="20"/>
        </w:rPr>
        <w:t>lly not</w:t>
      </w:r>
      <w:r w:rsidRPr="008261F5">
        <w:rPr>
          <w:szCs w:val="20"/>
        </w:rPr>
        <w:t xml:space="preserve"> capital investments, thus providing some differentiation in the market penetration models and potential to mitigate the risk of double counting savings.</w:t>
      </w:r>
    </w:p>
    <w:p w14:paraId="717E3E7F" w14:textId="77777777" w:rsidR="00E01C42" w:rsidRPr="008261F5" w:rsidRDefault="00E01C42" w:rsidP="00E01C42">
      <w:pPr>
        <w:rPr>
          <w:szCs w:val="20"/>
        </w:rPr>
      </w:pPr>
    </w:p>
    <w:p w14:paraId="133075EA" w14:textId="77777777" w:rsidR="00E01C42" w:rsidRPr="008261F5" w:rsidRDefault="00E01C42" w:rsidP="00E01C42">
      <w:pPr>
        <w:rPr>
          <w:szCs w:val="20"/>
        </w:rPr>
      </w:pPr>
      <w:r w:rsidRPr="008261F5">
        <w:t xml:space="preserve">The model uses an EUL of </w:t>
      </w:r>
      <w:r w:rsidR="00643524">
        <w:t>three</w:t>
      </w:r>
      <w:r w:rsidRPr="008261F5">
        <w:t xml:space="preserve"> years </w:t>
      </w:r>
      <w:r w:rsidR="00643524">
        <w:t>per CPUC Decision 16-08-019</w:t>
      </w:r>
      <w:r w:rsidRPr="008261F5">
        <w:t>.</w:t>
      </w:r>
      <w:r>
        <w:t xml:space="preserve"> </w:t>
      </w:r>
      <w:r w:rsidRPr="008261F5">
        <w:t xml:space="preserve">A </w:t>
      </w:r>
      <w:r w:rsidRPr="008261F5">
        <w:rPr>
          <w:szCs w:val="20"/>
        </w:rPr>
        <w:t xml:space="preserve">ratio of kW to kWh </w:t>
      </w:r>
      <w:r>
        <w:t>of 0.000138</w:t>
      </w:r>
      <w:r w:rsidRPr="008261F5">
        <w:t xml:space="preserve"> </w:t>
      </w:r>
      <w:r>
        <w:t>was applied to all three electric utilities</w:t>
      </w:r>
      <w:r w:rsidRPr="008261F5">
        <w:t xml:space="preserve"> </w:t>
      </w:r>
      <w:r>
        <w:t xml:space="preserve">based on </w:t>
      </w:r>
      <w:r w:rsidR="00963FD0">
        <w:t>the AB802 Technical Analysis</w:t>
      </w:r>
      <w:r w:rsidRPr="008261F5">
        <w:t>.</w:t>
      </w:r>
      <w:r w:rsidR="00963FD0">
        <w:rPr>
          <w:rStyle w:val="FootnoteReference"/>
        </w:rPr>
        <w:footnoteReference w:id="138"/>
      </w:r>
    </w:p>
    <w:p w14:paraId="45285B83" w14:textId="77777777" w:rsidR="00E01C42" w:rsidRPr="008261F5" w:rsidRDefault="00E01C42" w:rsidP="00E01C42"/>
    <w:p w14:paraId="384B91B3" w14:textId="77777777" w:rsidR="00E01C42" w:rsidRPr="008261F5" w:rsidRDefault="00E01C42" w:rsidP="00E01C42">
      <w:pPr>
        <w:keepNext/>
        <w:rPr>
          <w:szCs w:val="20"/>
        </w:rPr>
      </w:pPr>
      <w:r w:rsidRPr="008261F5">
        <w:rPr>
          <w:b/>
          <w:i/>
          <w:szCs w:val="20"/>
        </w:rPr>
        <w:t>Cost</w:t>
      </w:r>
    </w:p>
    <w:p w14:paraId="46214317" w14:textId="77777777" w:rsidR="00E01C42" w:rsidRDefault="00E01C42" w:rsidP="00E01C42">
      <w:r w:rsidRPr="008261F5">
        <w:rPr>
          <w:szCs w:val="20"/>
        </w:rPr>
        <w:t xml:space="preserve">Costs for electricity and natural gas savings are estimated </w:t>
      </w:r>
      <w:r w:rsidRPr="008261F5">
        <w:t xml:space="preserve">based on </w:t>
      </w:r>
      <w:r>
        <w:t xml:space="preserve">research referenced in the </w:t>
      </w:r>
      <w:r w:rsidRPr="008261F5">
        <w:t>AB 802 Technical Analysis.</w:t>
      </w:r>
      <w:r w:rsidRPr="008261F5">
        <w:rPr>
          <w:rStyle w:val="FootnoteReference"/>
        </w:rPr>
        <w:footnoteReference w:id="139"/>
      </w:r>
    </w:p>
    <w:p w14:paraId="051792A4" w14:textId="77777777" w:rsidR="00E01C42" w:rsidRDefault="00E01C42" w:rsidP="00E01C42">
      <w:pPr>
        <w:pStyle w:val="Heading6"/>
        <w:numPr>
          <w:ilvl w:val="5"/>
          <w:numId w:val="8"/>
        </w:numPr>
        <w:ind w:left="0" w:firstLine="0"/>
      </w:pPr>
      <w:bookmarkStart w:id="955" w:name="_Toc480271812"/>
      <w:bookmarkStart w:id="956" w:name="_Toc484183069"/>
      <w:bookmarkStart w:id="957" w:name="_Toc485126590"/>
      <w:r>
        <w:t xml:space="preserve">Commercial - Business </w:t>
      </w:r>
      <w:r w:rsidRPr="00065CEA">
        <w:t>Energy Reports</w:t>
      </w:r>
      <w:bookmarkEnd w:id="955"/>
      <w:bookmarkEnd w:id="956"/>
      <w:bookmarkEnd w:id="957"/>
    </w:p>
    <w:p w14:paraId="7461436A" w14:textId="77777777" w:rsidR="00E01C42" w:rsidRDefault="00E01C42" w:rsidP="00E01C42">
      <w:pPr>
        <w:rPr>
          <w:b/>
        </w:rPr>
      </w:pPr>
      <w:r w:rsidRPr="00DF089C">
        <w:rPr>
          <w:b/>
        </w:rPr>
        <w:t xml:space="preserve">Summary </w:t>
      </w:r>
    </w:p>
    <w:p w14:paraId="52642F4B" w14:textId="77777777" w:rsidR="00E01C42" w:rsidRPr="00B11C52" w:rsidRDefault="00E01C42" w:rsidP="00E01C42"/>
    <w:p w14:paraId="68773EC3" w14:textId="77777777" w:rsidR="00E01C42" w:rsidRDefault="00E01C42" w:rsidP="00E01C42">
      <w:r w:rsidRPr="00B11C52">
        <w:t xml:space="preserve">Business Energy Reports (BERs) are </w:t>
      </w:r>
      <w:r>
        <w:t>the commercial sector equivalent</w:t>
      </w:r>
      <w:r w:rsidRPr="00B11C52">
        <w:t xml:space="preserve"> to </w:t>
      </w:r>
      <w:r>
        <w:t xml:space="preserve">the HERs </w:t>
      </w:r>
      <w:r w:rsidRPr="00B11C52">
        <w:t xml:space="preserve">sent to residential customers. BERS </w:t>
      </w:r>
      <w:r>
        <w:t xml:space="preserve">(and other similar programs) typically share reports (via mail or electronic format) with small and medium-sized businesses at specific intervals (often monthly). The objective is to provide </w:t>
      </w:r>
      <w:r w:rsidRPr="00B11C52">
        <w:t xml:space="preserve">feedback about their energy use, including normative comparisons to similar businesses, tips for improving energy efficiency, and occasionally messaging about rewards or incentives. </w:t>
      </w:r>
      <w:r>
        <w:t>BERs</w:t>
      </w:r>
      <w:r w:rsidRPr="00B11C52">
        <w:t xml:space="preserve"> </w:t>
      </w:r>
      <w:r>
        <w:t>and other similar programs typically send reports</w:t>
      </w:r>
      <w:r w:rsidRPr="00B11C52">
        <w:t xml:space="preserve"> to customers on opt-out basis. BER</w:t>
      </w:r>
      <w:r>
        <w:t>-type program</w:t>
      </w:r>
      <w:r w:rsidRPr="00B11C52">
        <w:t>s are</w:t>
      </w:r>
      <w:r>
        <w:t xml:space="preserve"> a</w:t>
      </w:r>
      <w:r w:rsidRPr="00B11C52">
        <w:t xml:space="preserve"> </w:t>
      </w:r>
      <w:r>
        <w:t xml:space="preserve">relatively </w:t>
      </w:r>
      <w:r w:rsidRPr="00B11C52">
        <w:t>new</w:t>
      </w:r>
      <w:r>
        <w:t xml:space="preserve"> addition in the emerging field of</w:t>
      </w:r>
      <w:r w:rsidRPr="00B11C52">
        <w:t xml:space="preserve"> behavior change programs and are now in pilot testing at PG&amp;E and other non-California utilities. </w:t>
      </w:r>
    </w:p>
    <w:p w14:paraId="41AFBBF8" w14:textId="77777777" w:rsidR="00E01C42" w:rsidRPr="00B11C52" w:rsidRDefault="00E01C42" w:rsidP="00E01C42"/>
    <w:p w14:paraId="0DCAFFF9" w14:textId="77777777" w:rsidR="00E01C42" w:rsidRDefault="00E01C42" w:rsidP="00E01C42">
      <w:r>
        <w:t>Navigant’s</w:t>
      </w:r>
      <w:r w:rsidRPr="00B11C52">
        <w:t xml:space="preserve"> modeling</w:t>
      </w:r>
      <w:r>
        <w:t xml:space="preserve"> estimates are</w:t>
      </w:r>
      <w:r w:rsidRPr="00B11C52">
        <w:t xml:space="preserve"> primarily based on </w:t>
      </w:r>
      <w:r>
        <w:t>t</w:t>
      </w:r>
      <w:r w:rsidR="000F3294">
        <w:t>hree</w:t>
      </w:r>
      <w:r>
        <w:t xml:space="preserve"> sources: 1)</w:t>
      </w:r>
      <w:r w:rsidR="000F3294">
        <w:t xml:space="preserve"> PG&amp;E’s response to the webinar on April 20, 2017, 2)</w:t>
      </w:r>
      <w:r>
        <w:t xml:space="preserve"> a Cadmus review of a </w:t>
      </w:r>
      <w:r w:rsidRPr="00B11C52">
        <w:t xml:space="preserve">BER pilot </w:t>
      </w:r>
      <w:r>
        <w:t>with</w:t>
      </w:r>
      <w:r w:rsidRPr="00B11C52">
        <w:t xml:space="preserve"> Xcel Energy business customers (</w:t>
      </w:r>
      <w:r>
        <w:t xml:space="preserve">smaller than </w:t>
      </w:r>
      <w:r w:rsidRPr="00B11C52">
        <w:t>250</w:t>
      </w:r>
      <w:r>
        <w:t xml:space="preserve"> </w:t>
      </w:r>
      <w:r w:rsidRPr="00B11C52">
        <w:t>kW</w:t>
      </w:r>
      <w:r>
        <w:t xml:space="preserve"> service</w:t>
      </w:r>
      <w:r w:rsidRPr="00B11C52">
        <w:t>) in Colorado (10,000</w:t>
      </w:r>
      <w:r>
        <w:t xml:space="preserve"> participants</w:t>
      </w:r>
      <w:r w:rsidRPr="00B11C52">
        <w:t>) and Minnesota (20,000</w:t>
      </w:r>
      <w:r>
        <w:t xml:space="preserve"> participants</w:t>
      </w:r>
      <w:r w:rsidRPr="00B11C52">
        <w:t>) that was conducted between June 2014 and June 2015</w:t>
      </w:r>
      <w:r>
        <w:t xml:space="preserve">, and </w:t>
      </w:r>
      <w:r w:rsidR="000F3294">
        <w:t>3</w:t>
      </w:r>
      <w:r>
        <w:t>) a commercial customer behavior change pilot conducted by Commonwealth Edison and Agentis Energy in Illinois beginning in 2012</w:t>
      </w:r>
      <w:r w:rsidRPr="00B11C52">
        <w:t xml:space="preserve">. </w:t>
      </w:r>
      <w:r>
        <w:t xml:space="preserve">In the first instance, Xcel Energy provided </w:t>
      </w:r>
      <w:r w:rsidRPr="00B11C52">
        <w:t xml:space="preserve">BERs to </w:t>
      </w:r>
      <w:r>
        <w:t xml:space="preserve">a sample of </w:t>
      </w:r>
      <w:r w:rsidRPr="00B11C52">
        <w:t xml:space="preserve">businesses </w:t>
      </w:r>
      <w:r>
        <w:t>operating in</w:t>
      </w:r>
      <w:r w:rsidRPr="00B11C52">
        <w:t xml:space="preserve"> the following sectors: small office, small retail trade, small retail service, and restaurants</w:t>
      </w:r>
      <w:r>
        <w:t>.</w:t>
      </w:r>
      <w:r>
        <w:rPr>
          <w:rStyle w:val="FootnoteReference"/>
        </w:rPr>
        <w:footnoteReference w:id="140"/>
      </w:r>
      <w:r>
        <w:t xml:space="preserve"> In the Commonwealth Edison pilot the utility engaged 6,009 medium sized (100-1,000 kW) commercial customers in Illinois.</w:t>
      </w:r>
      <w:r>
        <w:rPr>
          <w:rStyle w:val="FootnoteReference"/>
        </w:rPr>
        <w:footnoteReference w:id="141"/>
      </w:r>
      <w:r>
        <w:t xml:space="preserve"> While the Commonwealth Edison customers represented numerous sectors, only those businesses in the “lodging” and “other” categories showed significant savings.</w:t>
      </w:r>
    </w:p>
    <w:p w14:paraId="3FCAB5FE" w14:textId="77777777" w:rsidR="00E01C42" w:rsidRPr="00B11C52" w:rsidRDefault="00E01C42" w:rsidP="00E01C42"/>
    <w:p w14:paraId="5EB4B680" w14:textId="77777777" w:rsidR="00E01C42" w:rsidRPr="00B57F57" w:rsidRDefault="004675B4" w:rsidP="00E01C42">
      <w:pPr>
        <w:pStyle w:val="Caption"/>
        <w:rPr>
          <w:b w:val="0"/>
          <w:szCs w:val="24"/>
        </w:rPr>
      </w:pPr>
      <w:bookmarkStart w:id="958" w:name="_Toc485125608"/>
      <w:r>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7</w:t>
      </w:r>
      <w:r w:rsidR="00272F76">
        <w:rPr>
          <w:noProof/>
        </w:rPr>
        <w:fldChar w:fldCharType="end"/>
      </w:r>
      <w:r>
        <w:t xml:space="preserve">. </w:t>
      </w:r>
      <w:r w:rsidR="00E01C42">
        <w:t>Business Energy Reports - Key Assumptions</w:t>
      </w:r>
      <w:bookmarkEnd w:id="958"/>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E01C42" w:rsidRPr="00971600" w14:paraId="245ED619"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55CA358C"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49752F06"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2F99D9FD"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3C4C8C76"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5FB564A1"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4CE2658E"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971600" w14:paraId="3F294AE6" w14:textId="77777777" w:rsidTr="008C0AC4">
        <w:trPr>
          <w:cantSplit/>
          <w:trHeight w:val="144"/>
          <w:jc w:val="center"/>
        </w:trPr>
        <w:tc>
          <w:tcPr>
            <w:tcW w:w="1120" w:type="dxa"/>
            <w:vMerge/>
            <w:tcBorders>
              <w:bottom w:val="single" w:sz="12" w:space="0" w:color="95D600"/>
            </w:tcBorders>
            <w:shd w:val="clear" w:color="auto" w:fill="auto"/>
            <w:hideMark/>
          </w:tcPr>
          <w:p w14:paraId="65484AEE" w14:textId="77777777" w:rsidR="00E01C42" w:rsidRPr="00971600" w:rsidRDefault="00E01C42" w:rsidP="008C0AC4">
            <w:pPr>
              <w:spacing w:before="40" w:after="40"/>
              <w:jc w:val="center"/>
            </w:pPr>
          </w:p>
        </w:tc>
        <w:tc>
          <w:tcPr>
            <w:tcW w:w="1524" w:type="dxa"/>
            <w:vMerge/>
            <w:tcBorders>
              <w:bottom w:val="single" w:sz="12" w:space="0" w:color="95D600"/>
            </w:tcBorders>
            <w:shd w:val="clear" w:color="auto" w:fill="auto"/>
            <w:hideMark/>
          </w:tcPr>
          <w:p w14:paraId="216F821A" w14:textId="77777777" w:rsidR="00E01C42" w:rsidRPr="00971600" w:rsidRDefault="00E01C42" w:rsidP="008C0AC4">
            <w:pPr>
              <w:spacing w:before="40" w:after="40"/>
              <w:jc w:val="center"/>
            </w:pPr>
          </w:p>
        </w:tc>
        <w:tc>
          <w:tcPr>
            <w:tcW w:w="1002" w:type="dxa"/>
            <w:vMerge/>
            <w:tcBorders>
              <w:bottom w:val="single" w:sz="12" w:space="0" w:color="95D600"/>
            </w:tcBorders>
            <w:shd w:val="clear" w:color="auto" w:fill="555759"/>
            <w:hideMark/>
          </w:tcPr>
          <w:p w14:paraId="4DDED9AA" w14:textId="77777777" w:rsidR="00E01C42" w:rsidRPr="00971600"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79512DC4"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3A559E55"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01A7EC8A"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222A0C74"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422C78F6" w14:textId="77777777" w:rsidR="00E01C42" w:rsidRPr="00971600" w:rsidRDefault="00E01C42" w:rsidP="008C0AC4">
            <w:pPr>
              <w:spacing w:before="40" w:after="40"/>
              <w:jc w:val="center"/>
            </w:pPr>
          </w:p>
        </w:tc>
      </w:tr>
      <w:tr w:rsidR="00E01C42" w:rsidRPr="00971600" w14:paraId="4E4BA7B1" w14:textId="77777777" w:rsidTr="008C0AC4">
        <w:trPr>
          <w:cantSplit/>
          <w:trHeight w:val="738"/>
          <w:jc w:val="center"/>
        </w:trPr>
        <w:tc>
          <w:tcPr>
            <w:tcW w:w="1120" w:type="dxa"/>
            <w:tcBorders>
              <w:top w:val="single" w:sz="12" w:space="0" w:color="95D600"/>
            </w:tcBorders>
            <w:shd w:val="clear" w:color="auto" w:fill="FFFFFF"/>
            <w:hideMark/>
          </w:tcPr>
          <w:p w14:paraId="2E2B2D53" w14:textId="77777777" w:rsidR="00E01C42" w:rsidRPr="00971600" w:rsidRDefault="00E01C42" w:rsidP="008C0AC4">
            <w:pPr>
              <w:spacing w:before="40" w:after="40"/>
              <w:jc w:val="center"/>
            </w:pPr>
            <w:r w:rsidRPr="00971600">
              <w:t>COM</w:t>
            </w:r>
          </w:p>
        </w:tc>
        <w:tc>
          <w:tcPr>
            <w:tcW w:w="1524" w:type="dxa"/>
            <w:tcBorders>
              <w:top w:val="single" w:sz="12" w:space="0" w:color="95D600"/>
            </w:tcBorders>
            <w:shd w:val="clear" w:color="auto" w:fill="FFFFFF"/>
            <w:hideMark/>
          </w:tcPr>
          <w:p w14:paraId="4976A5D7" w14:textId="77777777" w:rsidR="00E01C42" w:rsidRPr="00971600" w:rsidRDefault="00E01C42" w:rsidP="008C0AC4">
            <w:pPr>
              <w:spacing w:before="40" w:after="40"/>
              <w:jc w:val="center"/>
            </w:pPr>
            <w:r w:rsidRPr="00971600">
              <w:t>Business Energy Reports (BERs)</w:t>
            </w:r>
          </w:p>
        </w:tc>
        <w:tc>
          <w:tcPr>
            <w:tcW w:w="1002" w:type="dxa"/>
            <w:tcBorders>
              <w:top w:val="single" w:sz="12" w:space="0" w:color="95D600"/>
            </w:tcBorders>
            <w:shd w:val="clear" w:color="auto" w:fill="FFFFFF"/>
            <w:hideMark/>
          </w:tcPr>
          <w:p w14:paraId="67C4F707" w14:textId="77777777" w:rsidR="00E01C42" w:rsidRPr="00971600" w:rsidRDefault="00E01C42" w:rsidP="008C0AC4">
            <w:pPr>
              <w:spacing w:before="40" w:after="40"/>
              <w:jc w:val="center"/>
            </w:pPr>
            <w:r>
              <w:t>2</w:t>
            </w:r>
          </w:p>
        </w:tc>
        <w:tc>
          <w:tcPr>
            <w:tcW w:w="949" w:type="dxa"/>
            <w:tcBorders>
              <w:top w:val="single" w:sz="12" w:space="0" w:color="95D600"/>
            </w:tcBorders>
            <w:shd w:val="clear" w:color="auto" w:fill="FFFFFF"/>
            <w:hideMark/>
          </w:tcPr>
          <w:p w14:paraId="0A45C427" w14:textId="77777777" w:rsidR="00E01C42" w:rsidRPr="00971600" w:rsidRDefault="000F3294" w:rsidP="008C0AC4">
            <w:pPr>
              <w:spacing w:before="40" w:after="40"/>
              <w:jc w:val="center"/>
            </w:pPr>
            <w:r>
              <w:t>0.32</w:t>
            </w:r>
            <w:r w:rsidR="00E01C42" w:rsidRPr="00971600">
              <w:t>%</w:t>
            </w:r>
          </w:p>
        </w:tc>
        <w:tc>
          <w:tcPr>
            <w:tcW w:w="1121" w:type="dxa"/>
            <w:tcBorders>
              <w:top w:val="single" w:sz="12" w:space="0" w:color="95D600"/>
            </w:tcBorders>
            <w:shd w:val="clear" w:color="auto" w:fill="FFFFFF"/>
            <w:hideMark/>
          </w:tcPr>
          <w:p w14:paraId="3182C244" w14:textId="77777777" w:rsidR="00E01C42" w:rsidRPr="00971600" w:rsidRDefault="000F3294" w:rsidP="008C0AC4">
            <w:pPr>
              <w:spacing w:before="40" w:after="40"/>
              <w:jc w:val="center"/>
            </w:pPr>
            <w:r>
              <w:t>0</w:t>
            </w:r>
          </w:p>
        </w:tc>
        <w:tc>
          <w:tcPr>
            <w:tcW w:w="960" w:type="dxa"/>
            <w:tcBorders>
              <w:top w:val="single" w:sz="12" w:space="0" w:color="95D600"/>
            </w:tcBorders>
            <w:shd w:val="clear" w:color="auto" w:fill="FFFFFF"/>
            <w:hideMark/>
          </w:tcPr>
          <w:p w14:paraId="00638A17" w14:textId="77777777" w:rsidR="00E01C42" w:rsidRPr="00971600" w:rsidRDefault="00E01C42" w:rsidP="008C0AC4">
            <w:pPr>
              <w:spacing w:before="40" w:after="40"/>
              <w:jc w:val="center"/>
            </w:pPr>
            <w:r w:rsidRPr="00971600">
              <w:t xml:space="preserve">$0.20 </w:t>
            </w:r>
          </w:p>
        </w:tc>
        <w:tc>
          <w:tcPr>
            <w:tcW w:w="1106" w:type="dxa"/>
            <w:tcBorders>
              <w:top w:val="single" w:sz="12" w:space="0" w:color="95D600"/>
            </w:tcBorders>
            <w:shd w:val="clear" w:color="auto" w:fill="FFFFFF"/>
            <w:hideMark/>
          </w:tcPr>
          <w:p w14:paraId="05B5509A" w14:textId="77777777" w:rsidR="00E01C42" w:rsidRPr="00D11078" w:rsidRDefault="00E01C42" w:rsidP="008C0AC4">
            <w:pPr>
              <w:spacing w:before="40" w:after="40"/>
              <w:jc w:val="center"/>
              <w:rPr>
                <w:highlight w:val="red"/>
              </w:rPr>
            </w:pPr>
            <w:r w:rsidRPr="00971600">
              <w:t>$6.12</w:t>
            </w:r>
          </w:p>
        </w:tc>
        <w:tc>
          <w:tcPr>
            <w:tcW w:w="1700" w:type="dxa"/>
            <w:tcBorders>
              <w:top w:val="single" w:sz="12" w:space="0" w:color="95D600"/>
            </w:tcBorders>
            <w:shd w:val="clear" w:color="auto" w:fill="FFFFFF"/>
            <w:hideMark/>
          </w:tcPr>
          <w:p w14:paraId="17E1D8ED" w14:textId="77777777" w:rsidR="00E01C42" w:rsidRPr="00971600" w:rsidRDefault="00E01C42" w:rsidP="008C0AC4">
            <w:pPr>
              <w:spacing w:before="40" w:after="40"/>
              <w:jc w:val="center"/>
            </w:pPr>
            <w:r w:rsidRPr="00971600">
              <w:t>0.0001261</w:t>
            </w:r>
          </w:p>
        </w:tc>
      </w:tr>
    </w:tbl>
    <w:p w14:paraId="476D0FAC" w14:textId="77777777" w:rsidR="00E01C42" w:rsidRDefault="00E01C42" w:rsidP="00E01C42">
      <w:pPr>
        <w:spacing w:line="240" w:lineRule="auto"/>
        <w:rPr>
          <w:b/>
        </w:rPr>
      </w:pPr>
    </w:p>
    <w:p w14:paraId="3DFF1DE4" w14:textId="77777777" w:rsidR="00E01C42" w:rsidRDefault="00E01C42" w:rsidP="00E01C42">
      <w:pPr>
        <w:keepNext/>
        <w:rPr>
          <w:b/>
        </w:rPr>
      </w:pPr>
      <w:r w:rsidRPr="00DF089C">
        <w:rPr>
          <w:b/>
        </w:rPr>
        <w:t>Assumptions and Methodology</w:t>
      </w:r>
    </w:p>
    <w:p w14:paraId="7F2A7696" w14:textId="77777777" w:rsidR="00E01C42" w:rsidRPr="00DF089C" w:rsidRDefault="00E01C42" w:rsidP="00E01C42">
      <w:pPr>
        <w:rPr>
          <w:b/>
        </w:rPr>
      </w:pPr>
    </w:p>
    <w:p w14:paraId="1B1452A1" w14:textId="77777777" w:rsidR="00E01C42" w:rsidRDefault="00E01C42" w:rsidP="00E01C42">
      <w:pPr>
        <w:rPr>
          <w:b/>
          <w:i/>
          <w:szCs w:val="20"/>
        </w:rPr>
      </w:pPr>
      <w:r w:rsidRPr="00DF089C">
        <w:rPr>
          <w:b/>
          <w:i/>
          <w:szCs w:val="20"/>
        </w:rPr>
        <w:t>Eligibility and Participation</w:t>
      </w:r>
    </w:p>
    <w:p w14:paraId="75B2A0F5" w14:textId="77777777" w:rsidR="00E01C42" w:rsidRDefault="00E01C42" w:rsidP="00E01C42">
      <w:r w:rsidRPr="00B11C52">
        <w:t>BERs</w:t>
      </w:r>
      <w:r>
        <w:t xml:space="preserve"> typically</w:t>
      </w:r>
      <w:r w:rsidRPr="00B11C52">
        <w:t xml:space="preserve"> target small</w:t>
      </w:r>
      <w:r>
        <w:t xml:space="preserve"> and/or </w:t>
      </w:r>
      <w:r w:rsidRPr="00B11C52">
        <w:t>medium sized businesses</w:t>
      </w:r>
      <w:r>
        <w:t>.</w:t>
      </w:r>
      <w:r w:rsidRPr="00B11C52">
        <w:t xml:space="preserve"> </w:t>
      </w:r>
      <w:r>
        <w:t>In addition, utilities may use BERs to target businesses across all business sectors or only a select set of business sectors. As the number of BERs pilots continues to grow, a greater amount of information about the effectiveness of BERs programs in different business sectors will become available. As information concerning the effectiveness of these programs in different business sectors becomes more readily available, we assume that utilities will be more likely to limit the use of BERs to those sectors for which significant savings have been documented. Therefore, the model presented here constrains our savings estimates to those business sectors that have already achieved significant energy savings by means of business energy feedback programs such as BERs.</w:t>
      </w:r>
    </w:p>
    <w:p w14:paraId="60D5D93A" w14:textId="77777777" w:rsidR="00E01C42" w:rsidRDefault="00E01C42" w:rsidP="00E01C42"/>
    <w:p w14:paraId="06FB7A96" w14:textId="77777777" w:rsidR="00E01C42" w:rsidRDefault="00E01C42" w:rsidP="00E01C42">
      <w:r>
        <w:t>The model includes businesses in the following sectors: retail, restaurants, lodging, and “other</w:t>
      </w:r>
      <w:r w:rsidRPr="00B11C52">
        <w:t>.</w:t>
      </w:r>
      <w:r>
        <w:t>” Within each of these business sectors, the applicability of savings is further constrained by the estimated proportion of business customers in each of the relevant sectors that may be classified as either small or medium sized enterprises (given that BER type programs are typically limited to small to medium sized businesses).</w:t>
      </w:r>
      <w:r w:rsidRPr="00B11C52">
        <w:t xml:space="preserve"> </w:t>
      </w:r>
      <w:r>
        <w:t>Based on data from the Commercial Building Energy Consumption Survey</w:t>
      </w:r>
      <w:r w:rsidRPr="00B11C52">
        <w:t xml:space="preserve"> </w:t>
      </w:r>
      <w:r>
        <w:t>(</w:t>
      </w:r>
      <w:r w:rsidRPr="00B11C52">
        <w:t>CBECS</w:t>
      </w:r>
      <w:r>
        <w:t>),</w:t>
      </w:r>
      <w:r w:rsidRPr="00B11C52">
        <w:t xml:space="preserve"> </w:t>
      </w:r>
      <w:r>
        <w:t xml:space="preserve">we estimated that roughly 63% of retail customers can be considered to be small or medium businesses </w:t>
      </w:r>
      <w:r>
        <w:lastRenderedPageBreak/>
        <w:t xml:space="preserve">given that </w:t>
      </w:r>
      <w:r w:rsidRPr="00B11C52">
        <w:t>approximately 63% of retail space is</w:t>
      </w:r>
      <w:r>
        <w:t xml:space="preserve"> shown to be</w:t>
      </w:r>
      <w:r w:rsidRPr="00B11C52">
        <w:t xml:space="preserve"> </w:t>
      </w:r>
      <w:r>
        <w:t xml:space="preserve">under </w:t>
      </w:r>
      <w:r w:rsidRPr="00B11C52">
        <w:t>100,000 sq ft.</w:t>
      </w:r>
      <w:r>
        <w:rPr>
          <w:rStyle w:val="FootnoteReference"/>
        </w:rPr>
        <w:footnoteReference w:id="142"/>
      </w:r>
      <w:r w:rsidRPr="00B11C52">
        <w:t xml:space="preserve"> </w:t>
      </w:r>
      <w:r>
        <w:t>Given the small size of restaurants,</w:t>
      </w:r>
      <w:r w:rsidRPr="00B11C52">
        <w:t xml:space="preserve"> we </w:t>
      </w:r>
      <w:r>
        <w:t>assume</w:t>
      </w:r>
      <w:r w:rsidRPr="00B11C52">
        <w:t xml:space="preserve"> 100% applicability</w:t>
      </w:r>
      <w:r>
        <w:t xml:space="preserve"> for this sector</w:t>
      </w:r>
      <w:r w:rsidRPr="00B11C52">
        <w:t>.</w:t>
      </w:r>
      <w:r>
        <w:t xml:space="preserve"> </w:t>
      </w:r>
    </w:p>
    <w:p w14:paraId="789A9146" w14:textId="77777777" w:rsidR="00E01C42" w:rsidRDefault="00E01C42" w:rsidP="00E01C42"/>
    <w:p w14:paraId="5CC420E4" w14:textId="77777777" w:rsidR="00E01C42" w:rsidRDefault="00E01C42" w:rsidP="00E01C42">
      <w:r>
        <w:t>The Commonwealth Edison study specifically targeted medium sized businesses in the lodging and “other” sectors. Therefore, our savings estimates are only calculated for medium sized customers in the lodging and “other” categories based on relevant data from CBECS. For lodging, for example, we assume that 50% of lodging establishments can be considered medium-sized establishments based on CBECS data indicating that 50% of lodging establishments have an average annual energy consumption of 500,000 kWh or more per year. For businesses in the “other” category, we look at CBECS data to estimate the proportion of establishments that fall in the medium sized category (&lt;1m kWh per year). We estimate that 25% of buildings in the “other” category are using an average of 400,000 kWh per year.</w:t>
      </w:r>
    </w:p>
    <w:p w14:paraId="6B2EAB69" w14:textId="77777777" w:rsidR="00E01C42" w:rsidRPr="00B11C52" w:rsidRDefault="00E01C42" w:rsidP="00E01C42"/>
    <w:p w14:paraId="7872BA27" w14:textId="77777777" w:rsidR="00E01C42" w:rsidRPr="00B11C52" w:rsidRDefault="00E01C42" w:rsidP="00E01C42">
      <w:r w:rsidRPr="00B11C52">
        <w:t>Our projected penetration rates assume a delayed start for BERs with formal utility programs launching in 2019. Our reference scenario assumes 1% penetration in 2019 and ramps up at an additional 1% per year, reaching 12% by 2030. Under the aggressive scenario</w:t>
      </w:r>
      <w:r>
        <w:t>,</w:t>
      </w:r>
      <w:r w:rsidRPr="00B11C52">
        <w:t xml:space="preserve"> penetration begins at 2% in 2019 and ramps up at 2% per year, reaching 24% by 2030. </w:t>
      </w:r>
    </w:p>
    <w:p w14:paraId="645C504B" w14:textId="77777777" w:rsidR="00E01C42" w:rsidRPr="00065CEA" w:rsidRDefault="00E01C42" w:rsidP="00E01C42">
      <w:pPr>
        <w:rPr>
          <w:szCs w:val="20"/>
        </w:rPr>
      </w:pPr>
    </w:p>
    <w:p w14:paraId="44813D44" w14:textId="77777777" w:rsidR="00E01C42" w:rsidRDefault="00E01C42" w:rsidP="00E01C42">
      <w:pPr>
        <w:rPr>
          <w:szCs w:val="20"/>
        </w:rPr>
      </w:pPr>
      <w:r>
        <w:rPr>
          <w:b/>
          <w:i/>
          <w:szCs w:val="20"/>
        </w:rPr>
        <w:t>Savings</w:t>
      </w:r>
    </w:p>
    <w:p w14:paraId="2D182263" w14:textId="77777777" w:rsidR="00E01C42" w:rsidRPr="00B11C52" w:rsidRDefault="006E1FE3" w:rsidP="00E01C42">
      <w:r>
        <w:t>The model uses e</w:t>
      </w:r>
      <w:r w:rsidR="00E01C42" w:rsidRPr="00B11C52">
        <w:t xml:space="preserve">lectricity savings of </w:t>
      </w:r>
      <w:r w:rsidR="000F3294">
        <w:t>0.32</w:t>
      </w:r>
      <w:r w:rsidR="00E01C42" w:rsidRPr="00B11C52">
        <w:t>%</w:t>
      </w:r>
      <w:r w:rsidR="00724837">
        <w:t xml:space="preserve">, </w:t>
      </w:r>
      <w:r w:rsidR="000F3294">
        <w:t xml:space="preserve">no </w:t>
      </w:r>
      <w:r w:rsidR="00E01C42" w:rsidRPr="00B11C52">
        <w:t>gas savings</w:t>
      </w:r>
      <w:r w:rsidR="00724837">
        <w:t>,</w:t>
      </w:r>
      <w:r w:rsidR="00724837">
        <w:rPr>
          <w:rStyle w:val="FootnoteReference"/>
        </w:rPr>
        <w:footnoteReference w:id="143"/>
      </w:r>
      <w:r w:rsidR="00724837">
        <w:t xml:space="preserve"> and</w:t>
      </w:r>
      <w:r w:rsidR="00E01C42" w:rsidRPr="00B11C52">
        <w:t xml:space="preserve"> an EUL of </w:t>
      </w:r>
      <w:r w:rsidR="00E01C42">
        <w:t>two</w:t>
      </w:r>
      <w:r w:rsidR="00E01C42" w:rsidRPr="00B11C52">
        <w:t xml:space="preserve"> year</w:t>
      </w:r>
      <w:r w:rsidR="00E01C42">
        <w:t>s per CPUC Decision 16-08-019</w:t>
      </w:r>
      <w:r w:rsidR="00E01C42" w:rsidRPr="00B11C52">
        <w:t>. Because no demand savings data was available for BERs, we averaged the ratio of kW to kWh savings calculated for BEIMS, BOC, and Strategic Energy Management. This yielded 0.0001261, which is the figure used for all four utilities.</w:t>
      </w:r>
    </w:p>
    <w:p w14:paraId="11EBEAC9" w14:textId="77777777" w:rsidR="00E01C42" w:rsidRDefault="00E01C42" w:rsidP="00E01C42">
      <w:pPr>
        <w:spacing w:line="240" w:lineRule="auto"/>
        <w:rPr>
          <w:b/>
          <w:i/>
          <w:szCs w:val="20"/>
        </w:rPr>
      </w:pPr>
    </w:p>
    <w:p w14:paraId="229AEB0D" w14:textId="77777777" w:rsidR="00E01C42" w:rsidRDefault="00E01C42" w:rsidP="00E01C42">
      <w:pPr>
        <w:keepNext/>
        <w:rPr>
          <w:szCs w:val="20"/>
        </w:rPr>
      </w:pPr>
      <w:r w:rsidRPr="00DF089C">
        <w:rPr>
          <w:b/>
          <w:i/>
          <w:szCs w:val="20"/>
        </w:rPr>
        <w:t>Cost</w:t>
      </w:r>
    </w:p>
    <w:p w14:paraId="2C3816E2" w14:textId="77777777" w:rsidR="00E01C42" w:rsidRPr="00B11C52" w:rsidRDefault="00E01C42" w:rsidP="00E01C42">
      <w:r w:rsidRPr="00B11C52">
        <w:t xml:space="preserve">Because BER programs are new </w:t>
      </w:r>
      <w:r>
        <w:t>and in pilot phases, data regarding utility costs is scant</w:t>
      </w:r>
      <w:r w:rsidRPr="00B11C52">
        <w:t>. Furthermore, the limited availability of statistically significant adjusted savings percentages reported to</w:t>
      </w:r>
      <w:r>
        <w:t>-</w:t>
      </w:r>
      <w:r w:rsidRPr="00B11C52">
        <w:t>date indicate</w:t>
      </w:r>
      <w:r>
        <w:t>s</w:t>
      </w:r>
      <w:r w:rsidRPr="00B11C52">
        <w:t xml:space="preserve"> that BER-related savings are lower among businesses than household savings produced by HERs. For these reasons, we modeled BER costs that are double those of HERs. We proj</w:t>
      </w:r>
      <w:r>
        <w:t>ect $0.20 per kWh (2 x $0.10) for electric savings for</w:t>
      </w:r>
      <w:r w:rsidRPr="00B11C52">
        <w:t xml:space="preserve"> PG&amp;E, SCE, and SDG&amp;E. </w:t>
      </w:r>
    </w:p>
    <w:p w14:paraId="7ED2A8AD" w14:textId="77777777" w:rsidR="00E01C42" w:rsidRPr="004952CD" w:rsidRDefault="00E01C42" w:rsidP="000F3294">
      <w:pPr>
        <w:pStyle w:val="Heading6"/>
        <w:numPr>
          <w:ilvl w:val="5"/>
          <w:numId w:val="8"/>
        </w:numPr>
        <w:ind w:left="0" w:firstLine="0"/>
      </w:pPr>
      <w:bookmarkStart w:id="959" w:name="_Toc480271813"/>
      <w:bookmarkStart w:id="960" w:name="_Toc484183070"/>
      <w:bookmarkStart w:id="961" w:name="_Toc485126591"/>
      <w:r>
        <w:t xml:space="preserve">Commercial - </w:t>
      </w:r>
      <w:r w:rsidRPr="004952CD">
        <w:t>Benchmarking</w:t>
      </w:r>
      <w:bookmarkEnd w:id="959"/>
      <w:bookmarkEnd w:id="960"/>
      <w:bookmarkEnd w:id="961"/>
    </w:p>
    <w:p w14:paraId="729DE71C" w14:textId="77777777" w:rsidR="00E01C42" w:rsidRPr="004952CD" w:rsidRDefault="00E01C42" w:rsidP="00122CD3">
      <w:pPr>
        <w:keepNext/>
        <w:rPr>
          <w:b/>
        </w:rPr>
      </w:pPr>
      <w:r w:rsidRPr="004952CD">
        <w:rPr>
          <w:b/>
        </w:rPr>
        <w:t xml:space="preserve">Summary </w:t>
      </w:r>
    </w:p>
    <w:p w14:paraId="2EB81D87" w14:textId="77777777" w:rsidR="00E01C42" w:rsidRDefault="00E01C42" w:rsidP="00E01C42">
      <w:pPr>
        <w:rPr>
          <w:szCs w:val="20"/>
        </w:rPr>
      </w:pPr>
    </w:p>
    <w:p w14:paraId="68517D5C" w14:textId="77777777" w:rsidR="00E01C42" w:rsidRPr="004952CD" w:rsidRDefault="00E01C42" w:rsidP="00E01C42">
      <w:pPr>
        <w:rPr>
          <w:szCs w:val="20"/>
        </w:rPr>
      </w:pPr>
      <w:r w:rsidRPr="004952CD">
        <w:rPr>
          <w:szCs w:val="20"/>
        </w:rPr>
        <w:t>Building benchmarking scores a business customer’s facility or plant and compares it to other peer facilities based upon energy consumption. It also often includes goal</w:t>
      </w:r>
      <w:r>
        <w:rPr>
          <w:szCs w:val="20"/>
        </w:rPr>
        <w:t>-</w:t>
      </w:r>
      <w:r w:rsidRPr="004952CD">
        <w:rPr>
          <w:szCs w:val="20"/>
        </w:rPr>
        <w:t>setting and rewards in the form of recognition. Benchmarking is genera</w:t>
      </w:r>
      <w:r>
        <w:rPr>
          <w:szCs w:val="20"/>
        </w:rPr>
        <w:t>lly an opt-</w:t>
      </w:r>
      <w:r w:rsidRPr="004952CD">
        <w:rPr>
          <w:szCs w:val="20"/>
        </w:rPr>
        <w:t xml:space="preserve">in activity, although some municipalities, such as San Francisco, have passed ordinances requiring it for buildings of certain types and sizes. </w:t>
      </w:r>
    </w:p>
    <w:p w14:paraId="194330E7" w14:textId="77777777" w:rsidR="00E01C42" w:rsidRPr="0097738B" w:rsidRDefault="00E01C42" w:rsidP="00E01C42">
      <w:pPr>
        <w:rPr>
          <w:szCs w:val="20"/>
        </w:rPr>
      </w:pPr>
    </w:p>
    <w:p w14:paraId="41B7D8C6" w14:textId="77777777" w:rsidR="00E01C42" w:rsidRPr="0097738B" w:rsidRDefault="00E01C42" w:rsidP="00E01C42">
      <w:pPr>
        <w:rPr>
          <w:szCs w:val="20"/>
        </w:rPr>
      </w:pPr>
      <w:r w:rsidRPr="0097738B">
        <w:rPr>
          <w:szCs w:val="20"/>
        </w:rPr>
        <w:t>Estimated e</w:t>
      </w:r>
      <w:r>
        <w:rPr>
          <w:szCs w:val="20"/>
        </w:rPr>
        <w:t xml:space="preserve">lectric savings range from 1.1% to </w:t>
      </w:r>
      <w:r w:rsidRPr="0097738B">
        <w:rPr>
          <w:szCs w:val="20"/>
        </w:rPr>
        <w:t xml:space="preserve">2.2%, </w:t>
      </w:r>
      <w:r>
        <w:rPr>
          <w:szCs w:val="20"/>
        </w:rPr>
        <w:t xml:space="preserve">while gas savings are 0.7% to 1.3%. These </w:t>
      </w:r>
      <w:r w:rsidRPr="0097738B">
        <w:rPr>
          <w:szCs w:val="20"/>
        </w:rPr>
        <w:t xml:space="preserve">are applied consistently </w:t>
      </w:r>
      <w:r w:rsidR="000922F6" w:rsidRPr="0097738B">
        <w:rPr>
          <w:szCs w:val="20"/>
        </w:rPr>
        <w:t>across utili</w:t>
      </w:r>
      <w:r w:rsidR="000922F6">
        <w:rPr>
          <w:szCs w:val="20"/>
        </w:rPr>
        <w:t xml:space="preserve">ties, but vary </w:t>
      </w:r>
      <w:r w:rsidRPr="0097738B">
        <w:rPr>
          <w:szCs w:val="20"/>
        </w:rPr>
        <w:t>by building type</w:t>
      </w:r>
      <w:r>
        <w:rPr>
          <w:szCs w:val="20"/>
        </w:rPr>
        <w:t xml:space="preserve">. Costs were estimated to be $0.0396 per kWh and </w:t>
      </w:r>
      <w:r w:rsidRPr="0097738B">
        <w:rPr>
          <w:szCs w:val="20"/>
        </w:rPr>
        <w:t>$0.</w:t>
      </w:r>
      <w:r>
        <w:rPr>
          <w:szCs w:val="20"/>
        </w:rPr>
        <w:t>2352</w:t>
      </w:r>
      <w:r w:rsidRPr="0097738B">
        <w:rPr>
          <w:szCs w:val="20"/>
        </w:rPr>
        <w:t xml:space="preserve"> </w:t>
      </w:r>
      <w:r>
        <w:rPr>
          <w:szCs w:val="20"/>
        </w:rPr>
        <w:t xml:space="preserve">per </w:t>
      </w:r>
      <w:r w:rsidRPr="0097738B">
        <w:rPr>
          <w:szCs w:val="20"/>
        </w:rPr>
        <w:t xml:space="preserve">therm and are </w:t>
      </w:r>
      <w:r>
        <w:rPr>
          <w:szCs w:val="20"/>
        </w:rPr>
        <w:t xml:space="preserve">not </w:t>
      </w:r>
      <w:r w:rsidRPr="0097738B">
        <w:rPr>
          <w:szCs w:val="20"/>
        </w:rPr>
        <w:t xml:space="preserve">utility specific. </w:t>
      </w:r>
    </w:p>
    <w:p w14:paraId="4503E903" w14:textId="77777777" w:rsidR="00E01C42" w:rsidRDefault="00E01C42" w:rsidP="00E01C42"/>
    <w:p w14:paraId="420F0410" w14:textId="77777777" w:rsidR="00E01C42" w:rsidRPr="00B57F57" w:rsidRDefault="004675B4" w:rsidP="00E01C42">
      <w:pPr>
        <w:pStyle w:val="Caption"/>
        <w:rPr>
          <w:b w:val="0"/>
          <w:szCs w:val="24"/>
        </w:rPr>
      </w:pPr>
      <w:bookmarkStart w:id="962" w:name="_Toc485125609"/>
      <w:r>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8</w:t>
      </w:r>
      <w:r w:rsidR="00272F76">
        <w:rPr>
          <w:noProof/>
        </w:rPr>
        <w:fldChar w:fldCharType="end"/>
      </w:r>
      <w:r>
        <w:t xml:space="preserve">. </w:t>
      </w:r>
      <w:r w:rsidR="00E01C42">
        <w:t>Benchmarking - Key Assumptions</w:t>
      </w:r>
      <w:bookmarkEnd w:id="962"/>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E01C42" w:rsidRPr="00C057BD" w14:paraId="59EA5936"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551BA9D6"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214F5049"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7AC7B651"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5AAA2B4C"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4D4BF5C6"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76208DBC"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C057BD" w14:paraId="5DE3CC01" w14:textId="77777777" w:rsidTr="008C0AC4">
        <w:trPr>
          <w:cantSplit/>
          <w:trHeight w:val="144"/>
          <w:jc w:val="center"/>
        </w:trPr>
        <w:tc>
          <w:tcPr>
            <w:tcW w:w="1120" w:type="dxa"/>
            <w:vMerge/>
            <w:tcBorders>
              <w:bottom w:val="single" w:sz="12" w:space="0" w:color="95D600"/>
            </w:tcBorders>
            <w:shd w:val="clear" w:color="auto" w:fill="auto"/>
            <w:hideMark/>
          </w:tcPr>
          <w:p w14:paraId="0E6D4676" w14:textId="77777777" w:rsidR="00E01C42" w:rsidRPr="00C057BD" w:rsidRDefault="00E01C42" w:rsidP="008C0AC4">
            <w:pPr>
              <w:spacing w:before="40" w:after="40"/>
              <w:jc w:val="center"/>
            </w:pPr>
          </w:p>
        </w:tc>
        <w:tc>
          <w:tcPr>
            <w:tcW w:w="1524" w:type="dxa"/>
            <w:vMerge/>
            <w:tcBorders>
              <w:bottom w:val="single" w:sz="12" w:space="0" w:color="95D600"/>
            </w:tcBorders>
            <w:shd w:val="clear" w:color="auto" w:fill="auto"/>
            <w:hideMark/>
          </w:tcPr>
          <w:p w14:paraId="1134C82E" w14:textId="77777777" w:rsidR="00E01C42" w:rsidRPr="00C057BD" w:rsidRDefault="00E01C42" w:rsidP="008C0AC4">
            <w:pPr>
              <w:spacing w:before="40" w:after="40"/>
              <w:jc w:val="center"/>
            </w:pPr>
          </w:p>
        </w:tc>
        <w:tc>
          <w:tcPr>
            <w:tcW w:w="1002" w:type="dxa"/>
            <w:vMerge/>
            <w:tcBorders>
              <w:bottom w:val="single" w:sz="12" w:space="0" w:color="95D600"/>
            </w:tcBorders>
            <w:shd w:val="clear" w:color="auto" w:fill="555759"/>
            <w:hideMark/>
          </w:tcPr>
          <w:p w14:paraId="30F03FBD" w14:textId="77777777" w:rsidR="00E01C42" w:rsidRPr="00C057BD"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0BCA03E4"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6003E737"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10CA1B53"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3486F9AC"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39251001" w14:textId="77777777" w:rsidR="00E01C42" w:rsidRPr="00C057BD" w:rsidRDefault="00E01C42" w:rsidP="008C0AC4">
            <w:pPr>
              <w:spacing w:before="40" w:after="40"/>
              <w:jc w:val="center"/>
            </w:pPr>
          </w:p>
        </w:tc>
      </w:tr>
      <w:tr w:rsidR="00E01C42" w:rsidRPr="00C057BD" w14:paraId="1754B4E9" w14:textId="77777777" w:rsidTr="008C0AC4">
        <w:trPr>
          <w:cantSplit/>
          <w:trHeight w:val="738"/>
          <w:jc w:val="center"/>
        </w:trPr>
        <w:tc>
          <w:tcPr>
            <w:tcW w:w="1120" w:type="dxa"/>
            <w:tcBorders>
              <w:top w:val="single" w:sz="12" w:space="0" w:color="95D600"/>
            </w:tcBorders>
            <w:shd w:val="clear" w:color="auto" w:fill="FFFFFF"/>
            <w:hideMark/>
          </w:tcPr>
          <w:p w14:paraId="071633CF" w14:textId="77777777" w:rsidR="00E01C42" w:rsidRPr="00C057BD" w:rsidRDefault="00E01C42" w:rsidP="008C0AC4">
            <w:pPr>
              <w:spacing w:before="40" w:after="40"/>
              <w:jc w:val="center"/>
            </w:pPr>
            <w:r w:rsidRPr="00C057BD">
              <w:t>COM</w:t>
            </w:r>
          </w:p>
        </w:tc>
        <w:tc>
          <w:tcPr>
            <w:tcW w:w="1524" w:type="dxa"/>
            <w:tcBorders>
              <w:top w:val="single" w:sz="12" w:space="0" w:color="95D600"/>
            </w:tcBorders>
            <w:shd w:val="clear" w:color="auto" w:fill="FFFFFF"/>
            <w:hideMark/>
          </w:tcPr>
          <w:p w14:paraId="79CE3FD2" w14:textId="77777777" w:rsidR="00E01C42" w:rsidRPr="00C057BD" w:rsidRDefault="00E01C42" w:rsidP="008C0AC4">
            <w:pPr>
              <w:spacing w:before="40" w:after="40"/>
              <w:jc w:val="center"/>
            </w:pPr>
            <w:r w:rsidRPr="00C057BD">
              <w:t>Building Benchmarking</w:t>
            </w:r>
          </w:p>
        </w:tc>
        <w:tc>
          <w:tcPr>
            <w:tcW w:w="1002" w:type="dxa"/>
            <w:tcBorders>
              <w:top w:val="single" w:sz="12" w:space="0" w:color="95D600"/>
            </w:tcBorders>
            <w:shd w:val="clear" w:color="auto" w:fill="FFFFFF"/>
            <w:hideMark/>
          </w:tcPr>
          <w:p w14:paraId="78736142" w14:textId="77777777" w:rsidR="00E01C42" w:rsidRPr="00C057BD" w:rsidRDefault="00E01C42" w:rsidP="008C0AC4">
            <w:pPr>
              <w:spacing w:before="40" w:after="40"/>
              <w:jc w:val="center"/>
            </w:pPr>
            <w:r>
              <w:t>2</w:t>
            </w:r>
          </w:p>
        </w:tc>
        <w:tc>
          <w:tcPr>
            <w:tcW w:w="949" w:type="dxa"/>
            <w:tcBorders>
              <w:top w:val="single" w:sz="12" w:space="0" w:color="95D600"/>
            </w:tcBorders>
            <w:shd w:val="clear" w:color="auto" w:fill="FFFFFF"/>
            <w:hideMark/>
          </w:tcPr>
          <w:p w14:paraId="7D67187C" w14:textId="77777777" w:rsidR="00E01C42" w:rsidRPr="00C057BD" w:rsidRDefault="00E01C42" w:rsidP="008C0AC4">
            <w:pPr>
              <w:spacing w:before="40" w:after="40"/>
              <w:jc w:val="center"/>
            </w:pPr>
            <w:r w:rsidRPr="00C057BD">
              <w:t>1.1%-2.2%</w:t>
            </w:r>
          </w:p>
        </w:tc>
        <w:tc>
          <w:tcPr>
            <w:tcW w:w="1121" w:type="dxa"/>
            <w:tcBorders>
              <w:top w:val="single" w:sz="12" w:space="0" w:color="95D600"/>
            </w:tcBorders>
            <w:shd w:val="clear" w:color="auto" w:fill="FFFFFF"/>
            <w:hideMark/>
          </w:tcPr>
          <w:p w14:paraId="77234275" w14:textId="77777777" w:rsidR="00E01C42" w:rsidRPr="00C057BD" w:rsidRDefault="00E01C42" w:rsidP="008C0AC4">
            <w:pPr>
              <w:spacing w:before="40" w:after="40"/>
              <w:jc w:val="center"/>
            </w:pPr>
            <w:r w:rsidRPr="00C057BD">
              <w:t>0.7%-1.3%</w:t>
            </w:r>
          </w:p>
        </w:tc>
        <w:tc>
          <w:tcPr>
            <w:tcW w:w="960" w:type="dxa"/>
            <w:tcBorders>
              <w:top w:val="single" w:sz="12" w:space="0" w:color="95D600"/>
            </w:tcBorders>
            <w:shd w:val="clear" w:color="auto" w:fill="FFFFFF"/>
            <w:hideMark/>
          </w:tcPr>
          <w:p w14:paraId="1EB9749F" w14:textId="77777777" w:rsidR="00E01C42" w:rsidRPr="00C057BD" w:rsidRDefault="00E01C42" w:rsidP="008C0AC4">
            <w:pPr>
              <w:spacing w:before="40" w:after="40"/>
              <w:jc w:val="center"/>
            </w:pPr>
            <w:r>
              <w:t>$0.0396</w:t>
            </w:r>
          </w:p>
        </w:tc>
        <w:tc>
          <w:tcPr>
            <w:tcW w:w="1106" w:type="dxa"/>
            <w:tcBorders>
              <w:top w:val="single" w:sz="12" w:space="0" w:color="95D600"/>
            </w:tcBorders>
            <w:shd w:val="clear" w:color="auto" w:fill="FFFFFF"/>
            <w:hideMark/>
          </w:tcPr>
          <w:p w14:paraId="4BBBC3D0" w14:textId="77777777" w:rsidR="00E01C42" w:rsidRPr="00D11078" w:rsidRDefault="00E01C42" w:rsidP="008C0AC4">
            <w:pPr>
              <w:spacing w:before="40" w:after="40"/>
              <w:jc w:val="center"/>
              <w:rPr>
                <w:highlight w:val="red"/>
              </w:rPr>
            </w:pPr>
            <w:r w:rsidRPr="00C057BD">
              <w:t>$0.</w:t>
            </w:r>
            <w:r>
              <w:t>2352</w:t>
            </w:r>
            <w:r w:rsidRPr="00D11078">
              <w:rPr>
                <w:highlight w:val="red"/>
              </w:rPr>
              <w:t xml:space="preserve"> </w:t>
            </w:r>
          </w:p>
        </w:tc>
        <w:tc>
          <w:tcPr>
            <w:tcW w:w="1700" w:type="dxa"/>
            <w:tcBorders>
              <w:top w:val="single" w:sz="12" w:space="0" w:color="95D600"/>
            </w:tcBorders>
            <w:shd w:val="clear" w:color="auto" w:fill="FFFFFF"/>
            <w:hideMark/>
          </w:tcPr>
          <w:p w14:paraId="7D53EA69" w14:textId="77777777" w:rsidR="00E01C42" w:rsidRPr="00C057BD" w:rsidRDefault="00E01C42" w:rsidP="008C0AC4">
            <w:pPr>
              <w:spacing w:before="40" w:after="40"/>
              <w:jc w:val="center"/>
            </w:pPr>
            <w:r w:rsidRPr="00C057BD">
              <w:t>0.0001261</w:t>
            </w:r>
          </w:p>
        </w:tc>
      </w:tr>
    </w:tbl>
    <w:p w14:paraId="27ACFE60" w14:textId="77777777" w:rsidR="00E01C42" w:rsidRDefault="00E01C42" w:rsidP="00E01C42">
      <w:pPr>
        <w:rPr>
          <w:rFonts w:ascii="Times New Roman" w:hAnsi="Times New Roman"/>
        </w:rPr>
      </w:pPr>
    </w:p>
    <w:p w14:paraId="32A77767" w14:textId="77777777" w:rsidR="00E01C42" w:rsidRDefault="00E01C42" w:rsidP="00E01C42">
      <w:pPr>
        <w:rPr>
          <w:b/>
        </w:rPr>
      </w:pPr>
      <w:r w:rsidRPr="00DF089C">
        <w:rPr>
          <w:b/>
        </w:rPr>
        <w:t>Assumptions and Methodology</w:t>
      </w:r>
    </w:p>
    <w:p w14:paraId="5D9C6BAE" w14:textId="77777777" w:rsidR="00E01C42" w:rsidRPr="00DF089C" w:rsidRDefault="00E01C42" w:rsidP="00E01C42">
      <w:pPr>
        <w:rPr>
          <w:b/>
        </w:rPr>
      </w:pPr>
    </w:p>
    <w:p w14:paraId="54DBD411" w14:textId="77777777" w:rsidR="00E01C42" w:rsidRDefault="00E01C42" w:rsidP="00E01C42">
      <w:pPr>
        <w:rPr>
          <w:b/>
          <w:i/>
          <w:szCs w:val="20"/>
        </w:rPr>
      </w:pPr>
      <w:r w:rsidRPr="00DF089C">
        <w:rPr>
          <w:b/>
          <w:i/>
          <w:szCs w:val="20"/>
        </w:rPr>
        <w:t>Eligibility and Participation</w:t>
      </w:r>
    </w:p>
    <w:p w14:paraId="1063728F" w14:textId="77777777" w:rsidR="00E01C42" w:rsidRDefault="00E01C42" w:rsidP="00E01C42">
      <w:pPr>
        <w:rPr>
          <w:szCs w:val="20"/>
        </w:rPr>
      </w:pPr>
      <w:r w:rsidRPr="0097738B">
        <w:rPr>
          <w:szCs w:val="20"/>
        </w:rPr>
        <w:t>In San Francisco</w:t>
      </w:r>
      <w:r>
        <w:rPr>
          <w:szCs w:val="20"/>
        </w:rPr>
        <w:t>,</w:t>
      </w:r>
      <w:r w:rsidRPr="0097738B">
        <w:rPr>
          <w:szCs w:val="20"/>
        </w:rPr>
        <w:t xml:space="preserve"> there is a benchmarking ordinance for any building over 10,000 sq</w:t>
      </w:r>
      <w:r>
        <w:rPr>
          <w:szCs w:val="20"/>
        </w:rPr>
        <w:t>.</w:t>
      </w:r>
      <w:r w:rsidRPr="0097738B">
        <w:rPr>
          <w:szCs w:val="20"/>
        </w:rPr>
        <w:t xml:space="preserve"> ft. According to the EIA</w:t>
      </w:r>
      <w:r>
        <w:rPr>
          <w:szCs w:val="20"/>
        </w:rPr>
        <w:t>,</w:t>
      </w:r>
      <w:r w:rsidRPr="0097738B">
        <w:rPr>
          <w:szCs w:val="20"/>
        </w:rPr>
        <w:t xml:space="preserve"> approximately 20% of all commercial buildings are under 10,000 sq</w:t>
      </w:r>
      <w:r>
        <w:rPr>
          <w:szCs w:val="20"/>
        </w:rPr>
        <w:t>.</w:t>
      </w:r>
      <w:r w:rsidRPr="0097738B">
        <w:rPr>
          <w:szCs w:val="20"/>
        </w:rPr>
        <w:t xml:space="preserve"> ft.</w:t>
      </w:r>
      <w:r w:rsidR="0020306B">
        <w:rPr>
          <w:rStyle w:val="FootnoteReference"/>
          <w:szCs w:val="20"/>
        </w:rPr>
        <w:footnoteReference w:id="144"/>
      </w:r>
      <w:r w:rsidR="0020306B">
        <w:rPr>
          <w:szCs w:val="20"/>
        </w:rPr>
        <w:t xml:space="preserve"> </w:t>
      </w:r>
      <w:r w:rsidRPr="0097738B">
        <w:rPr>
          <w:szCs w:val="20"/>
        </w:rPr>
        <w:t>While any building and business type may be subject to benchmarking, reliable savings data exists for the following: colleges, healthcare, lodging, large offices, retail, and schools. For these sectors</w:t>
      </w:r>
      <w:r>
        <w:rPr>
          <w:szCs w:val="20"/>
        </w:rPr>
        <w:t>,</w:t>
      </w:r>
      <w:r w:rsidRPr="0097738B">
        <w:rPr>
          <w:szCs w:val="20"/>
        </w:rPr>
        <w:t xml:space="preserve"> we applied CBECS data to determine applicability.</w:t>
      </w:r>
      <w:r>
        <w:rPr>
          <w:rStyle w:val="FootnoteReference"/>
          <w:szCs w:val="20"/>
        </w:rPr>
        <w:footnoteReference w:id="145"/>
      </w:r>
      <w:r>
        <w:rPr>
          <w:szCs w:val="20"/>
        </w:rPr>
        <w:t xml:space="preserve"> For instance, we applied</w:t>
      </w:r>
      <w:r w:rsidRPr="0097738B">
        <w:rPr>
          <w:szCs w:val="20"/>
        </w:rPr>
        <w:t xml:space="preserve"> 100% applicability for both fuel types to colleges, while for retail we </w:t>
      </w:r>
      <w:r>
        <w:rPr>
          <w:szCs w:val="20"/>
        </w:rPr>
        <w:t>estimated</w:t>
      </w:r>
      <w:r w:rsidRPr="0097738B">
        <w:rPr>
          <w:szCs w:val="20"/>
        </w:rPr>
        <w:t xml:space="preserve"> 35% applicability since CBECS data </w:t>
      </w:r>
      <w:r>
        <w:rPr>
          <w:szCs w:val="20"/>
        </w:rPr>
        <w:t>indicates that roughly 35% of all retail buildings exceed 10,000 sq. ft. For health</w:t>
      </w:r>
      <w:r w:rsidRPr="0097738B">
        <w:rPr>
          <w:szCs w:val="20"/>
        </w:rPr>
        <w:t>care</w:t>
      </w:r>
      <w:r>
        <w:rPr>
          <w:szCs w:val="20"/>
        </w:rPr>
        <w:t>,</w:t>
      </w:r>
      <w:r w:rsidRPr="0097738B">
        <w:rPr>
          <w:szCs w:val="20"/>
        </w:rPr>
        <w:t xml:space="preserve"> we </w:t>
      </w:r>
      <w:r>
        <w:rPr>
          <w:szCs w:val="20"/>
        </w:rPr>
        <w:t>used CBECS data to ascertain the proportion of electricity and natural gas consumed by large inpatient facilities. This information suggests that roughly</w:t>
      </w:r>
      <w:r w:rsidRPr="0097738B">
        <w:rPr>
          <w:szCs w:val="20"/>
        </w:rPr>
        <w:t xml:space="preserve"> 69%</w:t>
      </w:r>
      <w:r>
        <w:rPr>
          <w:szCs w:val="20"/>
        </w:rPr>
        <w:t xml:space="preserve"> of all electricity and </w:t>
      </w:r>
      <w:r w:rsidRPr="0097738B">
        <w:rPr>
          <w:szCs w:val="20"/>
        </w:rPr>
        <w:t xml:space="preserve">83% </w:t>
      </w:r>
      <w:r>
        <w:rPr>
          <w:szCs w:val="20"/>
        </w:rPr>
        <w:t>of natural</w:t>
      </w:r>
      <w:r w:rsidRPr="0097738B">
        <w:rPr>
          <w:szCs w:val="20"/>
        </w:rPr>
        <w:t xml:space="preserve"> gas</w:t>
      </w:r>
      <w:r>
        <w:rPr>
          <w:szCs w:val="20"/>
        </w:rPr>
        <w:t xml:space="preserve"> used in the healthcare sector is consumed by large healthcare facilities.</w:t>
      </w:r>
      <w:r w:rsidRPr="0097738B">
        <w:rPr>
          <w:szCs w:val="20"/>
        </w:rPr>
        <w:t xml:space="preserve"> School applicability is assumed to be 90% after a 10% reduction to account for smaller private learning centers.</w:t>
      </w:r>
    </w:p>
    <w:p w14:paraId="522E9E62" w14:textId="77777777" w:rsidR="00E01C42" w:rsidRPr="0097738B" w:rsidRDefault="00E01C42" w:rsidP="00E01C42">
      <w:pPr>
        <w:rPr>
          <w:szCs w:val="20"/>
        </w:rPr>
      </w:pPr>
    </w:p>
    <w:p w14:paraId="617EE58C" w14:textId="77777777" w:rsidR="00E01C42" w:rsidRDefault="00E01C42" w:rsidP="00E01C42">
      <w:pPr>
        <w:rPr>
          <w:szCs w:val="20"/>
        </w:rPr>
      </w:pPr>
      <w:r w:rsidRPr="0097738B">
        <w:rPr>
          <w:szCs w:val="20"/>
        </w:rPr>
        <w:t>Pro</w:t>
      </w:r>
      <w:r>
        <w:rPr>
          <w:szCs w:val="20"/>
        </w:rPr>
        <w:t>jected penetration rates for the</w:t>
      </w:r>
      <w:r w:rsidRPr="0097738B">
        <w:rPr>
          <w:szCs w:val="20"/>
        </w:rPr>
        <w:t xml:space="preserve"> reference scenario assume a constant 0% for </w:t>
      </w:r>
      <w:r w:rsidR="00DC29A4">
        <w:rPr>
          <w:szCs w:val="20"/>
        </w:rPr>
        <w:t>all utilities to reflect uncertainty in whether the utilities will be able to claim savings from these initiatives if benchmarking is mandated by some level of government</w:t>
      </w:r>
      <w:r w:rsidRPr="0097738B">
        <w:rPr>
          <w:szCs w:val="20"/>
        </w:rPr>
        <w:t>. For the aggressive scenario, PG&amp;E begins with 7.</w:t>
      </w:r>
      <w:r w:rsidR="00DC29A4">
        <w:rPr>
          <w:szCs w:val="20"/>
        </w:rPr>
        <w:t>9</w:t>
      </w:r>
      <w:r w:rsidRPr="0097738B">
        <w:rPr>
          <w:szCs w:val="20"/>
        </w:rPr>
        <w:t>%</w:t>
      </w:r>
      <w:r w:rsidR="00DC29A4">
        <w:rPr>
          <w:szCs w:val="20"/>
        </w:rPr>
        <w:t xml:space="preserve"> penetration</w:t>
      </w:r>
      <w:r w:rsidRPr="0097738B">
        <w:rPr>
          <w:szCs w:val="20"/>
        </w:rPr>
        <w:t>, but then climbs to 15</w:t>
      </w:r>
      <w:r w:rsidR="00DC29A4">
        <w:rPr>
          <w:szCs w:val="20"/>
        </w:rPr>
        <w:t>.7</w:t>
      </w:r>
      <w:r w:rsidRPr="0097738B">
        <w:rPr>
          <w:szCs w:val="20"/>
        </w:rPr>
        <w:t>% in 2020 and 2</w:t>
      </w:r>
      <w:r w:rsidR="00DC29A4">
        <w:rPr>
          <w:szCs w:val="20"/>
        </w:rPr>
        <w:t>3.6</w:t>
      </w:r>
      <w:r w:rsidRPr="0097738B">
        <w:rPr>
          <w:szCs w:val="20"/>
        </w:rPr>
        <w:t xml:space="preserve">% in 2025. The </w:t>
      </w:r>
      <w:r>
        <w:rPr>
          <w:szCs w:val="20"/>
        </w:rPr>
        <w:t xml:space="preserve">aggressive scenario for the </w:t>
      </w:r>
      <w:r w:rsidRPr="0097738B">
        <w:rPr>
          <w:szCs w:val="20"/>
        </w:rPr>
        <w:t>other three utilities are 7.</w:t>
      </w:r>
      <w:r w:rsidR="00DC29A4">
        <w:rPr>
          <w:szCs w:val="20"/>
        </w:rPr>
        <w:t>9</w:t>
      </w:r>
      <w:r w:rsidRPr="0097738B">
        <w:rPr>
          <w:szCs w:val="20"/>
        </w:rPr>
        <w:t xml:space="preserve">% </w:t>
      </w:r>
      <w:r w:rsidR="00DC29A4">
        <w:rPr>
          <w:szCs w:val="20"/>
        </w:rPr>
        <w:t>in</w:t>
      </w:r>
      <w:r w:rsidRPr="0097738B">
        <w:rPr>
          <w:szCs w:val="20"/>
        </w:rPr>
        <w:t xml:space="preserve"> 2019 and 15</w:t>
      </w:r>
      <w:r w:rsidR="00DC29A4">
        <w:rPr>
          <w:szCs w:val="20"/>
        </w:rPr>
        <w:t>.7</w:t>
      </w:r>
      <w:r w:rsidRPr="0097738B">
        <w:rPr>
          <w:szCs w:val="20"/>
        </w:rPr>
        <w:t xml:space="preserve">% </w:t>
      </w:r>
      <w:r w:rsidR="00DC29A4">
        <w:rPr>
          <w:szCs w:val="20"/>
        </w:rPr>
        <w:t xml:space="preserve">starting in </w:t>
      </w:r>
      <w:r w:rsidRPr="0097738B">
        <w:rPr>
          <w:szCs w:val="20"/>
        </w:rPr>
        <w:t>2024.</w:t>
      </w:r>
    </w:p>
    <w:p w14:paraId="5C3924CB" w14:textId="77777777" w:rsidR="00E01C42" w:rsidRPr="0097738B" w:rsidRDefault="00E01C42" w:rsidP="00E01C42">
      <w:pPr>
        <w:rPr>
          <w:szCs w:val="20"/>
        </w:rPr>
      </w:pPr>
    </w:p>
    <w:p w14:paraId="17456008" w14:textId="77777777" w:rsidR="00E01C42" w:rsidRDefault="00E01C42" w:rsidP="00122CD3">
      <w:pPr>
        <w:keepNext/>
        <w:rPr>
          <w:szCs w:val="20"/>
        </w:rPr>
      </w:pPr>
      <w:r>
        <w:rPr>
          <w:b/>
          <w:i/>
          <w:szCs w:val="20"/>
        </w:rPr>
        <w:lastRenderedPageBreak/>
        <w:t>Savings</w:t>
      </w:r>
    </w:p>
    <w:p w14:paraId="5B81D60A" w14:textId="77777777" w:rsidR="00E01C42" w:rsidRDefault="00E01C42" w:rsidP="00122CD3">
      <w:pPr>
        <w:keepLines/>
        <w:rPr>
          <w:szCs w:val="20"/>
        </w:rPr>
      </w:pPr>
      <w:r w:rsidRPr="0097738B">
        <w:rPr>
          <w:szCs w:val="20"/>
        </w:rPr>
        <w:t>Estimated electric savings range from 1.1%</w:t>
      </w:r>
      <w:r>
        <w:rPr>
          <w:szCs w:val="20"/>
        </w:rPr>
        <w:t xml:space="preserve"> to </w:t>
      </w:r>
      <w:r w:rsidRPr="0097738B">
        <w:rPr>
          <w:szCs w:val="20"/>
        </w:rPr>
        <w:t xml:space="preserve">2.2%, while gas savings </w:t>
      </w:r>
      <w:r>
        <w:rPr>
          <w:szCs w:val="20"/>
        </w:rPr>
        <w:t xml:space="preserve">range from </w:t>
      </w:r>
      <w:r w:rsidRPr="0097738B">
        <w:rPr>
          <w:szCs w:val="20"/>
        </w:rPr>
        <w:t>0.7%</w:t>
      </w:r>
      <w:r>
        <w:rPr>
          <w:szCs w:val="20"/>
        </w:rPr>
        <w:t xml:space="preserve"> to </w:t>
      </w:r>
      <w:r w:rsidRPr="0097738B">
        <w:rPr>
          <w:szCs w:val="20"/>
        </w:rPr>
        <w:t>1.3% and are applied consistently by building and fuel type across utilities.</w:t>
      </w:r>
      <w:r>
        <w:rPr>
          <w:szCs w:val="20"/>
        </w:rPr>
        <w:t xml:space="preserve"> </w:t>
      </w:r>
      <w:r w:rsidRPr="0097738B">
        <w:rPr>
          <w:szCs w:val="20"/>
        </w:rPr>
        <w:t>Savings estimates are based on actual</w:t>
      </w:r>
      <w:r w:rsidR="000922F6">
        <w:rPr>
          <w:szCs w:val="20"/>
        </w:rPr>
        <w:t xml:space="preserve"> </w:t>
      </w:r>
      <w:r w:rsidRPr="0097738B">
        <w:rPr>
          <w:szCs w:val="20"/>
        </w:rPr>
        <w:t>savings levels from city benchmarking reports.</w:t>
      </w:r>
      <w:r>
        <w:rPr>
          <w:rStyle w:val="FootnoteReference"/>
          <w:szCs w:val="20"/>
        </w:rPr>
        <w:footnoteReference w:id="146"/>
      </w:r>
      <w:r>
        <w:rPr>
          <w:szCs w:val="20"/>
          <w:vertAlign w:val="superscript"/>
        </w:rPr>
        <w:t>,</w:t>
      </w:r>
      <w:r>
        <w:rPr>
          <w:rStyle w:val="FootnoteReference"/>
          <w:szCs w:val="20"/>
        </w:rPr>
        <w:footnoteReference w:id="147"/>
      </w:r>
      <w:r>
        <w:rPr>
          <w:szCs w:val="20"/>
          <w:vertAlign w:val="superscript"/>
        </w:rPr>
        <w:t>,</w:t>
      </w:r>
      <w:r>
        <w:rPr>
          <w:rStyle w:val="FootnoteReference"/>
          <w:szCs w:val="20"/>
        </w:rPr>
        <w:footnoteReference w:id="148"/>
      </w:r>
      <w:r>
        <w:rPr>
          <w:szCs w:val="20"/>
          <w:vertAlign w:val="superscript"/>
        </w:rPr>
        <w:t>,</w:t>
      </w:r>
      <w:r>
        <w:rPr>
          <w:rStyle w:val="FootnoteReference"/>
          <w:szCs w:val="20"/>
        </w:rPr>
        <w:footnoteReference w:id="149"/>
      </w:r>
      <w:r>
        <w:rPr>
          <w:szCs w:val="20"/>
          <w:vertAlign w:val="superscript"/>
        </w:rPr>
        <w:t>,</w:t>
      </w:r>
      <w:r>
        <w:rPr>
          <w:rStyle w:val="FootnoteReference"/>
          <w:szCs w:val="20"/>
        </w:rPr>
        <w:footnoteReference w:id="150"/>
      </w:r>
      <w:r w:rsidRPr="0097738B">
        <w:rPr>
          <w:szCs w:val="20"/>
        </w:rPr>
        <w:t xml:space="preserve"> We divide</w:t>
      </w:r>
      <w:r>
        <w:rPr>
          <w:szCs w:val="20"/>
        </w:rPr>
        <w:t>d reported savings in</w:t>
      </w:r>
      <w:r w:rsidRPr="0097738B">
        <w:rPr>
          <w:szCs w:val="20"/>
        </w:rPr>
        <w:t xml:space="preserve"> half because we assum</w:t>
      </w:r>
      <w:r w:rsidR="00DC29A4">
        <w:rPr>
          <w:szCs w:val="20"/>
        </w:rPr>
        <w:t>e</w:t>
      </w:r>
      <w:r w:rsidRPr="0097738B">
        <w:rPr>
          <w:szCs w:val="20"/>
        </w:rPr>
        <w:t xml:space="preserve"> that half of the savings come from technologies </w:t>
      </w:r>
      <w:r>
        <w:rPr>
          <w:szCs w:val="20"/>
        </w:rPr>
        <w:t>and half from operation-related</w:t>
      </w:r>
      <w:r w:rsidRPr="0097738B">
        <w:rPr>
          <w:szCs w:val="20"/>
        </w:rPr>
        <w:t xml:space="preserve"> behaviors. Furthermore, we have applied a consistent split of 60% electric savings and 40% gas savings.</w:t>
      </w:r>
      <w:r>
        <w:rPr>
          <w:szCs w:val="20"/>
        </w:rPr>
        <w:t xml:space="preserve"> This likely </w:t>
      </w:r>
      <w:r w:rsidRPr="0097738B">
        <w:rPr>
          <w:szCs w:val="20"/>
        </w:rPr>
        <w:t>varies by building type</w:t>
      </w:r>
      <w:r>
        <w:rPr>
          <w:szCs w:val="20"/>
        </w:rPr>
        <w:t>,</w:t>
      </w:r>
      <w:r w:rsidRPr="0097738B">
        <w:rPr>
          <w:szCs w:val="20"/>
        </w:rPr>
        <w:t xml:space="preserve"> but</w:t>
      </w:r>
      <w:r>
        <w:rPr>
          <w:szCs w:val="20"/>
        </w:rPr>
        <w:t xml:space="preserve"> as these data were not available</w:t>
      </w:r>
      <w:r w:rsidRPr="0097738B">
        <w:rPr>
          <w:szCs w:val="20"/>
        </w:rPr>
        <w:t xml:space="preserve"> we have not made this calculation based on specific building-type consumption information.</w:t>
      </w:r>
    </w:p>
    <w:p w14:paraId="1EFD343F" w14:textId="77777777" w:rsidR="00E01C42" w:rsidRPr="0097738B" w:rsidRDefault="00E01C42" w:rsidP="00E01C42">
      <w:pPr>
        <w:rPr>
          <w:szCs w:val="20"/>
        </w:rPr>
      </w:pPr>
    </w:p>
    <w:p w14:paraId="72CA1CF7" w14:textId="77777777" w:rsidR="00E01C42" w:rsidRDefault="00E01C42" w:rsidP="00E01C42">
      <w:pPr>
        <w:rPr>
          <w:szCs w:val="20"/>
        </w:rPr>
      </w:pPr>
      <w:r w:rsidRPr="0097738B">
        <w:rPr>
          <w:szCs w:val="20"/>
        </w:rPr>
        <w:t xml:space="preserve">The model uses an EUL of </w:t>
      </w:r>
      <w:r>
        <w:rPr>
          <w:szCs w:val="20"/>
        </w:rPr>
        <w:t>two</w:t>
      </w:r>
      <w:r w:rsidRPr="0097738B">
        <w:rPr>
          <w:szCs w:val="20"/>
        </w:rPr>
        <w:t xml:space="preserve"> year</w:t>
      </w:r>
      <w:r>
        <w:rPr>
          <w:szCs w:val="20"/>
        </w:rPr>
        <w:t xml:space="preserve">s </w:t>
      </w:r>
      <w:r>
        <w:t>per CPUC Decision 16-08-019.</w:t>
      </w:r>
    </w:p>
    <w:p w14:paraId="4EC625E4" w14:textId="77777777" w:rsidR="00E01C42" w:rsidRPr="0097738B" w:rsidRDefault="00E01C42" w:rsidP="00E01C42">
      <w:pPr>
        <w:rPr>
          <w:szCs w:val="20"/>
        </w:rPr>
      </w:pPr>
    </w:p>
    <w:p w14:paraId="22A886E7" w14:textId="77777777" w:rsidR="00E01C42" w:rsidRDefault="00E01C42" w:rsidP="00E01C42">
      <w:pPr>
        <w:rPr>
          <w:szCs w:val="20"/>
        </w:rPr>
      </w:pPr>
      <w:r w:rsidRPr="0097738B">
        <w:rPr>
          <w:szCs w:val="20"/>
        </w:rPr>
        <w:t xml:space="preserve">Because no demand savings data was available for Benchmarking, we averaged the ratio of kW to kWh savings calculated for BEIMS, BOC, and Strategic Energy Management. This yielded 0.0001261, which is the figure used for all </w:t>
      </w:r>
      <w:r>
        <w:rPr>
          <w:szCs w:val="20"/>
        </w:rPr>
        <w:t>three electric</w:t>
      </w:r>
      <w:r w:rsidRPr="0097738B">
        <w:rPr>
          <w:szCs w:val="20"/>
        </w:rPr>
        <w:t xml:space="preserve"> utilities.</w:t>
      </w:r>
    </w:p>
    <w:p w14:paraId="364C150D" w14:textId="77777777" w:rsidR="00E01C42" w:rsidRPr="0097738B" w:rsidRDefault="00E01C42" w:rsidP="00E01C42">
      <w:pPr>
        <w:rPr>
          <w:szCs w:val="20"/>
        </w:rPr>
      </w:pPr>
    </w:p>
    <w:p w14:paraId="1FD051FE" w14:textId="77777777" w:rsidR="00E01C42" w:rsidRPr="00E54D1C" w:rsidRDefault="00E01C42" w:rsidP="00E01C42">
      <w:pPr>
        <w:rPr>
          <w:b/>
          <w:i/>
          <w:szCs w:val="20"/>
        </w:rPr>
      </w:pPr>
      <w:r>
        <w:rPr>
          <w:b/>
          <w:i/>
          <w:szCs w:val="20"/>
        </w:rPr>
        <w:t>Cost</w:t>
      </w:r>
    </w:p>
    <w:p w14:paraId="15E62E94" w14:textId="77777777" w:rsidR="00E01C42" w:rsidRDefault="00E01C42" w:rsidP="00E01C42">
      <w:r>
        <w:rPr>
          <w:szCs w:val="20"/>
        </w:rPr>
        <w:t>Available data suggest that benchmarking programs often include a utility in concert with a municipality. Our estimates used PG&amp;E’s estimated 3-year program budget of $2.3 million.</w:t>
      </w:r>
      <w:r>
        <w:rPr>
          <w:rStyle w:val="FootnoteReference"/>
          <w:szCs w:val="20"/>
        </w:rPr>
        <w:footnoteReference w:id="151"/>
      </w:r>
      <w:r>
        <w:rPr>
          <w:szCs w:val="20"/>
        </w:rPr>
        <w:t xml:space="preserve"> Attributing all costs to either electricity or gas, this utility program cost was divided by estimated savings to calculate a per unit savings cost. Costs amounted to $0.0396 per kWh and </w:t>
      </w:r>
      <w:r w:rsidRPr="0097738B">
        <w:rPr>
          <w:szCs w:val="20"/>
        </w:rPr>
        <w:t>$0.</w:t>
      </w:r>
      <w:r>
        <w:rPr>
          <w:szCs w:val="20"/>
        </w:rPr>
        <w:t xml:space="preserve">2352 per </w:t>
      </w:r>
      <w:r w:rsidRPr="0097738B">
        <w:rPr>
          <w:szCs w:val="20"/>
        </w:rPr>
        <w:t xml:space="preserve">therm and are </w:t>
      </w:r>
      <w:r>
        <w:rPr>
          <w:szCs w:val="20"/>
        </w:rPr>
        <w:t xml:space="preserve">not </w:t>
      </w:r>
      <w:r w:rsidRPr="0097738B">
        <w:rPr>
          <w:szCs w:val="20"/>
        </w:rPr>
        <w:t>utility specific</w:t>
      </w:r>
      <w:r>
        <w:rPr>
          <w:szCs w:val="20"/>
        </w:rPr>
        <w:t>.</w:t>
      </w:r>
    </w:p>
    <w:p w14:paraId="3A95AB2C" w14:textId="77777777" w:rsidR="00E01C42" w:rsidRDefault="00E01C42" w:rsidP="00E01C42">
      <w:pPr>
        <w:pStyle w:val="Heading6"/>
        <w:numPr>
          <w:ilvl w:val="5"/>
          <w:numId w:val="8"/>
        </w:numPr>
      </w:pPr>
      <w:bookmarkStart w:id="963" w:name="_Toc480271814"/>
      <w:bookmarkStart w:id="964" w:name="_Toc484183071"/>
      <w:bookmarkStart w:id="965" w:name="_Toc485126592"/>
      <w:r>
        <w:t>Commercial - Competitions</w:t>
      </w:r>
      <w:bookmarkEnd w:id="963"/>
      <w:bookmarkEnd w:id="964"/>
      <w:bookmarkEnd w:id="965"/>
    </w:p>
    <w:p w14:paraId="1AD494CC" w14:textId="77777777" w:rsidR="00E01C42" w:rsidRDefault="00E01C42" w:rsidP="00E01C42">
      <w:pPr>
        <w:rPr>
          <w:b/>
        </w:rPr>
      </w:pPr>
      <w:r w:rsidRPr="00DF089C">
        <w:rPr>
          <w:b/>
        </w:rPr>
        <w:t xml:space="preserve">Summary </w:t>
      </w:r>
    </w:p>
    <w:p w14:paraId="685D1978" w14:textId="77777777" w:rsidR="00E01C42" w:rsidRPr="00B11C52" w:rsidRDefault="00E01C42" w:rsidP="00E01C42"/>
    <w:p w14:paraId="56A6F5BF" w14:textId="77777777" w:rsidR="00E01C42" w:rsidRPr="00010B1C" w:rsidRDefault="00E01C42" w:rsidP="00E01C42">
      <w:pPr>
        <w:autoSpaceDE w:val="0"/>
        <w:autoSpaceDN w:val="0"/>
        <w:adjustRightInd w:val="0"/>
        <w:spacing w:line="240" w:lineRule="auto"/>
        <w:rPr>
          <w:szCs w:val="20"/>
        </w:rPr>
      </w:pPr>
      <w:r>
        <w:rPr>
          <w:szCs w:val="20"/>
        </w:rPr>
        <w:t>Commercial</w:t>
      </w:r>
      <w:r w:rsidRPr="00010B1C">
        <w:rPr>
          <w:szCs w:val="20"/>
        </w:rPr>
        <w:t xml:space="preserve"> competitions are a behavioral intervention approach in which participants compete in events, contests, or challenges to achieve a specific objective or the highest rank compared with other individuals or groups as they try to reach goals by reducing energy consumption. Competitions </w:t>
      </w:r>
      <w:r>
        <w:rPr>
          <w:szCs w:val="20"/>
        </w:rPr>
        <w:t>can run for varying time periods ranging from a single month to multiple years. They</w:t>
      </w:r>
      <w:r w:rsidRPr="00010B1C">
        <w:rPr>
          <w:szCs w:val="20"/>
        </w:rPr>
        <w:t xml:space="preserve"> can include a mix of behavioral strategies, including goal-setting, commitments, games, social norms, and feedback.</w:t>
      </w:r>
      <w:r>
        <w:rPr>
          <w:szCs w:val="20"/>
        </w:rPr>
        <w:t xml:space="preserve"> Those</w:t>
      </w:r>
      <w:r w:rsidRPr="009F4E52">
        <w:rPr>
          <w:szCs w:val="20"/>
        </w:rPr>
        <w:t xml:space="preserve"> designed to produce energy savings via equipment upgrades were not included in </w:t>
      </w:r>
      <w:r>
        <w:rPr>
          <w:szCs w:val="20"/>
        </w:rPr>
        <w:t>our</w:t>
      </w:r>
      <w:r w:rsidRPr="009F4E52">
        <w:rPr>
          <w:szCs w:val="20"/>
        </w:rPr>
        <w:t xml:space="preserve"> analysis.</w:t>
      </w:r>
    </w:p>
    <w:p w14:paraId="5E2E8277" w14:textId="77777777" w:rsidR="00E01C42" w:rsidRDefault="00E01C42" w:rsidP="00E01C42">
      <w:pPr>
        <w:autoSpaceDE w:val="0"/>
        <w:autoSpaceDN w:val="0"/>
        <w:adjustRightInd w:val="0"/>
        <w:spacing w:line="240" w:lineRule="auto"/>
        <w:rPr>
          <w:szCs w:val="20"/>
        </w:rPr>
      </w:pPr>
    </w:p>
    <w:p w14:paraId="39500684" w14:textId="77777777" w:rsidR="00E01C42" w:rsidRPr="00B60FE1" w:rsidRDefault="00E01C42" w:rsidP="00E01C42">
      <w:pPr>
        <w:autoSpaceDE w:val="0"/>
        <w:autoSpaceDN w:val="0"/>
        <w:adjustRightInd w:val="0"/>
        <w:spacing w:line="240" w:lineRule="auto"/>
        <w:rPr>
          <w:szCs w:val="20"/>
        </w:rPr>
      </w:pPr>
      <w:r>
        <w:rPr>
          <w:szCs w:val="20"/>
        </w:rPr>
        <w:t>Co</w:t>
      </w:r>
      <w:r w:rsidRPr="00B60FE1">
        <w:rPr>
          <w:szCs w:val="20"/>
        </w:rPr>
        <w:t xml:space="preserve">mpetitions </w:t>
      </w:r>
      <w:r>
        <w:rPr>
          <w:szCs w:val="20"/>
        </w:rPr>
        <w:t xml:space="preserve">may be </w:t>
      </w:r>
      <w:r w:rsidRPr="00B60FE1">
        <w:rPr>
          <w:szCs w:val="20"/>
        </w:rPr>
        <w:t>designed differently depending upon the size</w:t>
      </w:r>
      <w:r>
        <w:rPr>
          <w:szCs w:val="20"/>
        </w:rPr>
        <w:t xml:space="preserve"> and nature</w:t>
      </w:r>
      <w:r w:rsidRPr="00B60FE1">
        <w:rPr>
          <w:szCs w:val="20"/>
        </w:rPr>
        <w:t xml:space="preserve"> of the targeted participant group. Small</w:t>
      </w:r>
      <w:r>
        <w:rPr>
          <w:szCs w:val="20"/>
        </w:rPr>
        <w:t>er</w:t>
      </w:r>
      <w:r w:rsidRPr="00B60FE1">
        <w:rPr>
          <w:szCs w:val="20"/>
        </w:rPr>
        <w:t xml:space="preserve"> scale competitions are designed to engage people in a deep way with a higher level of touches and a broad spectrum of behaviors that generate higher savings and serve as a model to get the </w:t>
      </w:r>
      <w:r w:rsidRPr="00B60FE1">
        <w:rPr>
          <w:szCs w:val="20"/>
        </w:rPr>
        <w:lastRenderedPageBreak/>
        <w:t xml:space="preserve">larger population engaged. Large scale competitions engage greater numbers of people in a more superficial way and encourage a limited number of behaviors. </w:t>
      </w:r>
      <w:r>
        <w:rPr>
          <w:szCs w:val="20"/>
        </w:rPr>
        <w:t>Because we had limited data for this type of behavioral intervention all commercial competitions are considered as a single category.</w:t>
      </w:r>
    </w:p>
    <w:p w14:paraId="4E16D663" w14:textId="77777777" w:rsidR="00E01C42" w:rsidRPr="00B60FE1" w:rsidRDefault="00E01C42" w:rsidP="00E01C42">
      <w:pPr>
        <w:autoSpaceDE w:val="0"/>
        <w:autoSpaceDN w:val="0"/>
        <w:adjustRightInd w:val="0"/>
        <w:spacing w:line="240" w:lineRule="auto"/>
        <w:rPr>
          <w:szCs w:val="20"/>
        </w:rPr>
      </w:pPr>
    </w:p>
    <w:p w14:paraId="5D2B6509" w14:textId="77777777" w:rsidR="00E01C42" w:rsidRDefault="00E01C42" w:rsidP="00E01C42">
      <w:pPr>
        <w:autoSpaceDE w:val="0"/>
        <w:autoSpaceDN w:val="0"/>
        <w:adjustRightInd w:val="0"/>
        <w:spacing w:line="240" w:lineRule="auto"/>
        <w:rPr>
          <w:szCs w:val="20"/>
        </w:rPr>
      </w:pPr>
      <w:r>
        <w:rPr>
          <w:szCs w:val="20"/>
        </w:rPr>
        <w:t>In additional to overall summary data available through the ACEEE</w:t>
      </w:r>
      <w:r>
        <w:rPr>
          <w:rStyle w:val="FootnoteReference"/>
          <w:szCs w:val="20"/>
        </w:rPr>
        <w:footnoteReference w:id="152"/>
      </w:r>
      <w:r>
        <w:rPr>
          <w:szCs w:val="20"/>
        </w:rPr>
        <w:t xml:space="preserve"> and the CEE,</w:t>
      </w:r>
      <w:r>
        <w:rPr>
          <w:rStyle w:val="FootnoteReference"/>
          <w:szCs w:val="20"/>
        </w:rPr>
        <w:footnoteReference w:id="153"/>
      </w:r>
      <w:r>
        <w:rPr>
          <w:szCs w:val="20"/>
        </w:rPr>
        <w:t xml:space="preserve"> we considered 10 different challenges, including the EPA’s </w:t>
      </w:r>
      <w:r w:rsidRPr="00820499">
        <w:rPr>
          <w:szCs w:val="20"/>
        </w:rPr>
        <w:t>Energy Star Building Competition</w:t>
      </w:r>
      <w:r>
        <w:rPr>
          <w:szCs w:val="20"/>
        </w:rPr>
        <w:t xml:space="preserve">, </w:t>
      </w:r>
      <w:r w:rsidRPr="00820499">
        <w:rPr>
          <w:szCs w:val="20"/>
        </w:rPr>
        <w:t>NEEA's Kilowatt Crackdown</w:t>
      </w:r>
      <w:r>
        <w:rPr>
          <w:szCs w:val="20"/>
        </w:rPr>
        <w:t xml:space="preserve">, </w:t>
      </w:r>
      <w:r w:rsidRPr="0087631A">
        <w:rPr>
          <w:szCs w:val="20"/>
        </w:rPr>
        <w:t>Chicago's Green Office Challenge</w:t>
      </w:r>
      <w:r>
        <w:rPr>
          <w:szCs w:val="20"/>
        </w:rPr>
        <w:t xml:space="preserve">, and PG&amp;E’s </w:t>
      </w:r>
      <w:r w:rsidRPr="0087631A">
        <w:rPr>
          <w:szCs w:val="20"/>
        </w:rPr>
        <w:t>Step Up and Power Down</w:t>
      </w:r>
      <w:r>
        <w:rPr>
          <w:szCs w:val="20"/>
        </w:rPr>
        <w:t xml:space="preserve"> pilot.</w:t>
      </w:r>
      <w:r>
        <w:rPr>
          <w:rStyle w:val="FootnoteReference"/>
          <w:szCs w:val="20"/>
        </w:rPr>
        <w:footnoteReference w:id="154"/>
      </w:r>
      <w:r>
        <w:rPr>
          <w:szCs w:val="20"/>
          <w:vertAlign w:val="superscript"/>
        </w:rPr>
        <w:t>,</w:t>
      </w:r>
      <w:r>
        <w:rPr>
          <w:rStyle w:val="FootnoteReference"/>
          <w:szCs w:val="20"/>
        </w:rPr>
        <w:footnoteReference w:id="155"/>
      </w:r>
      <w:r>
        <w:rPr>
          <w:szCs w:val="20"/>
        </w:rPr>
        <w:t xml:space="preserve"> </w:t>
      </w:r>
      <w:r w:rsidRPr="00B60FE1">
        <w:rPr>
          <w:szCs w:val="20"/>
        </w:rPr>
        <w:t>The completeness of data ava</w:t>
      </w:r>
      <w:r>
        <w:rPr>
          <w:szCs w:val="20"/>
        </w:rPr>
        <w:t>ilable on each program varied with some of the most robust data coming from Duke Energy’s Smart Energy Now effort in Charlotte, NC.</w:t>
      </w:r>
      <w:r>
        <w:rPr>
          <w:rStyle w:val="FootnoteReference"/>
          <w:szCs w:val="20"/>
        </w:rPr>
        <w:footnoteReference w:id="156"/>
      </w:r>
      <w:r>
        <w:rPr>
          <w:szCs w:val="20"/>
        </w:rPr>
        <w:t xml:space="preserve"> </w:t>
      </w:r>
    </w:p>
    <w:p w14:paraId="64CFF8A3" w14:textId="77777777" w:rsidR="00E01C42" w:rsidRDefault="00E01C42" w:rsidP="00E01C42">
      <w:pPr>
        <w:autoSpaceDE w:val="0"/>
        <w:autoSpaceDN w:val="0"/>
        <w:adjustRightInd w:val="0"/>
        <w:spacing w:line="240" w:lineRule="auto"/>
        <w:rPr>
          <w:szCs w:val="20"/>
        </w:rPr>
      </w:pPr>
    </w:p>
    <w:p w14:paraId="19827469" w14:textId="77777777" w:rsidR="00E01C42" w:rsidRPr="00B57F57" w:rsidRDefault="004675B4" w:rsidP="00E01C42">
      <w:pPr>
        <w:pStyle w:val="Caption"/>
        <w:rPr>
          <w:b w:val="0"/>
          <w:szCs w:val="24"/>
        </w:rPr>
      </w:pPr>
      <w:bookmarkStart w:id="966" w:name="_Toc485125610"/>
      <w:r>
        <w:t xml:space="preserve">Table </w:t>
      </w:r>
      <w:r w:rsidR="00272F76">
        <w:fldChar w:fldCharType="begin"/>
      </w:r>
      <w:r w:rsidR="00272F76">
        <w:instrText xml:space="preserve"> STYLER</w:instrText>
      </w:r>
      <w:r w:rsidR="00272F76">
        <w:instrText xml:space="preserve">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9</w:t>
      </w:r>
      <w:r w:rsidR="00272F76">
        <w:rPr>
          <w:noProof/>
        </w:rPr>
        <w:fldChar w:fldCharType="end"/>
      </w:r>
      <w:r>
        <w:t xml:space="preserve">. </w:t>
      </w:r>
      <w:r w:rsidR="00E01C42">
        <w:t>Commercial Competitions - Key Assumptions</w:t>
      </w:r>
      <w:bookmarkEnd w:id="966"/>
    </w:p>
    <w:tbl>
      <w:tblPr>
        <w:tblStyle w:val="EnergyTable10"/>
        <w:tblW w:w="9482" w:type="dxa"/>
        <w:tblLook w:val="04A0" w:firstRow="1" w:lastRow="0" w:firstColumn="1" w:lastColumn="0" w:noHBand="0" w:noVBand="1"/>
      </w:tblPr>
      <w:tblGrid>
        <w:gridCol w:w="1109"/>
        <w:gridCol w:w="1506"/>
        <w:gridCol w:w="991"/>
        <w:gridCol w:w="937"/>
        <w:gridCol w:w="1217"/>
        <w:gridCol w:w="950"/>
        <w:gridCol w:w="1094"/>
        <w:gridCol w:w="1678"/>
      </w:tblGrid>
      <w:tr w:rsidR="00E01C42" w:rsidRPr="00D46BA7" w14:paraId="026AE5B9" w14:textId="77777777" w:rsidTr="008C0AC4">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09" w:type="dxa"/>
            <w:vMerge w:val="restart"/>
            <w:hideMark/>
          </w:tcPr>
          <w:p w14:paraId="3CB8A8E7" w14:textId="77777777" w:rsidR="00E01C42" w:rsidRPr="00D46BA7" w:rsidRDefault="00E01C42" w:rsidP="008C0AC4">
            <w:r w:rsidRPr="00D46BA7">
              <w:t>Sector</w:t>
            </w:r>
          </w:p>
        </w:tc>
        <w:tc>
          <w:tcPr>
            <w:tcW w:w="1506" w:type="dxa"/>
            <w:vMerge w:val="restart"/>
            <w:hideMark/>
          </w:tcPr>
          <w:p w14:paraId="133467B5"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Type</w:t>
            </w:r>
          </w:p>
        </w:tc>
        <w:tc>
          <w:tcPr>
            <w:tcW w:w="991" w:type="dxa"/>
            <w:vMerge w:val="restart"/>
            <w:hideMark/>
          </w:tcPr>
          <w:p w14:paraId="5C7B50A9"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EUL years</w:t>
            </w:r>
          </w:p>
        </w:tc>
        <w:tc>
          <w:tcPr>
            <w:tcW w:w="2154" w:type="dxa"/>
            <w:gridSpan w:val="2"/>
            <w:tcBorders>
              <w:bottom w:val="single" w:sz="2" w:space="0" w:color="FFFFFF" w:themeColor="background1"/>
            </w:tcBorders>
            <w:hideMark/>
          </w:tcPr>
          <w:p w14:paraId="01D24F4C"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t>Savings</w:t>
            </w:r>
          </w:p>
        </w:tc>
        <w:tc>
          <w:tcPr>
            <w:tcW w:w="2044" w:type="dxa"/>
            <w:gridSpan w:val="2"/>
            <w:tcBorders>
              <w:bottom w:val="single" w:sz="2" w:space="0" w:color="FFFFFF" w:themeColor="background1"/>
            </w:tcBorders>
            <w:hideMark/>
          </w:tcPr>
          <w:p w14:paraId="7C38B94C"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Cost</w:t>
            </w:r>
          </w:p>
        </w:tc>
        <w:tc>
          <w:tcPr>
            <w:tcW w:w="1678" w:type="dxa"/>
            <w:vMerge w:val="restart"/>
            <w:hideMark/>
          </w:tcPr>
          <w:p w14:paraId="27299CA3"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kW/kWh Savings Ratio</w:t>
            </w:r>
          </w:p>
        </w:tc>
      </w:tr>
      <w:tr w:rsidR="00E01C42" w:rsidRPr="00D46BA7" w14:paraId="61CF954E" w14:textId="77777777" w:rsidTr="008C0A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09" w:type="dxa"/>
            <w:vMerge/>
            <w:tcBorders>
              <w:bottom w:val="single" w:sz="12" w:space="0" w:color="95D600" w:themeColor="accent1"/>
            </w:tcBorders>
            <w:hideMark/>
          </w:tcPr>
          <w:p w14:paraId="59FB88C7" w14:textId="77777777" w:rsidR="00E01C42" w:rsidRPr="00D46BA7" w:rsidRDefault="00E01C42" w:rsidP="008C0AC4"/>
        </w:tc>
        <w:tc>
          <w:tcPr>
            <w:tcW w:w="1506" w:type="dxa"/>
            <w:vMerge/>
            <w:tcBorders>
              <w:bottom w:val="single" w:sz="12" w:space="0" w:color="95D600" w:themeColor="accent1"/>
            </w:tcBorders>
            <w:hideMark/>
          </w:tcPr>
          <w:p w14:paraId="21BB1855"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pPr>
          </w:p>
        </w:tc>
        <w:tc>
          <w:tcPr>
            <w:tcW w:w="991" w:type="dxa"/>
            <w:vMerge/>
            <w:tcBorders>
              <w:bottom w:val="single" w:sz="12" w:space="0" w:color="95D600" w:themeColor="accent1"/>
            </w:tcBorders>
            <w:shd w:val="clear" w:color="auto" w:fill="555759" w:themeFill="text2"/>
            <w:hideMark/>
          </w:tcPr>
          <w:p w14:paraId="21A13DC9"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pPr>
          </w:p>
        </w:tc>
        <w:tc>
          <w:tcPr>
            <w:tcW w:w="937" w:type="dxa"/>
            <w:tcBorders>
              <w:top w:val="single" w:sz="2" w:space="0" w:color="FFFFFF" w:themeColor="background1"/>
              <w:bottom w:val="single" w:sz="12" w:space="0" w:color="95D600" w:themeColor="accent1"/>
            </w:tcBorders>
            <w:shd w:val="clear" w:color="auto" w:fill="555759" w:themeFill="text2"/>
            <w:hideMark/>
          </w:tcPr>
          <w:p w14:paraId="41CC17BE"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kWh</w:t>
            </w:r>
          </w:p>
        </w:tc>
        <w:tc>
          <w:tcPr>
            <w:tcW w:w="1217" w:type="dxa"/>
            <w:tcBorders>
              <w:top w:val="single" w:sz="2" w:space="0" w:color="FFFFFF" w:themeColor="background1"/>
              <w:bottom w:val="single" w:sz="12" w:space="0" w:color="95D600" w:themeColor="accent1"/>
            </w:tcBorders>
            <w:shd w:val="clear" w:color="auto" w:fill="555759" w:themeFill="text2"/>
            <w:hideMark/>
          </w:tcPr>
          <w:p w14:paraId="4DB7B80D"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Therm</w:t>
            </w:r>
          </w:p>
        </w:tc>
        <w:tc>
          <w:tcPr>
            <w:tcW w:w="950" w:type="dxa"/>
            <w:tcBorders>
              <w:top w:val="single" w:sz="2" w:space="0" w:color="FFFFFF" w:themeColor="background1"/>
              <w:bottom w:val="single" w:sz="12" w:space="0" w:color="95D600" w:themeColor="accent1"/>
            </w:tcBorders>
            <w:shd w:val="clear" w:color="auto" w:fill="555759" w:themeFill="text2"/>
            <w:hideMark/>
          </w:tcPr>
          <w:p w14:paraId="1C1CB75F"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kWh</w:t>
            </w:r>
          </w:p>
        </w:tc>
        <w:tc>
          <w:tcPr>
            <w:tcW w:w="1094" w:type="dxa"/>
            <w:tcBorders>
              <w:top w:val="single" w:sz="2" w:space="0" w:color="FFFFFF" w:themeColor="background1"/>
              <w:bottom w:val="single" w:sz="12" w:space="0" w:color="95D600" w:themeColor="accent1"/>
            </w:tcBorders>
            <w:shd w:val="clear" w:color="auto" w:fill="555759" w:themeFill="text2"/>
            <w:hideMark/>
          </w:tcPr>
          <w:p w14:paraId="14B37987"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Therm</w:t>
            </w:r>
          </w:p>
        </w:tc>
        <w:tc>
          <w:tcPr>
            <w:tcW w:w="1678" w:type="dxa"/>
            <w:vMerge/>
            <w:tcBorders>
              <w:bottom w:val="single" w:sz="12" w:space="0" w:color="95D600" w:themeColor="accent1"/>
            </w:tcBorders>
            <w:hideMark/>
          </w:tcPr>
          <w:p w14:paraId="4449E47E"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pPr>
          </w:p>
        </w:tc>
      </w:tr>
      <w:tr w:rsidR="00E01C42" w:rsidRPr="00D46BA7" w14:paraId="27DD70D4" w14:textId="77777777" w:rsidTr="008C0AC4">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109" w:type="dxa"/>
            <w:tcBorders>
              <w:top w:val="single" w:sz="12" w:space="0" w:color="95D600" w:themeColor="accent1"/>
            </w:tcBorders>
            <w:hideMark/>
          </w:tcPr>
          <w:p w14:paraId="739FC1E0" w14:textId="77777777" w:rsidR="00E01C42" w:rsidRPr="00D46BA7" w:rsidRDefault="00E01C42" w:rsidP="008C0AC4">
            <w:r w:rsidRPr="00D46BA7">
              <w:t>COM</w:t>
            </w:r>
          </w:p>
        </w:tc>
        <w:tc>
          <w:tcPr>
            <w:tcW w:w="1506" w:type="dxa"/>
            <w:tcBorders>
              <w:top w:val="single" w:sz="12" w:space="0" w:color="95D600" w:themeColor="accent1"/>
            </w:tcBorders>
            <w:hideMark/>
          </w:tcPr>
          <w:p w14:paraId="52DDA7D5"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 xml:space="preserve">Competitions </w:t>
            </w:r>
          </w:p>
        </w:tc>
        <w:tc>
          <w:tcPr>
            <w:tcW w:w="991" w:type="dxa"/>
            <w:tcBorders>
              <w:top w:val="single" w:sz="12" w:space="0" w:color="95D600" w:themeColor="accent1"/>
            </w:tcBorders>
            <w:hideMark/>
          </w:tcPr>
          <w:p w14:paraId="1C7C8127"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2</w:t>
            </w:r>
          </w:p>
        </w:tc>
        <w:tc>
          <w:tcPr>
            <w:tcW w:w="937" w:type="dxa"/>
            <w:tcBorders>
              <w:top w:val="single" w:sz="12" w:space="0" w:color="95D600" w:themeColor="accent1"/>
            </w:tcBorders>
            <w:hideMark/>
          </w:tcPr>
          <w:p w14:paraId="6F7388C9" w14:textId="77777777" w:rsidR="00E01C42" w:rsidRPr="00D46BA7" w:rsidRDefault="00163F7B" w:rsidP="008C0AC4">
            <w:pPr>
              <w:cnfStyle w:val="000000010000" w:firstRow="0" w:lastRow="0" w:firstColumn="0" w:lastColumn="0" w:oddVBand="0" w:evenVBand="0" w:oddHBand="0" w:evenHBand="1" w:firstRowFirstColumn="0" w:firstRowLastColumn="0" w:lastRowFirstColumn="0" w:lastRowLastColumn="0"/>
            </w:pPr>
            <w:r>
              <w:t>1.9%</w:t>
            </w:r>
          </w:p>
        </w:tc>
        <w:tc>
          <w:tcPr>
            <w:tcW w:w="1217" w:type="dxa"/>
            <w:tcBorders>
              <w:top w:val="single" w:sz="12" w:space="0" w:color="95D600" w:themeColor="accent1"/>
            </w:tcBorders>
            <w:hideMark/>
          </w:tcPr>
          <w:p w14:paraId="3E537C22"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w:t>
            </w:r>
          </w:p>
        </w:tc>
        <w:tc>
          <w:tcPr>
            <w:tcW w:w="950" w:type="dxa"/>
            <w:tcBorders>
              <w:top w:val="single" w:sz="12" w:space="0" w:color="95D600" w:themeColor="accent1"/>
            </w:tcBorders>
            <w:hideMark/>
          </w:tcPr>
          <w:p w14:paraId="23CDFA99"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 xml:space="preserve">$ 0.04 </w:t>
            </w:r>
          </w:p>
        </w:tc>
        <w:tc>
          <w:tcPr>
            <w:tcW w:w="1094" w:type="dxa"/>
            <w:tcBorders>
              <w:top w:val="single" w:sz="12" w:space="0" w:color="95D600" w:themeColor="accent1"/>
            </w:tcBorders>
            <w:hideMark/>
          </w:tcPr>
          <w:p w14:paraId="301375AE"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rPr>
                <w:highlight w:val="red"/>
              </w:rPr>
            </w:pPr>
            <w:r w:rsidRPr="00D46BA7">
              <w:t>--</w:t>
            </w:r>
          </w:p>
        </w:tc>
        <w:tc>
          <w:tcPr>
            <w:tcW w:w="1678" w:type="dxa"/>
            <w:tcBorders>
              <w:top w:val="single" w:sz="12" w:space="0" w:color="95D600" w:themeColor="accent1"/>
            </w:tcBorders>
            <w:hideMark/>
          </w:tcPr>
          <w:p w14:paraId="75967397"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0.0001261</w:t>
            </w:r>
          </w:p>
        </w:tc>
      </w:tr>
    </w:tbl>
    <w:p w14:paraId="753E29FD" w14:textId="77777777" w:rsidR="00E01C42" w:rsidRDefault="00E01C42" w:rsidP="00E01C42">
      <w:pPr>
        <w:spacing w:line="240" w:lineRule="auto"/>
        <w:rPr>
          <w:b/>
        </w:rPr>
      </w:pPr>
    </w:p>
    <w:p w14:paraId="6CDDB8DB" w14:textId="77777777" w:rsidR="00E01C42" w:rsidRDefault="00E01C42" w:rsidP="00E01C42">
      <w:pPr>
        <w:rPr>
          <w:b/>
        </w:rPr>
      </w:pPr>
      <w:r w:rsidRPr="00DF089C">
        <w:rPr>
          <w:b/>
        </w:rPr>
        <w:t>Assumptions and Methodology</w:t>
      </w:r>
    </w:p>
    <w:p w14:paraId="1109A3C5" w14:textId="77777777" w:rsidR="00E01C42" w:rsidRPr="00DF089C" w:rsidRDefault="00E01C42" w:rsidP="00E01C42">
      <w:pPr>
        <w:rPr>
          <w:b/>
        </w:rPr>
      </w:pPr>
    </w:p>
    <w:p w14:paraId="39DC79EF" w14:textId="77777777" w:rsidR="00E01C42" w:rsidRDefault="00E01C42" w:rsidP="00E01C42">
      <w:pPr>
        <w:rPr>
          <w:b/>
          <w:i/>
          <w:szCs w:val="20"/>
        </w:rPr>
      </w:pPr>
      <w:r w:rsidRPr="005033D7">
        <w:rPr>
          <w:b/>
          <w:i/>
          <w:szCs w:val="20"/>
        </w:rPr>
        <w:t>Eligibility and Participation</w:t>
      </w:r>
    </w:p>
    <w:p w14:paraId="5A3E9698" w14:textId="77777777" w:rsidR="00E01C42" w:rsidRDefault="00E01C42" w:rsidP="00E01C42">
      <w:r>
        <w:t xml:space="preserve">Eligibility for commercial competitions is defined by the program administrator. Competitions can focus on occupants within an individual building or across a single company, but more often they embrace wider audiences at the municipal level, in which groups of tenants within large buildings or across campuses or neighborhoods compete with one another. Nonetheless, certain business sectors and business types constitute more receptive customer types than others. </w:t>
      </w:r>
    </w:p>
    <w:p w14:paraId="2E243E14" w14:textId="77777777" w:rsidR="00E01C42" w:rsidRDefault="00E01C42" w:rsidP="00E01C42"/>
    <w:p w14:paraId="3F6E5E95" w14:textId="77777777" w:rsidR="00E01C42" w:rsidRDefault="00E01C42" w:rsidP="00E01C42">
      <w:r>
        <w:t>For this model, we focused on savings in those building types that have been targeted by PG&amp;E’s Step Up and Power Down campaign that is currently being carried out in San Francisco and San Jose. This effort is focused on the following five building types: large offices, small offices, retail, restaurants, and lodging.</w:t>
      </w:r>
      <w:r>
        <w:rPr>
          <w:rStyle w:val="FootnoteReference"/>
        </w:rPr>
        <w:footnoteReference w:id="157"/>
      </w:r>
      <w:r>
        <w:rPr>
          <w:vertAlign w:val="superscript"/>
        </w:rPr>
        <w:t>,</w:t>
      </w:r>
      <w:r>
        <w:rPr>
          <w:rStyle w:val="FootnoteReference"/>
        </w:rPr>
        <w:footnoteReference w:id="158"/>
      </w:r>
      <w:r>
        <w:t xml:space="preserve"> The applicability factor was defined in terms of potential program reach as it applies to </w:t>
      </w:r>
      <w:r>
        <w:lastRenderedPageBreak/>
        <w:t xml:space="preserve">larger and smaller types of buildings. We assume an applicability of </w:t>
      </w:r>
      <w:r w:rsidR="00163F7B">
        <w:t>8</w:t>
      </w:r>
      <w:r>
        <w:t xml:space="preserve">% for large offices and lodging and a lower applicability factor of </w:t>
      </w:r>
      <w:r w:rsidR="00163F7B">
        <w:t>4</w:t>
      </w:r>
      <w:r>
        <w:t>% for small to medium businesses - small offices, restaurants, and retail.</w:t>
      </w:r>
      <w:r w:rsidR="00BF2ED6">
        <w:rPr>
          <w:rStyle w:val="FootnoteReference"/>
        </w:rPr>
        <w:footnoteReference w:id="159"/>
      </w:r>
    </w:p>
    <w:p w14:paraId="082F4164" w14:textId="77777777" w:rsidR="00E01C42" w:rsidRPr="005033D7" w:rsidRDefault="00E01C42" w:rsidP="00E01C42">
      <w:pPr>
        <w:rPr>
          <w:szCs w:val="20"/>
        </w:rPr>
      </w:pPr>
    </w:p>
    <w:p w14:paraId="17EC42D7" w14:textId="77777777" w:rsidR="00E01C42" w:rsidRDefault="00E01C42" w:rsidP="00E01C42">
      <w:r>
        <w:t>At the time this model was prepared, PG&amp;E was the only California IOU running a commercial competition, but they were not claiming savings. Because of this, our penetration forecast for PG&amp;E shows 0% until 2019, at which point we anticipate they will begin to claim savings for one city</w:t>
      </w:r>
      <w:r w:rsidR="00163F7B">
        <w:t xml:space="preserve"> and </w:t>
      </w:r>
      <w:r>
        <w:t>hold steady through 2030. SCE and SDG&amp;E do not begin claiming savings until 2021. We do not anticipate that SCG will run commercial competitions given that we currently do not have sufficient data with which to model gas savings. For the aggressive scenario</w:t>
      </w:r>
      <w:r w:rsidR="00163F7B">
        <w:t>,</w:t>
      </w:r>
      <w:r>
        <w:t xml:space="preserve"> PG&amp;E, SCE, and SDG&amp;E all begin to claim savings in 2019</w:t>
      </w:r>
      <w:r w:rsidR="00163F7B">
        <w:t xml:space="preserve">, and </w:t>
      </w:r>
      <w:r>
        <w:t xml:space="preserve">in 2024, they add a second city-size competition. </w:t>
      </w:r>
    </w:p>
    <w:p w14:paraId="5DCCFDB5" w14:textId="77777777" w:rsidR="00E01C42" w:rsidRDefault="00E01C42" w:rsidP="00E01C42"/>
    <w:p w14:paraId="1C2DED29" w14:textId="77777777" w:rsidR="00E01C42" w:rsidRDefault="00E01C42" w:rsidP="00E01C42">
      <w:r>
        <w:t xml:space="preserve">The penetration rates for each utility assume that they will target the largest cities within their service territories, such as San Francisco, San Jose, Anaheim, and San Diego, or that groups of smaller communities - the size of Walnut Creek, Santa Barbara, or Oceanside - may be pooled together within a service territory to reach a similar number of businesses. </w:t>
      </w:r>
    </w:p>
    <w:p w14:paraId="28F000A8" w14:textId="77777777" w:rsidR="00E01C42" w:rsidRDefault="00E01C42" w:rsidP="00E01C42"/>
    <w:p w14:paraId="1A5600CE" w14:textId="77777777" w:rsidR="00E01C42" w:rsidRDefault="00E01C42" w:rsidP="00E01C42">
      <w:pPr>
        <w:rPr>
          <w:szCs w:val="20"/>
        </w:rPr>
      </w:pPr>
      <w:r>
        <w:rPr>
          <w:b/>
          <w:i/>
          <w:szCs w:val="20"/>
        </w:rPr>
        <w:t>Savings</w:t>
      </w:r>
    </w:p>
    <w:p w14:paraId="70699528" w14:textId="77777777" w:rsidR="00E01C42" w:rsidRDefault="00E01C42" w:rsidP="00E01C42">
      <w:r w:rsidRPr="00530E12">
        <w:t xml:space="preserve">Savings estimates are based on </w:t>
      </w:r>
      <w:r w:rsidR="00163F7B">
        <w:t>PG&amp;E’s study of</w:t>
      </w:r>
      <w:r w:rsidRPr="00530E12">
        <w:t xml:space="preserve"> Step Up and Power Down</w:t>
      </w:r>
      <w:r w:rsidR="00163F7B">
        <w:t>(1.9</w:t>
      </w:r>
      <w:r>
        <w:t>% kWh)</w:t>
      </w:r>
      <w:r w:rsidRPr="00530E12">
        <w:t xml:space="preserve">. </w:t>
      </w:r>
      <w:r>
        <w:t>No gas savings are modeled.</w:t>
      </w:r>
      <w:r w:rsidRPr="00530E12">
        <w:t xml:space="preserve"> </w:t>
      </w:r>
    </w:p>
    <w:p w14:paraId="1D8C13D3" w14:textId="77777777" w:rsidR="00E01C42" w:rsidRDefault="00E01C42" w:rsidP="00E01C42"/>
    <w:p w14:paraId="21E13589" w14:textId="77777777" w:rsidR="00E01C42" w:rsidRDefault="00E01C42" w:rsidP="00E01C42">
      <w:pPr>
        <w:rPr>
          <w:szCs w:val="20"/>
        </w:rPr>
      </w:pPr>
      <w:r>
        <w:rPr>
          <w:szCs w:val="20"/>
        </w:rPr>
        <w:t>The</w:t>
      </w:r>
      <w:r w:rsidRPr="0097738B">
        <w:rPr>
          <w:szCs w:val="20"/>
        </w:rPr>
        <w:t xml:space="preserve"> model uses an EUL of </w:t>
      </w:r>
      <w:r>
        <w:rPr>
          <w:szCs w:val="20"/>
        </w:rPr>
        <w:t>two</w:t>
      </w:r>
      <w:r w:rsidRPr="0097738B">
        <w:rPr>
          <w:szCs w:val="20"/>
        </w:rPr>
        <w:t xml:space="preserve"> year</w:t>
      </w:r>
      <w:r>
        <w:rPr>
          <w:szCs w:val="20"/>
        </w:rPr>
        <w:t xml:space="preserve">s </w:t>
      </w:r>
      <w:r>
        <w:t>to maintain consistency with CPUC Decision 16-08-019.</w:t>
      </w:r>
    </w:p>
    <w:p w14:paraId="57CF7EDE" w14:textId="77777777" w:rsidR="00E01C42" w:rsidRDefault="00E01C42" w:rsidP="00E01C42"/>
    <w:p w14:paraId="4E42EA08" w14:textId="77777777" w:rsidR="00E01C42" w:rsidRDefault="00E01C42" w:rsidP="00E01C42">
      <w:pPr>
        <w:rPr>
          <w:szCs w:val="20"/>
        </w:rPr>
      </w:pPr>
      <w:r w:rsidRPr="0097738B">
        <w:rPr>
          <w:szCs w:val="20"/>
        </w:rPr>
        <w:t>Because no de</w:t>
      </w:r>
      <w:r>
        <w:rPr>
          <w:szCs w:val="20"/>
        </w:rPr>
        <w:t>mand savings data was available</w:t>
      </w:r>
      <w:r w:rsidRPr="0097738B">
        <w:rPr>
          <w:szCs w:val="20"/>
        </w:rPr>
        <w:t>, we averaged the ratio of kW to kWh savings calculated for BEIMS, BOC, and S</w:t>
      </w:r>
      <w:r>
        <w:rPr>
          <w:szCs w:val="20"/>
        </w:rPr>
        <w:t>EM</w:t>
      </w:r>
      <w:r w:rsidRPr="0097738B">
        <w:rPr>
          <w:szCs w:val="20"/>
        </w:rPr>
        <w:t xml:space="preserve">. This yielded 0.0001261, which is the figure used for all </w:t>
      </w:r>
      <w:r>
        <w:rPr>
          <w:szCs w:val="20"/>
        </w:rPr>
        <w:t xml:space="preserve">three electric </w:t>
      </w:r>
      <w:r w:rsidRPr="0097738B">
        <w:rPr>
          <w:szCs w:val="20"/>
        </w:rPr>
        <w:t>utilities.</w:t>
      </w:r>
    </w:p>
    <w:p w14:paraId="78191782" w14:textId="77777777" w:rsidR="00E01C42" w:rsidRPr="001F55DD" w:rsidRDefault="00E01C42" w:rsidP="00E01C42">
      <w:pPr>
        <w:rPr>
          <w:szCs w:val="20"/>
        </w:rPr>
      </w:pPr>
    </w:p>
    <w:p w14:paraId="75A7D7ED" w14:textId="77777777" w:rsidR="00E01C42" w:rsidRDefault="00E01C42" w:rsidP="00E01C42">
      <w:pPr>
        <w:rPr>
          <w:szCs w:val="20"/>
        </w:rPr>
      </w:pPr>
      <w:r w:rsidRPr="00DF089C">
        <w:rPr>
          <w:b/>
          <w:i/>
          <w:szCs w:val="20"/>
        </w:rPr>
        <w:t>Cost</w:t>
      </w:r>
    </w:p>
    <w:p w14:paraId="4313891F" w14:textId="77777777" w:rsidR="00E01C42" w:rsidRDefault="00E01C42" w:rsidP="00E01C42">
      <w:r>
        <w:t>Costs of $0.04 per kWh are drawn from Smart Energy Now.</w:t>
      </w:r>
      <w:r w:rsidR="00BF2ED6" w:rsidRPr="00BF2ED6">
        <w:rPr>
          <w:rStyle w:val="FootnoteReference"/>
          <w:szCs w:val="20"/>
        </w:rPr>
        <w:t xml:space="preserve"> </w:t>
      </w:r>
      <w:r w:rsidR="00BF2ED6">
        <w:rPr>
          <w:rStyle w:val="FootnoteReference"/>
          <w:szCs w:val="20"/>
        </w:rPr>
        <w:footnoteReference w:id="160"/>
      </w:r>
    </w:p>
    <w:p w14:paraId="5F804500" w14:textId="77777777" w:rsidR="00E01C42" w:rsidRPr="00541504" w:rsidRDefault="00E01C42" w:rsidP="00E01C42">
      <w:pPr>
        <w:pStyle w:val="Heading6"/>
        <w:numPr>
          <w:ilvl w:val="5"/>
          <w:numId w:val="8"/>
        </w:numPr>
      </w:pPr>
      <w:bookmarkStart w:id="967" w:name="_Toc480271815"/>
      <w:bookmarkStart w:id="968" w:name="_Toc484183072"/>
      <w:bookmarkStart w:id="969" w:name="_Toc485126593"/>
      <w:r>
        <w:t xml:space="preserve">Commercial - </w:t>
      </w:r>
      <w:r w:rsidRPr="00541504">
        <w:t>Retrocommissioning</w:t>
      </w:r>
      <w:bookmarkEnd w:id="967"/>
      <w:bookmarkEnd w:id="968"/>
      <w:bookmarkEnd w:id="969"/>
    </w:p>
    <w:p w14:paraId="56E3E990" w14:textId="77777777" w:rsidR="00F9578C" w:rsidRPr="009C1B6F" w:rsidRDefault="00F9578C" w:rsidP="00F9578C">
      <w:pPr>
        <w:keepNext/>
        <w:keepLines/>
        <w:rPr>
          <w:b/>
        </w:rPr>
      </w:pPr>
      <w:r w:rsidRPr="009C1B6F">
        <w:rPr>
          <w:b/>
        </w:rPr>
        <w:t xml:space="preserve">Summary </w:t>
      </w:r>
    </w:p>
    <w:p w14:paraId="00842DFB" w14:textId="77777777" w:rsidR="00F9578C" w:rsidRDefault="00F9578C" w:rsidP="00F9578C">
      <w:pPr>
        <w:keepLines/>
      </w:pPr>
    </w:p>
    <w:p w14:paraId="69E4A28A" w14:textId="77777777" w:rsidR="00E01C42" w:rsidRDefault="00E01C42" w:rsidP="00E01C42">
      <w:r>
        <w:t>The potential for R</w:t>
      </w:r>
      <w:r w:rsidRPr="005D5766">
        <w:t xml:space="preserve">etrocommissioning (RCx) </w:t>
      </w:r>
      <w:r>
        <w:t>w</w:t>
      </w:r>
      <w:r w:rsidRPr="00DB3398">
        <w:t xml:space="preserve">as modelled as a component of behavioral savings in </w:t>
      </w:r>
      <w:r>
        <w:t xml:space="preserve">the </w:t>
      </w:r>
      <w:r w:rsidRPr="00DB3398">
        <w:t xml:space="preserve">2013 and 2015 </w:t>
      </w:r>
      <w:r>
        <w:t xml:space="preserve">Studies </w:t>
      </w:r>
      <w:r w:rsidRPr="00DB3398">
        <w:t xml:space="preserve">and this update refines several of the underlying assumptions and inputs used.  </w:t>
      </w:r>
      <w:r>
        <w:t>RCx</w:t>
      </w:r>
      <w:r w:rsidRPr="00DB3398">
        <w:t xml:space="preserve"> </w:t>
      </w:r>
      <w:r w:rsidR="0080627F">
        <w:t>is</w:t>
      </w:r>
      <w:r w:rsidRPr="00DB3398">
        <w:t xml:space="preserve"> defined as commissioning performed on building</w:t>
      </w:r>
      <w:r>
        <w:t>s</w:t>
      </w:r>
      <w:r w:rsidRPr="00DB3398">
        <w:t xml:space="preserve"> that have not been previously commissioned. </w:t>
      </w:r>
      <w:r w:rsidR="0080627F">
        <w:t xml:space="preserve">This model also includes the allowed recommissioning of buildings that have undergone commissioning after 5 years have passed. </w:t>
      </w:r>
      <w:r w:rsidRPr="00DB3398">
        <w:t xml:space="preserve">The model focuses on RCx activities that </w:t>
      </w:r>
      <w:r>
        <w:t>impact</w:t>
      </w:r>
      <w:r w:rsidRPr="00DB3398">
        <w:t xml:space="preserve"> HVAC system operation</w:t>
      </w:r>
      <w:r>
        <w:t>s</w:t>
      </w:r>
      <w:r w:rsidRPr="00DB3398">
        <w:t xml:space="preserve"> and includes, for example, measures such as</w:t>
      </w:r>
      <w:r>
        <w:t xml:space="preserve"> the following</w:t>
      </w:r>
      <w:r w:rsidRPr="00DB3398">
        <w:t>:</w:t>
      </w:r>
      <w:r w:rsidRPr="005D5766">
        <w:rPr>
          <w:rStyle w:val="FootnoteReference"/>
        </w:rPr>
        <w:footnoteReference w:id="161"/>
      </w:r>
    </w:p>
    <w:p w14:paraId="033C765C" w14:textId="77777777" w:rsidR="00E01C42" w:rsidRDefault="00E01C42" w:rsidP="004E4E36">
      <w:pPr>
        <w:pStyle w:val="ListParagraph"/>
        <w:numPr>
          <w:ilvl w:val="0"/>
          <w:numId w:val="65"/>
        </w:numPr>
      </w:pPr>
      <w:r>
        <w:t xml:space="preserve">Correct actuator/damper operations </w:t>
      </w:r>
    </w:p>
    <w:p w14:paraId="4195476B" w14:textId="77777777" w:rsidR="00E01C42" w:rsidRDefault="00E01C42" w:rsidP="004E4E36">
      <w:pPr>
        <w:pStyle w:val="ListParagraph"/>
        <w:numPr>
          <w:ilvl w:val="0"/>
          <w:numId w:val="65"/>
        </w:numPr>
      </w:pPr>
      <w:r>
        <w:t xml:space="preserve">Correct economizer operations </w:t>
      </w:r>
    </w:p>
    <w:p w14:paraId="16E19CDB" w14:textId="77777777" w:rsidR="00E01C42" w:rsidRDefault="00E01C42" w:rsidP="004E4E36">
      <w:pPr>
        <w:pStyle w:val="ListParagraph"/>
        <w:numPr>
          <w:ilvl w:val="0"/>
          <w:numId w:val="65"/>
        </w:numPr>
      </w:pPr>
      <w:r>
        <w:lastRenderedPageBreak/>
        <w:t xml:space="preserve">Adjust condenser water reset </w:t>
      </w:r>
    </w:p>
    <w:p w14:paraId="684B44E3" w14:textId="77777777" w:rsidR="00E01C42" w:rsidRDefault="00E01C42" w:rsidP="004E4E36">
      <w:pPr>
        <w:pStyle w:val="ListParagraph"/>
        <w:numPr>
          <w:ilvl w:val="0"/>
          <w:numId w:val="65"/>
        </w:numPr>
      </w:pPr>
      <w:r>
        <w:t xml:space="preserve">Adjust supply air temperature reset </w:t>
      </w:r>
    </w:p>
    <w:p w14:paraId="2A9EB5AC" w14:textId="77777777" w:rsidR="00E01C42" w:rsidRDefault="00E01C42" w:rsidP="004E4E36">
      <w:pPr>
        <w:pStyle w:val="ListParagraph"/>
        <w:numPr>
          <w:ilvl w:val="0"/>
          <w:numId w:val="65"/>
        </w:numPr>
      </w:pPr>
      <w:r>
        <w:t xml:space="preserve">Adjust zone temperature deadbands </w:t>
      </w:r>
    </w:p>
    <w:p w14:paraId="25AC4EF8" w14:textId="77777777" w:rsidR="00E01C42" w:rsidRDefault="00E01C42" w:rsidP="004E4E36">
      <w:pPr>
        <w:pStyle w:val="ListParagraph"/>
        <w:numPr>
          <w:ilvl w:val="0"/>
          <w:numId w:val="65"/>
        </w:numPr>
      </w:pPr>
      <w:r>
        <w:t xml:space="preserve">Adjust equipment scheduling </w:t>
      </w:r>
    </w:p>
    <w:p w14:paraId="5E5E3E82" w14:textId="77777777" w:rsidR="00E01C42" w:rsidRDefault="00E01C42" w:rsidP="004E4E36">
      <w:pPr>
        <w:pStyle w:val="ListParagraph"/>
        <w:numPr>
          <w:ilvl w:val="0"/>
          <w:numId w:val="65"/>
        </w:numPr>
      </w:pPr>
      <w:r>
        <w:t xml:space="preserve">Adjust duct static pressure reset </w:t>
      </w:r>
    </w:p>
    <w:p w14:paraId="6090E6D4" w14:textId="77777777" w:rsidR="00E01C42" w:rsidRDefault="00E01C42" w:rsidP="004E4E36">
      <w:pPr>
        <w:pStyle w:val="ListParagraph"/>
        <w:numPr>
          <w:ilvl w:val="0"/>
          <w:numId w:val="65"/>
        </w:numPr>
      </w:pPr>
      <w:r>
        <w:t xml:space="preserve">Adjust hot or cold deck reset </w:t>
      </w:r>
    </w:p>
    <w:p w14:paraId="31F4388B" w14:textId="77777777" w:rsidR="00E01C42" w:rsidRDefault="00E01C42" w:rsidP="004E4E36">
      <w:pPr>
        <w:pStyle w:val="ListParagraph"/>
        <w:numPr>
          <w:ilvl w:val="0"/>
          <w:numId w:val="65"/>
        </w:numPr>
      </w:pPr>
      <w:r>
        <w:t xml:space="preserve">Optimize Variable Frequency Drives on fans or pumps </w:t>
      </w:r>
    </w:p>
    <w:p w14:paraId="012A0B0F" w14:textId="77777777" w:rsidR="00E01C42" w:rsidRDefault="00E01C42" w:rsidP="004E4E36">
      <w:pPr>
        <w:pStyle w:val="ListParagraph"/>
        <w:numPr>
          <w:ilvl w:val="0"/>
          <w:numId w:val="65"/>
        </w:numPr>
      </w:pPr>
      <w:r>
        <w:t xml:space="preserve">Recode Controls HVAC airflow rebalance/adjust </w:t>
      </w:r>
    </w:p>
    <w:p w14:paraId="44F6FAC4" w14:textId="77777777" w:rsidR="00E01C42" w:rsidRDefault="00E01C42" w:rsidP="004E4E36">
      <w:pPr>
        <w:pStyle w:val="ListParagraph"/>
        <w:numPr>
          <w:ilvl w:val="0"/>
          <w:numId w:val="65"/>
        </w:numPr>
      </w:pPr>
      <w:r>
        <w:t>Reduce simultaneous heating and cooling</w:t>
      </w:r>
    </w:p>
    <w:p w14:paraId="51FF1382" w14:textId="77777777" w:rsidR="00E01C42" w:rsidRPr="008261F5" w:rsidRDefault="00E01C42" w:rsidP="004E4E36">
      <w:pPr>
        <w:pStyle w:val="ListParagraph"/>
        <w:numPr>
          <w:ilvl w:val="0"/>
          <w:numId w:val="65"/>
        </w:numPr>
      </w:pPr>
      <w:r>
        <w:t>Adjust boiler lockout schedule</w:t>
      </w:r>
    </w:p>
    <w:p w14:paraId="419C5385" w14:textId="77777777" w:rsidR="00E01C42" w:rsidRPr="008261F5" w:rsidRDefault="00E01C42" w:rsidP="00E01C42"/>
    <w:p w14:paraId="253CE15F" w14:textId="52905214" w:rsidR="00E01C42" w:rsidRPr="005D5766" w:rsidRDefault="00E01C42" w:rsidP="00E01C42">
      <w:pPr>
        <w:rPr>
          <w:szCs w:val="20"/>
        </w:rPr>
      </w:pPr>
      <w:r w:rsidRPr="005D5766">
        <w:rPr>
          <w:szCs w:val="20"/>
        </w:rPr>
        <w:t>The model inputs for electric and natural gas for RCx</w:t>
      </w:r>
      <w:r>
        <w:rPr>
          <w:szCs w:val="20"/>
        </w:rPr>
        <w:t>,</w:t>
      </w:r>
      <w:r w:rsidRPr="005D5766">
        <w:rPr>
          <w:szCs w:val="20"/>
        </w:rPr>
        <w:t xml:space="preserve"> shown in </w:t>
      </w:r>
      <w:r>
        <w:rPr>
          <w:szCs w:val="20"/>
        </w:rPr>
        <w:fldChar w:fldCharType="begin"/>
      </w:r>
      <w:r>
        <w:rPr>
          <w:szCs w:val="20"/>
        </w:rPr>
        <w:instrText xml:space="preserve"> REF _Ref479180011 \h  \* MERGEFORMAT </w:instrText>
      </w:r>
      <w:r>
        <w:rPr>
          <w:szCs w:val="20"/>
        </w:rPr>
      </w:r>
      <w:r>
        <w:rPr>
          <w:szCs w:val="20"/>
        </w:rPr>
        <w:fldChar w:fldCharType="separate"/>
      </w:r>
      <w:r w:rsidR="00C407F4" w:rsidRPr="00F9578C">
        <w:t xml:space="preserve">Table </w:t>
      </w:r>
      <w:r w:rsidR="00C407F4">
        <w:rPr>
          <w:noProof/>
        </w:rPr>
        <w:t>B</w:t>
      </w:r>
      <w:r w:rsidR="00C407F4" w:rsidRPr="00F9578C">
        <w:rPr>
          <w:noProof/>
        </w:rPr>
        <w:noBreakHyphen/>
      </w:r>
      <w:r w:rsidR="00C407F4">
        <w:rPr>
          <w:noProof/>
        </w:rPr>
        <w:t>10.</w:t>
      </w:r>
      <w:r w:rsidR="00C407F4">
        <w:t xml:space="preserve"> </w:t>
      </w:r>
      <w:r>
        <w:rPr>
          <w:szCs w:val="20"/>
        </w:rPr>
        <w:fldChar w:fldCharType="end"/>
      </w:r>
      <w:r>
        <w:rPr>
          <w:szCs w:val="20"/>
        </w:rPr>
        <w:t xml:space="preserve">, are </w:t>
      </w:r>
      <w:r w:rsidRPr="005D5766">
        <w:rPr>
          <w:szCs w:val="20"/>
        </w:rPr>
        <w:t>based on customer segment consumption (</w:t>
      </w:r>
      <w:r>
        <w:rPr>
          <w:szCs w:val="20"/>
        </w:rPr>
        <w:t>kWh</w:t>
      </w:r>
      <w:r w:rsidR="0080627F">
        <w:rPr>
          <w:szCs w:val="20"/>
        </w:rPr>
        <w:t xml:space="preserve"> or</w:t>
      </w:r>
      <w:r>
        <w:rPr>
          <w:szCs w:val="20"/>
        </w:rPr>
        <w:t xml:space="preserve"> therms per</w:t>
      </w:r>
      <w:r w:rsidRPr="005D5766">
        <w:rPr>
          <w:szCs w:val="20"/>
        </w:rPr>
        <w:t xml:space="preserve"> year).  Electricity and natural gas savings range from </w:t>
      </w:r>
      <w:r>
        <w:t>2.3</w:t>
      </w:r>
      <w:r w:rsidRPr="005D5766">
        <w:t>% to 12.7%</w:t>
      </w:r>
      <w:r>
        <w:t>,</w:t>
      </w:r>
      <w:r w:rsidRPr="005D5766">
        <w:t xml:space="preserve"> and a</w:t>
      </w:r>
      <w:r>
        <w:t>re applied consisten</w:t>
      </w:r>
      <w:r w:rsidR="006F2DA9">
        <w:t>tly</w:t>
      </w:r>
      <w:r w:rsidRPr="005D5766">
        <w:t xml:space="preserve"> level for all utilities.  </w:t>
      </w:r>
      <w:r w:rsidRPr="005D5766">
        <w:rPr>
          <w:szCs w:val="20"/>
        </w:rPr>
        <w:t xml:space="preserve">Costs for electricity and natural gas savings are also constant across utilities </w:t>
      </w:r>
      <w:r>
        <w:rPr>
          <w:szCs w:val="20"/>
        </w:rPr>
        <w:t xml:space="preserve">at </w:t>
      </w:r>
      <w:r w:rsidRPr="005D5766">
        <w:t>$0.39</w:t>
      </w:r>
      <w:r>
        <w:t xml:space="preserve"> per </w:t>
      </w:r>
      <w:r w:rsidRPr="005D5766">
        <w:rPr>
          <w:szCs w:val="20"/>
        </w:rPr>
        <w:t xml:space="preserve">kWh and </w:t>
      </w:r>
      <w:r w:rsidRPr="005D5766">
        <w:t>$0.29</w:t>
      </w:r>
      <w:r>
        <w:t xml:space="preserve"> per </w:t>
      </w:r>
      <w:r w:rsidRPr="005D5766">
        <w:rPr>
          <w:szCs w:val="20"/>
        </w:rPr>
        <w:t>therm.</w:t>
      </w:r>
    </w:p>
    <w:p w14:paraId="2B9EBB00" w14:textId="77777777" w:rsidR="00E01C42" w:rsidRPr="005D5766" w:rsidRDefault="00E01C42" w:rsidP="00E01C42">
      <w:pPr>
        <w:rPr>
          <w:szCs w:val="20"/>
        </w:rPr>
      </w:pPr>
    </w:p>
    <w:p w14:paraId="0378BF67" w14:textId="77777777" w:rsidR="00E01C42" w:rsidRPr="00210C13" w:rsidRDefault="00F9578C" w:rsidP="00E01C42">
      <w:pPr>
        <w:pStyle w:val="Caption"/>
        <w:rPr>
          <w:b w:val="0"/>
          <w:color w:val="auto"/>
          <w:szCs w:val="24"/>
        </w:rPr>
      </w:pPr>
      <w:bookmarkStart w:id="970" w:name="_Ref479180011"/>
      <w:bookmarkStart w:id="971" w:name="_Toc485125611"/>
      <w:r w:rsidRPr="00F9578C">
        <w:rPr>
          <w:color w:val="auto"/>
        </w:rPr>
        <w:t xml:space="preserve">Table </w:t>
      </w:r>
      <w:r w:rsidRPr="00F9578C">
        <w:rPr>
          <w:color w:val="auto"/>
        </w:rPr>
        <w:fldChar w:fldCharType="begin"/>
      </w:r>
      <w:r w:rsidRPr="00F9578C">
        <w:rPr>
          <w:color w:val="auto"/>
        </w:rPr>
        <w:instrText xml:space="preserve"> STYLEREF 5 \s </w:instrText>
      </w:r>
      <w:r w:rsidRPr="00F9578C">
        <w:rPr>
          <w:color w:val="auto"/>
        </w:rPr>
        <w:fldChar w:fldCharType="separate"/>
      </w:r>
      <w:r w:rsidR="00C407F4">
        <w:rPr>
          <w:noProof/>
          <w:color w:val="auto"/>
        </w:rPr>
        <w:t>B</w:t>
      </w:r>
      <w:r w:rsidRPr="00F9578C">
        <w:rPr>
          <w:color w:val="auto"/>
        </w:rPr>
        <w:fldChar w:fldCharType="end"/>
      </w:r>
      <w:r w:rsidRPr="00F9578C">
        <w:rPr>
          <w:color w:val="auto"/>
        </w:rPr>
        <w:noBreakHyphen/>
      </w:r>
      <w:r w:rsidRPr="00F9578C">
        <w:rPr>
          <w:color w:val="auto"/>
        </w:rPr>
        <w:fldChar w:fldCharType="begin"/>
      </w:r>
      <w:r w:rsidRPr="00F9578C">
        <w:rPr>
          <w:color w:val="auto"/>
        </w:rPr>
        <w:instrText xml:space="preserve"> SEQ Table_Apx \* ARABIC \s 5 </w:instrText>
      </w:r>
      <w:r w:rsidRPr="00F9578C">
        <w:rPr>
          <w:color w:val="auto"/>
        </w:rPr>
        <w:fldChar w:fldCharType="separate"/>
      </w:r>
      <w:r w:rsidR="00C407F4">
        <w:rPr>
          <w:noProof/>
          <w:color w:val="auto"/>
        </w:rPr>
        <w:t>10</w:t>
      </w:r>
      <w:r w:rsidRPr="00F9578C">
        <w:rPr>
          <w:color w:val="auto"/>
        </w:rPr>
        <w:fldChar w:fldCharType="end"/>
      </w:r>
      <w:r>
        <w:rPr>
          <w:color w:val="auto"/>
        </w:rPr>
        <w:t xml:space="preserve">. </w:t>
      </w:r>
      <w:bookmarkEnd w:id="970"/>
      <w:r w:rsidR="00E01C42" w:rsidRPr="005D5766">
        <w:rPr>
          <w:color w:val="auto"/>
        </w:rPr>
        <w:t>Commercial Retrocommissioning - Key Assumptions</w:t>
      </w:r>
      <w:bookmarkEnd w:id="971"/>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E01C42" w:rsidRPr="00C057BD" w14:paraId="39B40CE0"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4A538212"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00B1DA77"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4216A640"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79F4C6BB"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3E78E54D"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3F018E12" w14:textId="77777777" w:rsidR="00E01C42" w:rsidRPr="00D11078" w:rsidRDefault="00E01C42" w:rsidP="008C0AC4">
            <w:pPr>
              <w:spacing w:before="40" w:after="40"/>
              <w:jc w:val="center"/>
              <w:rPr>
                <w:b/>
                <w:color w:val="FFFFFF"/>
              </w:rPr>
            </w:pPr>
            <w:r w:rsidRPr="00D11078">
              <w:rPr>
                <w:b/>
                <w:color w:val="FFFFFF"/>
              </w:rPr>
              <w:t>kW/kWh Savings Ratio</w:t>
            </w:r>
          </w:p>
        </w:tc>
      </w:tr>
      <w:tr w:rsidR="00E01C42" w:rsidRPr="00C057BD" w14:paraId="77FD7998" w14:textId="77777777" w:rsidTr="008C0AC4">
        <w:trPr>
          <w:cantSplit/>
          <w:trHeight w:val="144"/>
          <w:jc w:val="center"/>
        </w:trPr>
        <w:tc>
          <w:tcPr>
            <w:tcW w:w="1120" w:type="dxa"/>
            <w:vMerge/>
            <w:tcBorders>
              <w:bottom w:val="single" w:sz="12" w:space="0" w:color="95D600"/>
            </w:tcBorders>
            <w:shd w:val="clear" w:color="auto" w:fill="auto"/>
            <w:hideMark/>
          </w:tcPr>
          <w:p w14:paraId="4B5EBA07" w14:textId="77777777" w:rsidR="00E01C42" w:rsidRPr="00C057BD" w:rsidRDefault="00E01C42" w:rsidP="008C0AC4">
            <w:pPr>
              <w:spacing w:before="40" w:after="40"/>
              <w:jc w:val="center"/>
            </w:pPr>
          </w:p>
        </w:tc>
        <w:tc>
          <w:tcPr>
            <w:tcW w:w="1524" w:type="dxa"/>
            <w:vMerge/>
            <w:tcBorders>
              <w:bottom w:val="single" w:sz="12" w:space="0" w:color="95D600"/>
            </w:tcBorders>
            <w:shd w:val="clear" w:color="auto" w:fill="auto"/>
            <w:hideMark/>
          </w:tcPr>
          <w:p w14:paraId="0C13716B" w14:textId="77777777" w:rsidR="00E01C42" w:rsidRPr="00C057BD" w:rsidRDefault="00E01C42" w:rsidP="008C0AC4">
            <w:pPr>
              <w:spacing w:before="40" w:after="40"/>
              <w:jc w:val="center"/>
            </w:pPr>
          </w:p>
        </w:tc>
        <w:tc>
          <w:tcPr>
            <w:tcW w:w="1002" w:type="dxa"/>
            <w:vMerge/>
            <w:tcBorders>
              <w:bottom w:val="single" w:sz="12" w:space="0" w:color="95D600"/>
            </w:tcBorders>
            <w:shd w:val="clear" w:color="auto" w:fill="555759"/>
            <w:hideMark/>
          </w:tcPr>
          <w:p w14:paraId="60F2C54D" w14:textId="77777777" w:rsidR="00E01C42" w:rsidRPr="00C057BD"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5C87F3FC"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66A802A8"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567AC763"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3F40116F"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17E99B74" w14:textId="77777777" w:rsidR="00E01C42" w:rsidRPr="00C057BD" w:rsidRDefault="00E01C42" w:rsidP="008C0AC4">
            <w:pPr>
              <w:spacing w:before="40" w:after="40"/>
              <w:jc w:val="center"/>
            </w:pPr>
          </w:p>
        </w:tc>
      </w:tr>
      <w:tr w:rsidR="00E01C42" w:rsidRPr="00C057BD" w14:paraId="7E6744C8" w14:textId="77777777" w:rsidTr="008C0AC4">
        <w:trPr>
          <w:cantSplit/>
          <w:trHeight w:val="738"/>
          <w:jc w:val="center"/>
        </w:trPr>
        <w:tc>
          <w:tcPr>
            <w:tcW w:w="1120" w:type="dxa"/>
            <w:tcBorders>
              <w:top w:val="single" w:sz="12" w:space="0" w:color="95D600"/>
            </w:tcBorders>
            <w:shd w:val="clear" w:color="auto" w:fill="FFFFFF"/>
            <w:hideMark/>
          </w:tcPr>
          <w:p w14:paraId="522EAEDC" w14:textId="77777777" w:rsidR="00E01C42" w:rsidRPr="00C057BD" w:rsidRDefault="00E01C42" w:rsidP="008C0AC4">
            <w:pPr>
              <w:spacing w:before="40" w:after="40"/>
              <w:jc w:val="center"/>
            </w:pPr>
            <w:r w:rsidRPr="00C057BD">
              <w:t>COM</w:t>
            </w:r>
          </w:p>
        </w:tc>
        <w:tc>
          <w:tcPr>
            <w:tcW w:w="1524" w:type="dxa"/>
            <w:tcBorders>
              <w:top w:val="single" w:sz="12" w:space="0" w:color="95D600"/>
            </w:tcBorders>
            <w:shd w:val="clear" w:color="auto" w:fill="FFFFFF"/>
            <w:hideMark/>
          </w:tcPr>
          <w:p w14:paraId="63F70476" w14:textId="77777777" w:rsidR="00E01C42" w:rsidRPr="00C057BD" w:rsidRDefault="00E01C42" w:rsidP="008C0AC4">
            <w:pPr>
              <w:spacing w:before="40" w:after="40"/>
              <w:jc w:val="center"/>
            </w:pPr>
            <w:r>
              <w:t>RCx</w:t>
            </w:r>
          </w:p>
        </w:tc>
        <w:tc>
          <w:tcPr>
            <w:tcW w:w="1002" w:type="dxa"/>
            <w:tcBorders>
              <w:top w:val="single" w:sz="12" w:space="0" w:color="95D600"/>
            </w:tcBorders>
            <w:shd w:val="clear" w:color="auto" w:fill="FFFFFF"/>
            <w:hideMark/>
          </w:tcPr>
          <w:p w14:paraId="16731B34" w14:textId="77777777" w:rsidR="00E01C42" w:rsidRPr="00C057BD" w:rsidRDefault="00E01C42" w:rsidP="008C0AC4">
            <w:pPr>
              <w:spacing w:before="40" w:after="40"/>
              <w:jc w:val="center"/>
            </w:pPr>
            <w:r>
              <w:t>5</w:t>
            </w:r>
          </w:p>
        </w:tc>
        <w:tc>
          <w:tcPr>
            <w:tcW w:w="949" w:type="dxa"/>
            <w:tcBorders>
              <w:top w:val="single" w:sz="12" w:space="0" w:color="95D600"/>
            </w:tcBorders>
            <w:shd w:val="clear" w:color="auto" w:fill="FFFFFF"/>
            <w:hideMark/>
          </w:tcPr>
          <w:p w14:paraId="58E768CA" w14:textId="77777777" w:rsidR="00E01C42" w:rsidRPr="00C057BD" w:rsidRDefault="00E01C42" w:rsidP="008C0AC4">
            <w:pPr>
              <w:spacing w:before="40" w:after="40"/>
              <w:jc w:val="center"/>
            </w:pPr>
            <w:r>
              <w:t>2.3</w:t>
            </w:r>
            <w:r w:rsidRPr="005D5766">
              <w:t xml:space="preserve">% - </w:t>
            </w:r>
            <w:r w:rsidR="0080627F">
              <w:t>5.1</w:t>
            </w:r>
            <w:r w:rsidRPr="005D5766">
              <w:t>7%</w:t>
            </w:r>
          </w:p>
        </w:tc>
        <w:tc>
          <w:tcPr>
            <w:tcW w:w="1121" w:type="dxa"/>
            <w:tcBorders>
              <w:top w:val="single" w:sz="12" w:space="0" w:color="95D600"/>
            </w:tcBorders>
            <w:shd w:val="clear" w:color="auto" w:fill="FFFFFF"/>
            <w:hideMark/>
          </w:tcPr>
          <w:p w14:paraId="40ABF17D" w14:textId="77777777" w:rsidR="00E01C42" w:rsidRPr="00C057BD" w:rsidRDefault="00E01C42" w:rsidP="008C0AC4">
            <w:pPr>
              <w:spacing w:before="40" w:after="40"/>
              <w:jc w:val="center"/>
            </w:pPr>
            <w:r>
              <w:t>2.3</w:t>
            </w:r>
            <w:r w:rsidRPr="005D5766">
              <w:t xml:space="preserve">% - </w:t>
            </w:r>
            <w:r w:rsidR="0080627F">
              <w:t>5.1</w:t>
            </w:r>
            <w:r w:rsidRPr="005D5766">
              <w:t>7%</w:t>
            </w:r>
          </w:p>
        </w:tc>
        <w:tc>
          <w:tcPr>
            <w:tcW w:w="960" w:type="dxa"/>
            <w:tcBorders>
              <w:top w:val="single" w:sz="12" w:space="0" w:color="95D600"/>
            </w:tcBorders>
            <w:shd w:val="clear" w:color="auto" w:fill="FFFFFF"/>
            <w:hideMark/>
          </w:tcPr>
          <w:p w14:paraId="1F5C15AA" w14:textId="77777777" w:rsidR="00E01C42" w:rsidRPr="00C057BD" w:rsidRDefault="00E01C42" w:rsidP="008C0AC4">
            <w:pPr>
              <w:spacing w:before="40" w:after="40"/>
              <w:jc w:val="center"/>
            </w:pPr>
            <w:r w:rsidRPr="005D5766">
              <w:t>$0.</w:t>
            </w:r>
            <w:r w:rsidR="0080627F">
              <w:t>21</w:t>
            </w:r>
          </w:p>
        </w:tc>
        <w:tc>
          <w:tcPr>
            <w:tcW w:w="1106" w:type="dxa"/>
            <w:tcBorders>
              <w:top w:val="single" w:sz="12" w:space="0" w:color="95D600"/>
            </w:tcBorders>
            <w:shd w:val="clear" w:color="auto" w:fill="FFFFFF"/>
            <w:hideMark/>
          </w:tcPr>
          <w:p w14:paraId="2AB7D8A6" w14:textId="77777777" w:rsidR="00E01C42" w:rsidRPr="00D11078" w:rsidRDefault="00E01C42" w:rsidP="008C0AC4">
            <w:pPr>
              <w:spacing w:before="40" w:after="40"/>
              <w:jc w:val="center"/>
              <w:rPr>
                <w:highlight w:val="red"/>
              </w:rPr>
            </w:pPr>
            <w:r w:rsidRPr="005D5766">
              <w:t>$0.</w:t>
            </w:r>
            <w:r w:rsidR="0080627F">
              <w:t>3</w:t>
            </w:r>
            <w:r w:rsidRPr="005D5766">
              <w:t>9</w:t>
            </w:r>
          </w:p>
        </w:tc>
        <w:tc>
          <w:tcPr>
            <w:tcW w:w="1700" w:type="dxa"/>
            <w:tcBorders>
              <w:top w:val="single" w:sz="12" w:space="0" w:color="95D600"/>
            </w:tcBorders>
            <w:shd w:val="clear" w:color="auto" w:fill="FFFFFF"/>
            <w:hideMark/>
          </w:tcPr>
          <w:p w14:paraId="69FF337D" w14:textId="77777777" w:rsidR="00E01C42" w:rsidRPr="00C057BD" w:rsidRDefault="00E01C42" w:rsidP="008C0AC4">
            <w:pPr>
              <w:spacing w:before="40" w:after="40"/>
              <w:jc w:val="center"/>
            </w:pPr>
            <w:r w:rsidRPr="005D5766">
              <w:t>0.000138</w:t>
            </w:r>
          </w:p>
        </w:tc>
      </w:tr>
    </w:tbl>
    <w:p w14:paraId="5AC6AEF5" w14:textId="77777777" w:rsidR="00E01C42" w:rsidRDefault="00E01C42" w:rsidP="00E01C42">
      <w:pPr>
        <w:rPr>
          <w:b/>
        </w:rPr>
      </w:pPr>
    </w:p>
    <w:p w14:paraId="1332C20D" w14:textId="77777777" w:rsidR="00E01C42" w:rsidRPr="005D5766" w:rsidRDefault="00E01C42" w:rsidP="00E01C42">
      <w:pPr>
        <w:rPr>
          <w:b/>
        </w:rPr>
      </w:pPr>
      <w:r w:rsidRPr="005D5766">
        <w:rPr>
          <w:b/>
        </w:rPr>
        <w:t>Assumptions and Methodology</w:t>
      </w:r>
    </w:p>
    <w:p w14:paraId="1D4B266B" w14:textId="77777777" w:rsidR="00E01C42" w:rsidRPr="005D5766" w:rsidRDefault="00E01C42" w:rsidP="00E01C42">
      <w:pPr>
        <w:rPr>
          <w:b/>
        </w:rPr>
      </w:pPr>
    </w:p>
    <w:p w14:paraId="670DAB77" w14:textId="77777777" w:rsidR="00E01C42" w:rsidRPr="005D5766" w:rsidRDefault="00E01C42" w:rsidP="00E01C42">
      <w:pPr>
        <w:rPr>
          <w:b/>
          <w:i/>
          <w:szCs w:val="20"/>
        </w:rPr>
      </w:pPr>
      <w:r w:rsidRPr="005D5766">
        <w:rPr>
          <w:b/>
          <w:i/>
          <w:szCs w:val="20"/>
        </w:rPr>
        <w:t>Eligibility and Participation</w:t>
      </w:r>
    </w:p>
    <w:p w14:paraId="1277D0D8" w14:textId="77777777" w:rsidR="00E01C42" w:rsidRPr="005D5766" w:rsidRDefault="00E01C42" w:rsidP="00122CD3">
      <w:r w:rsidRPr="00DA15D5">
        <w:t xml:space="preserve">Consistent with previous </w:t>
      </w:r>
      <w:r>
        <w:t>Studies</w:t>
      </w:r>
      <w:r w:rsidRPr="00DA15D5">
        <w:t xml:space="preserve">, </w:t>
      </w:r>
      <w:r w:rsidRPr="005D5766">
        <w:t xml:space="preserve">RCx </w:t>
      </w:r>
      <w:r w:rsidRPr="00DA15D5">
        <w:t xml:space="preserve">savings </w:t>
      </w:r>
      <w:r>
        <w:t>are applied</w:t>
      </w:r>
      <w:r w:rsidRPr="00DA15D5">
        <w:t xml:space="preserve"> to </w:t>
      </w:r>
      <w:r w:rsidRPr="005D5766">
        <w:t xml:space="preserve">select </w:t>
      </w:r>
      <w:r w:rsidRPr="00DA15D5">
        <w:t xml:space="preserve">commercial market segments, </w:t>
      </w:r>
      <w:r w:rsidRPr="005D5766">
        <w:t xml:space="preserve">and the </w:t>
      </w:r>
      <w:r w:rsidRPr="00DA15D5">
        <w:t xml:space="preserve">applicability factor ranges from </w:t>
      </w:r>
      <w:r w:rsidRPr="005D5766">
        <w:t>18</w:t>
      </w:r>
      <w:r w:rsidRPr="00DA15D5">
        <w:t xml:space="preserve">% to </w:t>
      </w:r>
      <w:r w:rsidR="0080627F">
        <w:t>91</w:t>
      </w:r>
      <w:r w:rsidRPr="00DA15D5">
        <w:t>%</w:t>
      </w:r>
      <w:r w:rsidRPr="009A2197">
        <w:t xml:space="preserve">. </w:t>
      </w:r>
      <w:r w:rsidRPr="009A2197">
        <w:rPr>
          <w:szCs w:val="20"/>
        </w:rPr>
        <w:t>Th</w:t>
      </w:r>
      <w:r>
        <w:rPr>
          <w:szCs w:val="20"/>
        </w:rPr>
        <w:t xml:space="preserve">is </w:t>
      </w:r>
      <w:r w:rsidRPr="009A2197">
        <w:rPr>
          <w:szCs w:val="20"/>
        </w:rPr>
        <w:t xml:space="preserve">model </w:t>
      </w:r>
      <w:r w:rsidRPr="005D5766">
        <w:rPr>
          <w:szCs w:val="20"/>
        </w:rPr>
        <w:t xml:space="preserve">also </w:t>
      </w:r>
      <w:r>
        <w:rPr>
          <w:szCs w:val="20"/>
        </w:rPr>
        <w:t>adjusted</w:t>
      </w:r>
      <w:r w:rsidRPr="005D5766">
        <w:rPr>
          <w:szCs w:val="20"/>
        </w:rPr>
        <w:t xml:space="preserve"> the eligibility and participation estimates </w:t>
      </w:r>
      <w:r>
        <w:rPr>
          <w:szCs w:val="20"/>
        </w:rPr>
        <w:t xml:space="preserve">for RCx </w:t>
      </w:r>
      <w:r w:rsidRPr="005D5766">
        <w:rPr>
          <w:szCs w:val="20"/>
        </w:rPr>
        <w:t xml:space="preserve">to exclude </w:t>
      </w:r>
      <w:r>
        <w:rPr>
          <w:szCs w:val="20"/>
        </w:rPr>
        <w:t xml:space="preserve">BEIMS </w:t>
      </w:r>
      <w:r w:rsidRPr="005D5766">
        <w:rPr>
          <w:szCs w:val="20"/>
        </w:rPr>
        <w:t xml:space="preserve">market </w:t>
      </w:r>
      <w:r>
        <w:rPr>
          <w:szCs w:val="20"/>
        </w:rPr>
        <w:t xml:space="preserve">potential, </w:t>
      </w:r>
      <w:r w:rsidRPr="009A2197">
        <w:rPr>
          <w:szCs w:val="20"/>
        </w:rPr>
        <w:t>and</w:t>
      </w:r>
      <w:r>
        <w:rPr>
          <w:szCs w:val="20"/>
        </w:rPr>
        <w:t xml:space="preserve"> to </w:t>
      </w:r>
      <w:r w:rsidRPr="005D5766">
        <w:rPr>
          <w:szCs w:val="20"/>
        </w:rPr>
        <w:t>exclude building</w:t>
      </w:r>
      <w:r>
        <w:rPr>
          <w:szCs w:val="20"/>
        </w:rPr>
        <w:t>s</w:t>
      </w:r>
      <w:r w:rsidRPr="005D5766">
        <w:rPr>
          <w:szCs w:val="20"/>
        </w:rPr>
        <w:t xml:space="preserve"> built after 2011 when commissioning became a requirement under CalGreen.</w:t>
      </w:r>
      <w:r>
        <w:rPr>
          <w:szCs w:val="20"/>
        </w:rPr>
        <w:t xml:space="preserve"> It is estimated that approximately 92% of commercial building stock was constructed before 2011.</w:t>
      </w:r>
      <w:r w:rsidRPr="005D5766">
        <w:rPr>
          <w:szCs w:val="20"/>
        </w:rPr>
        <w:t xml:space="preserve"> The exclusion of market savings </w:t>
      </w:r>
      <w:r>
        <w:rPr>
          <w:szCs w:val="20"/>
        </w:rPr>
        <w:t xml:space="preserve">from BEIMS </w:t>
      </w:r>
      <w:r w:rsidRPr="005D5766">
        <w:rPr>
          <w:szCs w:val="20"/>
        </w:rPr>
        <w:t xml:space="preserve">is intended to reduce the risk of double counting savings because the </w:t>
      </w:r>
      <w:r>
        <w:rPr>
          <w:szCs w:val="20"/>
        </w:rPr>
        <w:t>EMS</w:t>
      </w:r>
      <w:r w:rsidRPr="005D5766">
        <w:rPr>
          <w:szCs w:val="20"/>
        </w:rPr>
        <w:t xml:space="preserve"> technologies inherent in </w:t>
      </w:r>
      <w:r>
        <w:rPr>
          <w:szCs w:val="20"/>
        </w:rPr>
        <w:t xml:space="preserve">the </w:t>
      </w:r>
      <w:r w:rsidRPr="005D5766">
        <w:rPr>
          <w:szCs w:val="20"/>
        </w:rPr>
        <w:t>B</w:t>
      </w:r>
      <w:r>
        <w:rPr>
          <w:szCs w:val="20"/>
        </w:rPr>
        <w:t>EI</w:t>
      </w:r>
      <w:r w:rsidRPr="005D5766">
        <w:rPr>
          <w:szCs w:val="20"/>
        </w:rPr>
        <w:t xml:space="preserve">MS </w:t>
      </w:r>
      <w:r>
        <w:rPr>
          <w:szCs w:val="20"/>
        </w:rPr>
        <w:t xml:space="preserve">measure </w:t>
      </w:r>
      <w:r w:rsidRPr="005D5766">
        <w:rPr>
          <w:szCs w:val="20"/>
        </w:rPr>
        <w:t>allow for continuous commissioning that would exclude commissioning activities defined in the RCx measure. The</w:t>
      </w:r>
      <w:r>
        <w:rPr>
          <w:szCs w:val="20"/>
        </w:rPr>
        <w:t xml:space="preserve"> </w:t>
      </w:r>
      <w:r w:rsidRPr="005D5766">
        <w:rPr>
          <w:szCs w:val="20"/>
        </w:rPr>
        <w:t xml:space="preserve">model </w:t>
      </w:r>
      <w:r w:rsidRPr="000C5D23">
        <w:rPr>
          <w:szCs w:val="20"/>
        </w:rPr>
        <w:t xml:space="preserve">assumes that </w:t>
      </w:r>
      <w:r w:rsidRPr="005D5766">
        <w:rPr>
          <w:szCs w:val="20"/>
        </w:rPr>
        <w:t xml:space="preserve">RCx </w:t>
      </w:r>
      <w:r w:rsidRPr="000C5D23">
        <w:rPr>
          <w:szCs w:val="20"/>
        </w:rPr>
        <w:t xml:space="preserve">program interventions in the commercial market have been ongoing </w:t>
      </w:r>
      <w:r>
        <w:rPr>
          <w:szCs w:val="20"/>
        </w:rPr>
        <w:t xml:space="preserve">since the 2015 Study, </w:t>
      </w:r>
      <w:r w:rsidRPr="000C5D23">
        <w:rPr>
          <w:szCs w:val="20"/>
        </w:rPr>
        <w:t xml:space="preserve">and a </w:t>
      </w:r>
      <w:r>
        <w:rPr>
          <w:szCs w:val="20"/>
        </w:rPr>
        <w:t>CAGR</w:t>
      </w:r>
      <w:r w:rsidRPr="000C5D23">
        <w:rPr>
          <w:szCs w:val="20"/>
        </w:rPr>
        <w:t xml:space="preserve"> was used to forecast gr</w:t>
      </w:r>
      <w:r>
        <w:rPr>
          <w:szCs w:val="20"/>
        </w:rPr>
        <w:t>owth in participation through</w:t>
      </w:r>
      <w:r w:rsidRPr="000C5D23">
        <w:rPr>
          <w:szCs w:val="20"/>
        </w:rPr>
        <w:t xml:space="preserve"> the model forecast horizon. In the reference case, a </w:t>
      </w:r>
      <w:r w:rsidRPr="005D5766">
        <w:rPr>
          <w:szCs w:val="20"/>
        </w:rPr>
        <w:t>3</w:t>
      </w:r>
      <w:r w:rsidRPr="000C5D23">
        <w:rPr>
          <w:szCs w:val="20"/>
        </w:rPr>
        <w:t xml:space="preserve">% CAGR was used to forecast growth in </w:t>
      </w:r>
      <w:r w:rsidRPr="005D5766">
        <w:rPr>
          <w:szCs w:val="20"/>
        </w:rPr>
        <w:t>RC</w:t>
      </w:r>
      <w:r>
        <w:rPr>
          <w:szCs w:val="20"/>
        </w:rPr>
        <w:t>x</w:t>
      </w:r>
      <w:r w:rsidRPr="000C5D23">
        <w:rPr>
          <w:szCs w:val="20"/>
        </w:rPr>
        <w:t xml:space="preserve">, while the aggressive case used a </w:t>
      </w:r>
      <w:r w:rsidRPr="005D5766">
        <w:rPr>
          <w:szCs w:val="20"/>
        </w:rPr>
        <w:t>5</w:t>
      </w:r>
      <w:r w:rsidRPr="000C5D23">
        <w:rPr>
          <w:szCs w:val="20"/>
        </w:rPr>
        <w:t xml:space="preserve">% CAGR. </w:t>
      </w:r>
      <w:r w:rsidR="0080627F">
        <w:rPr>
          <w:szCs w:val="20"/>
        </w:rPr>
        <w:t xml:space="preserve">Recommissioning is anticipated in 25% of RCx participants after 5 years, and reparticipation is additionally discounted by 25% to avoid double counting of savings influenced by other programs, such as BOC and SEM. </w:t>
      </w:r>
      <w:r w:rsidRPr="005D5766">
        <w:rPr>
          <w:szCs w:val="20"/>
        </w:rPr>
        <w:t>L</w:t>
      </w:r>
      <w:r w:rsidRPr="000C5D23">
        <w:rPr>
          <w:szCs w:val="20"/>
        </w:rPr>
        <w:t xml:space="preserve">ow initial </w:t>
      </w:r>
      <w:r>
        <w:rPr>
          <w:szCs w:val="20"/>
        </w:rPr>
        <w:t xml:space="preserve">penetration </w:t>
      </w:r>
      <w:r w:rsidRPr="005D5766">
        <w:rPr>
          <w:szCs w:val="20"/>
        </w:rPr>
        <w:t xml:space="preserve">of RCx </w:t>
      </w:r>
      <w:r w:rsidRPr="000C5D23">
        <w:rPr>
          <w:szCs w:val="20"/>
        </w:rPr>
        <w:t>results in forecast</w:t>
      </w:r>
      <w:r>
        <w:rPr>
          <w:szCs w:val="20"/>
        </w:rPr>
        <w:t>ed</w:t>
      </w:r>
      <w:r w:rsidRPr="000C5D23">
        <w:rPr>
          <w:szCs w:val="20"/>
        </w:rPr>
        <w:t xml:space="preserve"> </w:t>
      </w:r>
      <w:r>
        <w:rPr>
          <w:szCs w:val="20"/>
        </w:rPr>
        <w:t xml:space="preserve">penetrations </w:t>
      </w:r>
      <w:r w:rsidRPr="000C5D23">
        <w:rPr>
          <w:szCs w:val="20"/>
        </w:rPr>
        <w:t xml:space="preserve">of </w:t>
      </w:r>
      <w:r w:rsidR="0080627F">
        <w:rPr>
          <w:szCs w:val="20"/>
        </w:rPr>
        <w:t>2.3</w:t>
      </w:r>
      <w:r w:rsidRPr="000C5D23">
        <w:rPr>
          <w:szCs w:val="20"/>
        </w:rPr>
        <w:t xml:space="preserve">% and </w:t>
      </w:r>
      <w:r w:rsidRPr="005D5766">
        <w:rPr>
          <w:szCs w:val="20"/>
        </w:rPr>
        <w:t>2.</w:t>
      </w:r>
      <w:r w:rsidR="0080627F">
        <w:rPr>
          <w:szCs w:val="20"/>
        </w:rPr>
        <w:t>8</w:t>
      </w:r>
      <w:r w:rsidRPr="000C5D23">
        <w:rPr>
          <w:szCs w:val="20"/>
        </w:rPr>
        <w:t>% for the reference and aggressive cases, respectively</w:t>
      </w:r>
      <w:r w:rsidRPr="005D5766">
        <w:rPr>
          <w:szCs w:val="20"/>
        </w:rPr>
        <w:t>, over the forecast horizon</w:t>
      </w:r>
      <w:r w:rsidRPr="000C5D23">
        <w:rPr>
          <w:szCs w:val="20"/>
        </w:rPr>
        <w:t xml:space="preserve">. </w:t>
      </w:r>
    </w:p>
    <w:p w14:paraId="1993B56E" w14:textId="77777777" w:rsidR="00E01C42" w:rsidRPr="005B21C0" w:rsidRDefault="00E01C42" w:rsidP="00E01C42">
      <w:pPr>
        <w:rPr>
          <w:color w:val="FF0000"/>
          <w:szCs w:val="20"/>
        </w:rPr>
      </w:pPr>
      <w:r w:rsidRPr="005B21C0">
        <w:rPr>
          <w:color w:val="FF0000"/>
          <w:szCs w:val="20"/>
        </w:rPr>
        <w:t xml:space="preserve">  </w:t>
      </w:r>
    </w:p>
    <w:p w14:paraId="52A3F0F6" w14:textId="77777777" w:rsidR="00E01C42" w:rsidRPr="005D5766" w:rsidRDefault="00E01C42" w:rsidP="00122CD3">
      <w:pPr>
        <w:keepNext/>
        <w:keepLines/>
        <w:rPr>
          <w:szCs w:val="20"/>
        </w:rPr>
      </w:pPr>
      <w:r w:rsidRPr="005D5766">
        <w:rPr>
          <w:b/>
          <w:i/>
          <w:szCs w:val="20"/>
        </w:rPr>
        <w:lastRenderedPageBreak/>
        <w:t>Savings</w:t>
      </w:r>
    </w:p>
    <w:p w14:paraId="765FE973" w14:textId="77777777" w:rsidR="00E01C42" w:rsidRPr="005D5766" w:rsidRDefault="00E01C42" w:rsidP="00122CD3">
      <w:pPr>
        <w:keepNext/>
        <w:keepLines/>
      </w:pPr>
      <w:r>
        <w:t>E</w:t>
      </w:r>
      <w:r w:rsidRPr="005D5766">
        <w:t xml:space="preserve">nergy savings associated with </w:t>
      </w:r>
      <w:r>
        <w:t xml:space="preserve">RCx </w:t>
      </w:r>
      <w:r w:rsidRPr="005D5766">
        <w:t>are calculated using the following equation:</w:t>
      </w:r>
    </w:p>
    <w:p w14:paraId="588BEA0B" w14:textId="77777777" w:rsidR="00E01C42" w:rsidRPr="005D5766" w:rsidRDefault="00E01C42" w:rsidP="00122CD3">
      <w:pPr>
        <w:keepLines/>
      </w:pPr>
    </w:p>
    <w:p w14:paraId="0A9E9F36" w14:textId="77777777" w:rsidR="00E01C42" w:rsidRPr="005D5766" w:rsidRDefault="00E01C42" w:rsidP="00122CD3">
      <w:pPr>
        <w:keepLines/>
        <w:ind w:left="720"/>
        <w:rPr>
          <w:szCs w:val="20"/>
        </w:rPr>
      </w:pPr>
      <w:r w:rsidRPr="005D5766">
        <w:t>E</w:t>
      </w:r>
      <w:r w:rsidRPr="005D5766">
        <w:rPr>
          <w:szCs w:val="20"/>
        </w:rPr>
        <w:t xml:space="preserve">nergy Savings, RCx = </w:t>
      </w:r>
      <w:r>
        <w:rPr>
          <w:szCs w:val="20"/>
        </w:rPr>
        <w:t xml:space="preserve">Penetration </w:t>
      </w:r>
      <w:r w:rsidRPr="005D5766">
        <w:rPr>
          <w:szCs w:val="20"/>
        </w:rPr>
        <w:t xml:space="preserve">of RCx by Building Type x Total Annual Consumption x </w:t>
      </w:r>
      <w:r>
        <w:rPr>
          <w:szCs w:val="20"/>
        </w:rPr>
        <w:br/>
      </w:r>
      <w:r w:rsidRPr="005D5766">
        <w:rPr>
          <w:szCs w:val="20"/>
        </w:rPr>
        <w:t xml:space="preserve">% End Use Consumption for </w:t>
      </w:r>
      <w:r>
        <w:rPr>
          <w:szCs w:val="20"/>
        </w:rPr>
        <w:t>HVAC</w:t>
      </w:r>
      <w:r w:rsidRPr="005D5766">
        <w:rPr>
          <w:szCs w:val="20"/>
        </w:rPr>
        <w:t xml:space="preserve"> x % E</w:t>
      </w:r>
      <w:r>
        <w:rPr>
          <w:szCs w:val="20"/>
        </w:rPr>
        <w:t>nd Use Savings by Building Type</w:t>
      </w:r>
    </w:p>
    <w:p w14:paraId="024E8DB9" w14:textId="77777777" w:rsidR="00E01C42" w:rsidRPr="005D5766" w:rsidRDefault="00E01C42" w:rsidP="00E01C42">
      <w:pPr>
        <w:rPr>
          <w:szCs w:val="20"/>
        </w:rPr>
      </w:pPr>
    </w:p>
    <w:p w14:paraId="1A9FA10A" w14:textId="77777777" w:rsidR="00E01C42" w:rsidRPr="005D5766" w:rsidRDefault="00E01C42" w:rsidP="00E01C42">
      <w:pPr>
        <w:rPr>
          <w:szCs w:val="20"/>
        </w:rPr>
      </w:pPr>
      <w:r w:rsidRPr="005D5766">
        <w:rPr>
          <w:szCs w:val="20"/>
        </w:rPr>
        <w:t xml:space="preserve">The percent of end use consumption for HVAC systems impacted by RCx is based on CEUS, while the end use savings by building type is based on literature reviewed for the 2015 </w:t>
      </w:r>
      <w:r>
        <w:rPr>
          <w:szCs w:val="20"/>
        </w:rPr>
        <w:t>Study</w:t>
      </w:r>
      <w:r w:rsidRPr="005D5766">
        <w:rPr>
          <w:szCs w:val="20"/>
        </w:rPr>
        <w:t>.</w:t>
      </w:r>
      <w:r w:rsidR="00963FD0" w:rsidRPr="00963FD0">
        <w:rPr>
          <w:rStyle w:val="FootnoteReference"/>
          <w:szCs w:val="20"/>
        </w:rPr>
        <w:footnoteReference w:id="162"/>
      </w:r>
      <w:r w:rsidR="00963FD0" w:rsidRPr="00963FD0">
        <w:rPr>
          <w:szCs w:val="20"/>
          <w:vertAlign w:val="superscript"/>
        </w:rPr>
        <w:t>,</w:t>
      </w:r>
      <w:r w:rsidR="00963FD0" w:rsidRPr="00963FD0">
        <w:rPr>
          <w:rStyle w:val="FootnoteReference"/>
          <w:szCs w:val="20"/>
        </w:rPr>
        <w:footnoteReference w:id="163"/>
      </w:r>
      <w:r w:rsidR="00963FD0" w:rsidRPr="00963FD0">
        <w:rPr>
          <w:szCs w:val="20"/>
          <w:vertAlign w:val="superscript"/>
        </w:rPr>
        <w:t>,</w:t>
      </w:r>
      <w:r w:rsidR="00963FD0">
        <w:rPr>
          <w:rStyle w:val="FootnoteReference"/>
          <w:szCs w:val="20"/>
        </w:rPr>
        <w:footnoteReference w:id="164"/>
      </w:r>
      <w:r w:rsidRPr="005D5766">
        <w:rPr>
          <w:szCs w:val="20"/>
        </w:rPr>
        <w:t xml:space="preserve"> </w:t>
      </w:r>
      <w:r w:rsidR="0080627F">
        <w:rPr>
          <w:szCs w:val="20"/>
        </w:rPr>
        <w:t xml:space="preserve">Savings for </w:t>
      </w:r>
      <w:r w:rsidR="0002617B">
        <w:rPr>
          <w:szCs w:val="20"/>
        </w:rPr>
        <w:t>offices, colleges, and</w:t>
      </w:r>
      <w:r w:rsidR="0080627F">
        <w:rPr>
          <w:szCs w:val="20"/>
        </w:rPr>
        <w:t xml:space="preserve"> schools were capped at 5% to reflect feedback from SCE on their experience</w:t>
      </w:r>
      <w:r w:rsidR="0002617B">
        <w:rPr>
          <w:szCs w:val="20"/>
        </w:rPr>
        <w:t>.</w:t>
      </w:r>
      <w:r w:rsidR="0002617B">
        <w:rPr>
          <w:rStyle w:val="FootnoteReference"/>
          <w:szCs w:val="20"/>
        </w:rPr>
        <w:footnoteReference w:id="165"/>
      </w:r>
      <w:r w:rsidR="0002617B">
        <w:rPr>
          <w:szCs w:val="20"/>
        </w:rPr>
        <w:t xml:space="preserve"> </w:t>
      </w:r>
      <w:r w:rsidRPr="005D5766">
        <w:t xml:space="preserve">The model uses an EUL of </w:t>
      </w:r>
      <w:r w:rsidR="0080627F">
        <w:t>3</w:t>
      </w:r>
      <w:r>
        <w:t xml:space="preserve"> </w:t>
      </w:r>
      <w:r w:rsidRPr="005D5766">
        <w:t>years</w:t>
      </w:r>
      <w:r w:rsidR="0080627F">
        <w:t xml:space="preserve"> per CPUC Decision 16-08-019</w:t>
      </w:r>
      <w:r w:rsidRPr="005D5766">
        <w:t xml:space="preserve">. A </w:t>
      </w:r>
      <w:r w:rsidRPr="005D5766">
        <w:rPr>
          <w:szCs w:val="20"/>
        </w:rPr>
        <w:t xml:space="preserve">ratio of kW to kWh </w:t>
      </w:r>
      <w:r w:rsidRPr="005D5766">
        <w:t>of 0.000138 was applied to all three electric utilities based on an analysis of several statewide and third-party programs operating in California during the 2014-2015 portfolio cycle that included RCx related initiatives.</w:t>
      </w:r>
    </w:p>
    <w:p w14:paraId="78F1C443" w14:textId="77777777" w:rsidR="00E01C42" w:rsidRPr="005D5766" w:rsidRDefault="00E01C42" w:rsidP="00E01C42"/>
    <w:p w14:paraId="6E03480E" w14:textId="77777777" w:rsidR="00E01C42" w:rsidRPr="005D5766" w:rsidRDefault="00E01C42" w:rsidP="00E01C42">
      <w:pPr>
        <w:rPr>
          <w:szCs w:val="20"/>
        </w:rPr>
      </w:pPr>
      <w:r w:rsidRPr="005D5766">
        <w:rPr>
          <w:b/>
          <w:i/>
          <w:szCs w:val="20"/>
        </w:rPr>
        <w:t>Cost</w:t>
      </w:r>
    </w:p>
    <w:p w14:paraId="0EF03BE6" w14:textId="77777777" w:rsidR="00E01C42" w:rsidRDefault="00E01C42" w:rsidP="00E01C42">
      <w:pPr>
        <w:rPr>
          <w:szCs w:val="20"/>
        </w:rPr>
      </w:pPr>
      <w:r w:rsidRPr="005D5766">
        <w:rPr>
          <w:szCs w:val="20"/>
        </w:rPr>
        <w:t xml:space="preserve">Costs for electricity and natural gas savings are estimated </w:t>
      </w:r>
      <w:r w:rsidRPr="005D5766">
        <w:t xml:space="preserve">based on an analysis of </w:t>
      </w:r>
      <w:r>
        <w:t xml:space="preserve">the same programs </w:t>
      </w:r>
      <w:r w:rsidRPr="005D5766">
        <w:t xml:space="preserve">reviewed </w:t>
      </w:r>
      <w:r>
        <w:t xml:space="preserve">and referenced in </w:t>
      </w:r>
      <w:r w:rsidRPr="005D5766">
        <w:t xml:space="preserve">the 2015 </w:t>
      </w:r>
      <w:r>
        <w:t>Study</w:t>
      </w:r>
      <w:r w:rsidRPr="005D5766">
        <w:t xml:space="preserve">.  </w:t>
      </w:r>
    </w:p>
    <w:p w14:paraId="31368EF1" w14:textId="77777777" w:rsidR="00F06724" w:rsidRDefault="001D16C0" w:rsidP="00F06724">
      <w:pPr>
        <w:pStyle w:val="Heading6"/>
      </w:pPr>
      <w:bookmarkStart w:id="972" w:name="_Toc484183073"/>
      <w:bookmarkStart w:id="973" w:name="_Toc484172727"/>
      <w:bookmarkStart w:id="974" w:name="_Toc485126594"/>
      <w:r>
        <w:t xml:space="preserve">Industrial/Agriculture </w:t>
      </w:r>
      <w:r w:rsidR="0002617B">
        <w:t xml:space="preserve">- </w:t>
      </w:r>
      <w:r>
        <w:t>Strategic Energy Management</w:t>
      </w:r>
      <w:bookmarkEnd w:id="926"/>
      <w:bookmarkEnd w:id="972"/>
      <w:bookmarkEnd w:id="973"/>
      <w:bookmarkEnd w:id="974"/>
      <w:r>
        <w:t xml:space="preserve"> </w:t>
      </w:r>
    </w:p>
    <w:p w14:paraId="151689B9" w14:textId="77777777" w:rsidR="0002617B" w:rsidRDefault="0002617B" w:rsidP="00F93ED8">
      <w:pPr>
        <w:rPr>
          <w:b/>
        </w:rPr>
      </w:pPr>
      <w:r w:rsidRPr="008261F5">
        <w:rPr>
          <w:b/>
        </w:rPr>
        <w:t xml:space="preserve">Summary </w:t>
      </w:r>
    </w:p>
    <w:p w14:paraId="1CAE2D57" w14:textId="77777777" w:rsidR="0002617B" w:rsidRDefault="0002617B" w:rsidP="00F93ED8">
      <w:pPr>
        <w:rPr>
          <w:b/>
        </w:rPr>
      </w:pPr>
    </w:p>
    <w:p w14:paraId="610E1FBF" w14:textId="77777777" w:rsidR="00914FC1" w:rsidRPr="00914FC1" w:rsidRDefault="00F93ED8" w:rsidP="00122CD3">
      <w:pPr>
        <w:rPr>
          <w:rFonts w:cs="Arial"/>
        </w:rPr>
      </w:pPr>
      <w:r w:rsidRPr="00F06724">
        <w:rPr>
          <w:rFonts w:cs="Arial"/>
        </w:rPr>
        <w:t>S</w:t>
      </w:r>
      <w:r w:rsidR="00914FC1">
        <w:rPr>
          <w:rFonts w:cs="Arial"/>
        </w:rPr>
        <w:t>trategic Energy Management (S</w:t>
      </w:r>
      <w:r w:rsidRPr="00F06724">
        <w:rPr>
          <w:rFonts w:cs="Arial"/>
        </w:rPr>
        <w:t>EM</w:t>
      </w:r>
      <w:r w:rsidR="00914FC1">
        <w:rPr>
          <w:rFonts w:cs="Arial"/>
        </w:rPr>
        <w:t>)</w:t>
      </w:r>
      <w:r w:rsidR="0002617B">
        <w:rPr>
          <w:rFonts w:cs="Arial"/>
        </w:rPr>
        <w:t xml:space="preserve"> in the </w:t>
      </w:r>
      <w:r w:rsidR="00110EF9">
        <w:rPr>
          <w:rFonts w:cs="Arial"/>
        </w:rPr>
        <w:t>I</w:t>
      </w:r>
      <w:r w:rsidR="0002617B">
        <w:rPr>
          <w:rFonts w:cs="Arial"/>
        </w:rPr>
        <w:t xml:space="preserve">ndustrial and </w:t>
      </w:r>
      <w:r w:rsidR="00110EF9">
        <w:rPr>
          <w:rFonts w:cs="Arial"/>
        </w:rPr>
        <w:t>A</w:t>
      </w:r>
      <w:r w:rsidR="0002617B">
        <w:rPr>
          <w:rFonts w:cs="Arial"/>
        </w:rPr>
        <w:t>gricultur</w:t>
      </w:r>
      <w:r w:rsidR="00110EF9">
        <w:rPr>
          <w:rFonts w:cs="Arial"/>
        </w:rPr>
        <w:t>al</w:t>
      </w:r>
      <w:r w:rsidR="0002617B">
        <w:rPr>
          <w:rFonts w:cs="Arial"/>
        </w:rPr>
        <w:t xml:space="preserve"> sectors</w:t>
      </w:r>
      <w:r w:rsidRPr="00F06724">
        <w:rPr>
          <w:rFonts w:cs="Arial"/>
        </w:rPr>
        <w:t xml:space="preserve"> is a ‘holistic’ approach to managing energy use that continuously improves energy performance based on various initiatives</w:t>
      </w:r>
      <w:r w:rsidR="00914FC1">
        <w:rPr>
          <w:rFonts w:cs="Arial"/>
        </w:rPr>
        <w:t>.</w:t>
      </w:r>
      <w:r w:rsidR="00914FC1" w:rsidRPr="00914FC1">
        <w:rPr>
          <w:rFonts w:cs="Arial"/>
        </w:rPr>
        <w:t xml:space="preserve"> SEM</w:t>
      </w:r>
      <w:r w:rsidR="00914FC1">
        <w:rPr>
          <w:rFonts w:cs="Arial"/>
        </w:rPr>
        <w:t>, per CPUC and California IOU design,</w:t>
      </w:r>
      <w:r w:rsidR="00914FC1" w:rsidRPr="00914FC1">
        <w:rPr>
          <w:rFonts w:cs="Arial"/>
        </w:rPr>
        <w:t xml:space="preserve"> is a continuous improvement approach that focuses on changing business practices to enable companies to save money by reducing energy consumption and waste. The Industrial sector SEM pilot program currently being administered by California IOUs served as the basis for this forecast. As defined in the Californi</w:t>
      </w:r>
      <w:r w:rsidR="00914FC1">
        <w:rPr>
          <w:rFonts w:cs="Arial"/>
        </w:rPr>
        <w:t>a Industrial SEM Design Guide,</w:t>
      </w:r>
      <w:r w:rsidR="00110EF9">
        <w:rPr>
          <w:rStyle w:val="FootnoteReference"/>
          <w:rFonts w:cs="Arial"/>
        </w:rPr>
        <w:footnoteReference w:id="166"/>
      </w:r>
      <w:r w:rsidR="00914FC1">
        <w:rPr>
          <w:rFonts w:cs="Arial"/>
        </w:rPr>
        <w:t xml:space="preserve"> </w:t>
      </w:r>
      <w:r w:rsidR="00914FC1" w:rsidRPr="00914FC1">
        <w:rPr>
          <w:rFonts w:cs="Arial"/>
        </w:rPr>
        <w:t>leading SEM programs are designed to support industrial companies by focusing on several high-level objectives:</w:t>
      </w:r>
    </w:p>
    <w:p w14:paraId="75E4C49D" w14:textId="77777777" w:rsidR="00914FC1" w:rsidRPr="00914FC1" w:rsidRDefault="00914FC1" w:rsidP="004E4E36">
      <w:pPr>
        <w:pStyle w:val="ListParagraph"/>
        <w:numPr>
          <w:ilvl w:val="0"/>
          <w:numId w:val="66"/>
        </w:numPr>
        <w:spacing w:line="240" w:lineRule="auto"/>
        <w:contextualSpacing/>
        <w:rPr>
          <w:rFonts w:cs="Arial"/>
        </w:rPr>
      </w:pPr>
      <w:r w:rsidRPr="00914FC1">
        <w:rPr>
          <w:rFonts w:cs="Arial"/>
        </w:rPr>
        <w:t>Implementing energy efficiency projects and saving energy, primarily from savings in operations and maintenance (O&amp;M).</w:t>
      </w:r>
    </w:p>
    <w:p w14:paraId="6457C041" w14:textId="77777777" w:rsidR="00914FC1" w:rsidRPr="00914FC1" w:rsidRDefault="00914FC1" w:rsidP="004E4E36">
      <w:pPr>
        <w:pStyle w:val="ListParagraph"/>
        <w:numPr>
          <w:ilvl w:val="0"/>
          <w:numId w:val="66"/>
        </w:numPr>
        <w:spacing w:line="240" w:lineRule="auto"/>
        <w:contextualSpacing/>
        <w:rPr>
          <w:rFonts w:cs="Arial"/>
        </w:rPr>
      </w:pPr>
      <w:r w:rsidRPr="00914FC1">
        <w:rPr>
          <w:rFonts w:cs="Arial"/>
        </w:rPr>
        <w:t xml:space="preserve">Establishing the Energy Management System (EnMS) </w:t>
      </w:r>
      <w:r w:rsidR="00110EF9">
        <w:rPr>
          <w:rFonts w:cs="Arial"/>
        </w:rPr>
        <w:t xml:space="preserve">or business practices that </w:t>
      </w:r>
      <w:r w:rsidRPr="00914FC1">
        <w:rPr>
          <w:rFonts w:cs="Arial"/>
        </w:rPr>
        <w:t>help a facility to manage and continuously improve energy performance.</w:t>
      </w:r>
    </w:p>
    <w:p w14:paraId="15777C52" w14:textId="77777777" w:rsidR="00914FC1" w:rsidRPr="00110EF9" w:rsidRDefault="00914FC1" w:rsidP="004E4E36">
      <w:pPr>
        <w:pStyle w:val="ListParagraph"/>
        <w:numPr>
          <w:ilvl w:val="0"/>
          <w:numId w:val="66"/>
        </w:numPr>
        <w:spacing w:line="240" w:lineRule="auto"/>
        <w:contextualSpacing/>
        <w:rPr>
          <w:rFonts w:cs="Arial"/>
        </w:rPr>
      </w:pPr>
      <w:r w:rsidRPr="00110EF9">
        <w:rPr>
          <w:rFonts w:cs="Arial"/>
        </w:rPr>
        <w:t>Normalizing, quantifying, and reporting facility-wide energy performance</w:t>
      </w:r>
      <w:r w:rsidR="00110EF9">
        <w:rPr>
          <w:rFonts w:cs="Arial"/>
        </w:rPr>
        <w:t>.</w:t>
      </w:r>
    </w:p>
    <w:p w14:paraId="23E90F30" w14:textId="77777777" w:rsidR="00914FC1" w:rsidRPr="00110EF9" w:rsidRDefault="00914FC1" w:rsidP="004E4E36">
      <w:pPr>
        <w:pStyle w:val="ListParagraph"/>
        <w:numPr>
          <w:ilvl w:val="0"/>
          <w:numId w:val="66"/>
        </w:numPr>
        <w:spacing w:line="240" w:lineRule="auto"/>
        <w:contextualSpacing/>
        <w:rPr>
          <w:rFonts w:cs="Arial"/>
        </w:rPr>
      </w:pPr>
      <w:r w:rsidRPr="00110EF9">
        <w:rPr>
          <w:rFonts w:cs="Arial"/>
        </w:rPr>
        <w:t>Getting peers to talk to one another.</w:t>
      </w:r>
    </w:p>
    <w:p w14:paraId="3EF85D29" w14:textId="77777777" w:rsidR="00914FC1" w:rsidRPr="00914FC1" w:rsidRDefault="00914FC1" w:rsidP="00914FC1">
      <w:pPr>
        <w:spacing w:line="240" w:lineRule="auto"/>
        <w:contextualSpacing/>
        <w:rPr>
          <w:rFonts w:cs="Arial"/>
        </w:rPr>
      </w:pPr>
    </w:p>
    <w:p w14:paraId="591AB4A0" w14:textId="4D4362B1" w:rsidR="00914FC1" w:rsidRDefault="00914FC1" w:rsidP="00914FC1">
      <w:pPr>
        <w:spacing w:line="240" w:lineRule="auto"/>
        <w:contextualSpacing/>
        <w:rPr>
          <w:rFonts w:cs="Arial"/>
        </w:rPr>
      </w:pPr>
      <w:r w:rsidRPr="00914FC1">
        <w:rPr>
          <w:rFonts w:cs="Arial"/>
        </w:rPr>
        <w:t>The model inputs for electric and natural gas shown in</w:t>
      </w:r>
      <w:r w:rsidR="00110EF9">
        <w:rPr>
          <w:rFonts w:cs="Arial"/>
        </w:rPr>
        <w:t xml:space="preserve"> </w:t>
      </w:r>
      <w:r w:rsidR="001839BE">
        <w:rPr>
          <w:rFonts w:cs="Arial"/>
        </w:rPr>
        <w:fldChar w:fldCharType="begin"/>
      </w:r>
      <w:r w:rsidR="001839BE">
        <w:rPr>
          <w:rFonts w:cs="Arial"/>
        </w:rPr>
        <w:instrText xml:space="preserve"> REF _Ref484426966 \h </w:instrText>
      </w:r>
      <w:r w:rsidR="001839BE">
        <w:rPr>
          <w:rFonts w:cs="Arial"/>
        </w:rPr>
      </w:r>
      <w:r w:rsidR="001839BE">
        <w:rPr>
          <w:rFonts w:cs="Arial"/>
        </w:rPr>
        <w:fldChar w:fldCharType="separate"/>
      </w:r>
      <w:r w:rsidR="00C407F4" w:rsidRPr="001839BE">
        <w:t xml:space="preserve">Table </w:t>
      </w:r>
      <w:r w:rsidR="00C407F4">
        <w:rPr>
          <w:noProof/>
        </w:rPr>
        <w:t>B</w:t>
      </w:r>
      <w:r w:rsidR="00C407F4" w:rsidRPr="001839BE">
        <w:noBreakHyphen/>
      </w:r>
      <w:r w:rsidR="00C407F4">
        <w:rPr>
          <w:noProof/>
        </w:rPr>
        <w:t>11</w:t>
      </w:r>
      <w:r w:rsidR="001839BE">
        <w:rPr>
          <w:rFonts w:cs="Arial"/>
        </w:rPr>
        <w:fldChar w:fldCharType="end"/>
      </w:r>
      <w:r w:rsidR="001839BE">
        <w:rPr>
          <w:rFonts w:cs="Arial"/>
        </w:rPr>
        <w:t xml:space="preserve"> represent </w:t>
      </w:r>
      <w:r w:rsidRPr="00914FC1">
        <w:rPr>
          <w:rFonts w:cs="Arial"/>
        </w:rPr>
        <w:t xml:space="preserve">savings associated with </w:t>
      </w:r>
      <w:r w:rsidR="00581CAE">
        <w:rPr>
          <w:rFonts w:cs="Arial"/>
        </w:rPr>
        <w:t xml:space="preserve">SEM </w:t>
      </w:r>
      <w:r w:rsidRPr="00914FC1">
        <w:rPr>
          <w:rFonts w:cs="Arial"/>
        </w:rPr>
        <w:t xml:space="preserve">operational and behavioral changes. </w:t>
      </w:r>
      <w:r w:rsidR="00581CAE">
        <w:rPr>
          <w:rFonts w:cs="Arial"/>
        </w:rPr>
        <w:t>Savings are estimated based on building type c</w:t>
      </w:r>
      <w:r w:rsidRPr="00914FC1">
        <w:rPr>
          <w:rFonts w:cs="Arial"/>
        </w:rPr>
        <w:t>o</w:t>
      </w:r>
      <w:r w:rsidR="00581CAE">
        <w:rPr>
          <w:rFonts w:cs="Arial"/>
        </w:rPr>
        <w:t>nsumption (kWh or therms per year) for each market</w:t>
      </w:r>
      <w:r w:rsidRPr="00914FC1">
        <w:rPr>
          <w:rFonts w:cs="Arial"/>
        </w:rPr>
        <w:t xml:space="preserve"> segment and are applied consistently across utilities. Costs for electricity and natural gas are $0.20/kWh and $1.35/therm, and</w:t>
      </w:r>
      <w:r w:rsidR="00581CAE">
        <w:rPr>
          <w:rFonts w:cs="Arial"/>
        </w:rPr>
        <w:t xml:space="preserve"> those</w:t>
      </w:r>
      <w:r w:rsidRPr="00914FC1">
        <w:rPr>
          <w:rFonts w:cs="Arial"/>
        </w:rPr>
        <w:t xml:space="preserve"> are also applied consistently by building and fuel type across utilities.</w:t>
      </w:r>
    </w:p>
    <w:p w14:paraId="709049F2" w14:textId="77777777" w:rsidR="00323BFA" w:rsidRPr="00914FC1" w:rsidRDefault="00323BFA" w:rsidP="00914FC1">
      <w:pPr>
        <w:spacing w:line="240" w:lineRule="auto"/>
        <w:contextualSpacing/>
        <w:rPr>
          <w:rFonts w:cs="Arial"/>
        </w:rPr>
      </w:pPr>
    </w:p>
    <w:p w14:paraId="6A71B15D" w14:textId="77777777" w:rsidR="0019320C" w:rsidRPr="00B57F57" w:rsidRDefault="001839BE" w:rsidP="0019320C">
      <w:pPr>
        <w:pStyle w:val="Caption"/>
        <w:rPr>
          <w:b w:val="0"/>
          <w:szCs w:val="24"/>
        </w:rPr>
      </w:pPr>
      <w:bookmarkStart w:id="975" w:name="_Ref484426966"/>
      <w:bookmarkStart w:id="976" w:name="_Toc485125612"/>
      <w:bookmarkStart w:id="977" w:name="_Toc484070679"/>
      <w:bookmarkStart w:id="978" w:name="_Ref422718461"/>
      <w:r w:rsidRPr="001839BE">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rsidRPr="001839BE">
        <w:noBreakHyphen/>
      </w:r>
      <w:r w:rsidR="00272F76">
        <w:fldChar w:fldCharType="begin"/>
      </w:r>
      <w:r w:rsidR="00272F76">
        <w:instrText xml:space="preserve"> SEQ Table_Apx \* ARABIC \s 5 </w:instrText>
      </w:r>
      <w:r w:rsidR="00272F76">
        <w:fldChar w:fldCharType="separate"/>
      </w:r>
      <w:r w:rsidR="00C407F4">
        <w:rPr>
          <w:noProof/>
        </w:rPr>
        <w:t>11</w:t>
      </w:r>
      <w:r w:rsidR="00272F76">
        <w:rPr>
          <w:noProof/>
        </w:rPr>
        <w:fldChar w:fldCharType="end"/>
      </w:r>
      <w:bookmarkEnd w:id="975"/>
      <w:r>
        <w:t xml:space="preserve">. </w:t>
      </w:r>
      <w:r w:rsidRPr="001839BE">
        <w:t>Industrial/Agriculture SEM - Key Assumptions</w:t>
      </w:r>
      <w:bookmarkEnd w:id="976"/>
    </w:p>
    <w:tbl>
      <w:tblPr>
        <w:tblW w:w="9450" w:type="dxa"/>
        <w:jc w:val="center"/>
        <w:tblBorders>
          <w:bottom w:val="single" w:sz="8" w:space="0" w:color="555759"/>
          <w:insideH w:val="single" w:sz="4" w:space="0" w:color="DCDDDE"/>
        </w:tblBorders>
        <w:tblLayout w:type="fixed"/>
        <w:tblLook w:val="04A0" w:firstRow="1" w:lastRow="0" w:firstColumn="1" w:lastColumn="0" w:noHBand="0" w:noVBand="1"/>
      </w:tblPr>
      <w:tblGrid>
        <w:gridCol w:w="1106"/>
        <w:gridCol w:w="1650"/>
        <w:gridCol w:w="964"/>
        <w:gridCol w:w="1006"/>
        <w:gridCol w:w="1088"/>
        <w:gridCol w:w="924"/>
        <w:gridCol w:w="1362"/>
        <w:gridCol w:w="1350"/>
      </w:tblGrid>
      <w:tr w:rsidR="0019320C" w:rsidRPr="00971600" w14:paraId="7B2B97D2" w14:textId="77777777" w:rsidTr="00323BFA">
        <w:trPr>
          <w:cantSplit/>
          <w:trHeight w:val="296"/>
          <w:tblHeader/>
          <w:jc w:val="center"/>
        </w:trPr>
        <w:tc>
          <w:tcPr>
            <w:tcW w:w="1106" w:type="dxa"/>
            <w:vMerge w:val="restart"/>
            <w:tcBorders>
              <w:top w:val="nil"/>
              <w:left w:val="nil"/>
              <w:bottom w:val="single" w:sz="12" w:space="0" w:color="95D600"/>
              <w:right w:val="nil"/>
              <w:tl2br w:val="nil"/>
              <w:tr2bl w:val="nil"/>
            </w:tcBorders>
            <w:shd w:val="clear" w:color="auto" w:fill="555759"/>
            <w:hideMark/>
          </w:tcPr>
          <w:p w14:paraId="26AE1EB8" w14:textId="77777777" w:rsidR="0019320C" w:rsidRPr="00D11078" w:rsidRDefault="0019320C" w:rsidP="00494D48">
            <w:pPr>
              <w:spacing w:before="40" w:after="40"/>
              <w:jc w:val="center"/>
              <w:rPr>
                <w:b/>
                <w:color w:val="FFFFFF"/>
              </w:rPr>
            </w:pPr>
            <w:r w:rsidRPr="00D11078">
              <w:rPr>
                <w:b/>
                <w:color w:val="FFFFFF"/>
              </w:rPr>
              <w:t>Sector</w:t>
            </w:r>
          </w:p>
        </w:tc>
        <w:tc>
          <w:tcPr>
            <w:tcW w:w="1650" w:type="dxa"/>
            <w:vMerge w:val="restart"/>
            <w:tcBorders>
              <w:top w:val="nil"/>
              <w:left w:val="nil"/>
              <w:bottom w:val="single" w:sz="12" w:space="0" w:color="95D600"/>
              <w:right w:val="nil"/>
              <w:tl2br w:val="nil"/>
              <w:tr2bl w:val="nil"/>
            </w:tcBorders>
            <w:shd w:val="clear" w:color="auto" w:fill="555759"/>
            <w:hideMark/>
          </w:tcPr>
          <w:p w14:paraId="00DD3BD5" w14:textId="77777777" w:rsidR="0019320C" w:rsidRPr="00D11078" w:rsidRDefault="0019320C" w:rsidP="00494D48">
            <w:pPr>
              <w:spacing w:before="40" w:after="40"/>
              <w:jc w:val="center"/>
              <w:rPr>
                <w:b/>
                <w:color w:val="FFFFFF"/>
              </w:rPr>
            </w:pPr>
            <w:r w:rsidRPr="00D11078">
              <w:rPr>
                <w:b/>
                <w:color w:val="FFFFFF"/>
              </w:rPr>
              <w:t>Type</w:t>
            </w:r>
          </w:p>
        </w:tc>
        <w:tc>
          <w:tcPr>
            <w:tcW w:w="964" w:type="dxa"/>
            <w:vMerge w:val="restart"/>
            <w:tcBorders>
              <w:top w:val="nil"/>
              <w:left w:val="nil"/>
              <w:bottom w:val="single" w:sz="12" w:space="0" w:color="95D600"/>
              <w:right w:val="nil"/>
              <w:tl2br w:val="nil"/>
              <w:tr2bl w:val="nil"/>
            </w:tcBorders>
            <w:shd w:val="clear" w:color="auto" w:fill="555759"/>
            <w:hideMark/>
          </w:tcPr>
          <w:p w14:paraId="424D1CB1" w14:textId="77777777" w:rsidR="0019320C" w:rsidRPr="00D11078" w:rsidRDefault="0019320C" w:rsidP="00494D48">
            <w:pPr>
              <w:spacing w:before="40" w:after="40"/>
              <w:jc w:val="center"/>
              <w:rPr>
                <w:b/>
                <w:color w:val="FFFFFF"/>
              </w:rPr>
            </w:pPr>
            <w:r w:rsidRPr="00D11078">
              <w:rPr>
                <w:b/>
                <w:color w:val="FFFFFF"/>
              </w:rPr>
              <w:t>EUL years</w:t>
            </w:r>
          </w:p>
        </w:tc>
        <w:tc>
          <w:tcPr>
            <w:tcW w:w="2092" w:type="dxa"/>
            <w:gridSpan w:val="2"/>
            <w:tcBorders>
              <w:top w:val="nil"/>
              <w:left w:val="nil"/>
              <w:bottom w:val="single" w:sz="2" w:space="0" w:color="FFFFFF"/>
              <w:right w:val="nil"/>
              <w:tl2br w:val="nil"/>
              <w:tr2bl w:val="nil"/>
            </w:tcBorders>
            <w:shd w:val="clear" w:color="auto" w:fill="555759"/>
            <w:hideMark/>
          </w:tcPr>
          <w:p w14:paraId="235282A1" w14:textId="77777777" w:rsidR="0019320C" w:rsidRPr="00D11078" w:rsidRDefault="0019320C" w:rsidP="00494D48">
            <w:pPr>
              <w:spacing w:before="40" w:after="40"/>
              <w:jc w:val="center"/>
              <w:rPr>
                <w:b/>
                <w:color w:val="FFFFFF"/>
              </w:rPr>
            </w:pPr>
            <w:r w:rsidRPr="00D11078">
              <w:rPr>
                <w:b/>
                <w:color w:val="FFFFFF"/>
              </w:rPr>
              <w:t>Savings</w:t>
            </w:r>
          </w:p>
        </w:tc>
        <w:tc>
          <w:tcPr>
            <w:tcW w:w="2286" w:type="dxa"/>
            <w:gridSpan w:val="2"/>
            <w:tcBorders>
              <w:top w:val="nil"/>
              <w:left w:val="nil"/>
              <w:bottom w:val="single" w:sz="2" w:space="0" w:color="FFFFFF"/>
              <w:right w:val="nil"/>
              <w:tl2br w:val="nil"/>
              <w:tr2bl w:val="nil"/>
            </w:tcBorders>
            <w:shd w:val="clear" w:color="auto" w:fill="555759"/>
            <w:hideMark/>
          </w:tcPr>
          <w:p w14:paraId="2F6A0EA4" w14:textId="77777777" w:rsidR="0019320C" w:rsidRPr="00D11078" w:rsidRDefault="0019320C" w:rsidP="00494D48">
            <w:pPr>
              <w:spacing w:before="40" w:after="40"/>
              <w:jc w:val="center"/>
              <w:rPr>
                <w:b/>
                <w:color w:val="FFFFFF"/>
              </w:rPr>
            </w:pPr>
            <w:r w:rsidRPr="00D11078">
              <w:rPr>
                <w:b/>
                <w:color w:val="FFFFFF"/>
              </w:rPr>
              <w:t>Cost</w:t>
            </w:r>
          </w:p>
        </w:tc>
        <w:tc>
          <w:tcPr>
            <w:tcW w:w="1350" w:type="dxa"/>
            <w:vMerge w:val="restart"/>
            <w:tcBorders>
              <w:top w:val="nil"/>
              <w:left w:val="nil"/>
              <w:bottom w:val="single" w:sz="12" w:space="0" w:color="95D600"/>
              <w:right w:val="nil"/>
              <w:tl2br w:val="nil"/>
              <w:tr2bl w:val="nil"/>
            </w:tcBorders>
            <w:shd w:val="clear" w:color="auto" w:fill="555759"/>
            <w:hideMark/>
          </w:tcPr>
          <w:p w14:paraId="12C06D3E" w14:textId="77777777" w:rsidR="0019320C" w:rsidRPr="00D11078" w:rsidRDefault="0019320C" w:rsidP="00494D48">
            <w:pPr>
              <w:spacing w:before="40" w:after="40"/>
              <w:jc w:val="center"/>
              <w:rPr>
                <w:b/>
                <w:color w:val="FFFFFF"/>
              </w:rPr>
            </w:pPr>
            <w:r w:rsidRPr="00D11078">
              <w:rPr>
                <w:b/>
                <w:color w:val="FFFFFF"/>
              </w:rPr>
              <w:t>kW/kWh Savings Ratio</w:t>
            </w:r>
          </w:p>
        </w:tc>
      </w:tr>
      <w:tr w:rsidR="0019320C" w:rsidRPr="00971600" w14:paraId="469085D4" w14:textId="77777777" w:rsidTr="00323BFA">
        <w:trPr>
          <w:cantSplit/>
          <w:trHeight w:val="144"/>
          <w:tblHeader/>
          <w:jc w:val="center"/>
        </w:trPr>
        <w:tc>
          <w:tcPr>
            <w:tcW w:w="1106" w:type="dxa"/>
            <w:vMerge/>
            <w:tcBorders>
              <w:bottom w:val="single" w:sz="12" w:space="0" w:color="95D600"/>
            </w:tcBorders>
            <w:shd w:val="clear" w:color="auto" w:fill="auto"/>
            <w:hideMark/>
          </w:tcPr>
          <w:p w14:paraId="526C4B40" w14:textId="77777777" w:rsidR="0019320C" w:rsidRPr="00971600" w:rsidRDefault="0019320C" w:rsidP="00494D48">
            <w:pPr>
              <w:spacing w:before="40" w:after="40"/>
              <w:jc w:val="center"/>
            </w:pPr>
          </w:p>
        </w:tc>
        <w:tc>
          <w:tcPr>
            <w:tcW w:w="1650" w:type="dxa"/>
            <w:vMerge/>
            <w:tcBorders>
              <w:bottom w:val="single" w:sz="12" w:space="0" w:color="95D600"/>
            </w:tcBorders>
            <w:shd w:val="clear" w:color="auto" w:fill="auto"/>
            <w:hideMark/>
          </w:tcPr>
          <w:p w14:paraId="1F8FA8C0" w14:textId="77777777" w:rsidR="0019320C" w:rsidRPr="00971600" w:rsidRDefault="0019320C" w:rsidP="00494D48">
            <w:pPr>
              <w:spacing w:before="40" w:after="40"/>
              <w:jc w:val="center"/>
            </w:pPr>
          </w:p>
        </w:tc>
        <w:tc>
          <w:tcPr>
            <w:tcW w:w="964" w:type="dxa"/>
            <w:vMerge/>
            <w:tcBorders>
              <w:bottom w:val="single" w:sz="12" w:space="0" w:color="95D600"/>
            </w:tcBorders>
            <w:shd w:val="clear" w:color="auto" w:fill="555759"/>
            <w:hideMark/>
          </w:tcPr>
          <w:p w14:paraId="654980B3" w14:textId="77777777" w:rsidR="0019320C" w:rsidRPr="00971600" w:rsidRDefault="0019320C" w:rsidP="00494D48">
            <w:pPr>
              <w:spacing w:before="40" w:after="40"/>
              <w:jc w:val="center"/>
            </w:pPr>
          </w:p>
        </w:tc>
        <w:tc>
          <w:tcPr>
            <w:tcW w:w="1006" w:type="dxa"/>
            <w:tcBorders>
              <w:top w:val="single" w:sz="2" w:space="0" w:color="FFFFFF"/>
              <w:bottom w:val="single" w:sz="12" w:space="0" w:color="95D600"/>
            </w:tcBorders>
            <w:shd w:val="clear" w:color="auto" w:fill="555759"/>
            <w:hideMark/>
          </w:tcPr>
          <w:p w14:paraId="4FDB40A6" w14:textId="77777777" w:rsidR="0019320C" w:rsidRPr="00D11078" w:rsidRDefault="0019320C" w:rsidP="00494D48">
            <w:pPr>
              <w:spacing w:before="40" w:after="40"/>
              <w:jc w:val="center"/>
              <w:rPr>
                <w:b/>
                <w:color w:val="FFFFFF"/>
              </w:rPr>
            </w:pPr>
            <w:r w:rsidRPr="00D11078">
              <w:rPr>
                <w:b/>
                <w:color w:val="FFFFFF"/>
              </w:rPr>
              <w:t>kWh</w:t>
            </w:r>
          </w:p>
        </w:tc>
        <w:tc>
          <w:tcPr>
            <w:tcW w:w="1088" w:type="dxa"/>
            <w:tcBorders>
              <w:top w:val="single" w:sz="2" w:space="0" w:color="FFFFFF"/>
              <w:bottom w:val="single" w:sz="12" w:space="0" w:color="95D600"/>
            </w:tcBorders>
            <w:shd w:val="clear" w:color="auto" w:fill="555759"/>
            <w:hideMark/>
          </w:tcPr>
          <w:p w14:paraId="294BF02E" w14:textId="77777777" w:rsidR="0019320C" w:rsidRPr="00D11078" w:rsidRDefault="0019320C" w:rsidP="00494D48">
            <w:pPr>
              <w:spacing w:before="40" w:after="40"/>
              <w:jc w:val="center"/>
              <w:rPr>
                <w:b/>
                <w:color w:val="FFFFFF"/>
              </w:rPr>
            </w:pPr>
            <w:r w:rsidRPr="00D11078">
              <w:rPr>
                <w:b/>
                <w:color w:val="FFFFFF"/>
              </w:rPr>
              <w:t>Therm</w:t>
            </w:r>
          </w:p>
        </w:tc>
        <w:tc>
          <w:tcPr>
            <w:tcW w:w="924" w:type="dxa"/>
            <w:tcBorders>
              <w:top w:val="single" w:sz="2" w:space="0" w:color="FFFFFF"/>
              <w:bottom w:val="single" w:sz="12" w:space="0" w:color="95D600"/>
            </w:tcBorders>
            <w:shd w:val="clear" w:color="auto" w:fill="555759"/>
            <w:hideMark/>
          </w:tcPr>
          <w:p w14:paraId="6149E050" w14:textId="77777777" w:rsidR="0019320C" w:rsidRPr="00D11078" w:rsidRDefault="0019320C" w:rsidP="00494D48">
            <w:pPr>
              <w:spacing w:before="40" w:after="40"/>
              <w:jc w:val="center"/>
              <w:rPr>
                <w:b/>
                <w:color w:val="FFFFFF"/>
              </w:rPr>
            </w:pPr>
            <w:r w:rsidRPr="00D11078">
              <w:rPr>
                <w:b/>
                <w:color w:val="FFFFFF"/>
              </w:rPr>
              <w:t>kWh</w:t>
            </w:r>
          </w:p>
        </w:tc>
        <w:tc>
          <w:tcPr>
            <w:tcW w:w="1362" w:type="dxa"/>
            <w:tcBorders>
              <w:top w:val="single" w:sz="2" w:space="0" w:color="FFFFFF"/>
              <w:bottom w:val="single" w:sz="12" w:space="0" w:color="95D600"/>
            </w:tcBorders>
            <w:shd w:val="clear" w:color="auto" w:fill="555759"/>
            <w:hideMark/>
          </w:tcPr>
          <w:p w14:paraId="6A2F4177" w14:textId="77777777" w:rsidR="0019320C" w:rsidRPr="00D11078" w:rsidRDefault="0019320C" w:rsidP="00494D48">
            <w:pPr>
              <w:spacing w:before="40" w:after="40"/>
              <w:jc w:val="center"/>
              <w:rPr>
                <w:b/>
                <w:color w:val="FFFFFF"/>
              </w:rPr>
            </w:pPr>
            <w:r w:rsidRPr="00D11078">
              <w:rPr>
                <w:b/>
                <w:color w:val="FFFFFF"/>
              </w:rPr>
              <w:t>Therm</w:t>
            </w:r>
          </w:p>
        </w:tc>
        <w:tc>
          <w:tcPr>
            <w:tcW w:w="1350" w:type="dxa"/>
            <w:vMerge/>
            <w:tcBorders>
              <w:bottom w:val="single" w:sz="12" w:space="0" w:color="95D600"/>
            </w:tcBorders>
            <w:shd w:val="clear" w:color="auto" w:fill="auto"/>
            <w:hideMark/>
          </w:tcPr>
          <w:p w14:paraId="31EF5B5B" w14:textId="77777777" w:rsidR="0019320C" w:rsidRPr="00971600" w:rsidRDefault="0019320C" w:rsidP="00494D48">
            <w:pPr>
              <w:spacing w:before="40" w:after="40"/>
              <w:jc w:val="center"/>
            </w:pPr>
          </w:p>
        </w:tc>
      </w:tr>
      <w:tr w:rsidR="0019320C" w:rsidRPr="00971600" w14:paraId="79490E23" w14:textId="77777777" w:rsidTr="00122CD3">
        <w:trPr>
          <w:cantSplit/>
          <w:trHeight w:val="738"/>
          <w:jc w:val="center"/>
        </w:trPr>
        <w:tc>
          <w:tcPr>
            <w:tcW w:w="1106" w:type="dxa"/>
            <w:tcBorders>
              <w:top w:val="single" w:sz="12" w:space="0" w:color="95D600"/>
              <w:bottom w:val="single" w:sz="12" w:space="0" w:color="95D600"/>
            </w:tcBorders>
            <w:shd w:val="clear" w:color="auto" w:fill="FFFFFF"/>
            <w:vAlign w:val="center"/>
            <w:hideMark/>
          </w:tcPr>
          <w:p w14:paraId="316AF2B4" w14:textId="77777777" w:rsidR="0019320C" w:rsidRPr="00971600" w:rsidRDefault="00110EF9" w:rsidP="00110EF9">
            <w:pPr>
              <w:spacing w:before="40" w:after="40"/>
              <w:jc w:val="center"/>
            </w:pPr>
            <w:r>
              <w:t xml:space="preserve"> AIMS (Ind/Ag)</w:t>
            </w:r>
          </w:p>
        </w:tc>
        <w:tc>
          <w:tcPr>
            <w:tcW w:w="1650" w:type="dxa"/>
            <w:tcBorders>
              <w:top w:val="single" w:sz="12" w:space="0" w:color="95D600"/>
              <w:bottom w:val="single" w:sz="12" w:space="0" w:color="95D600"/>
            </w:tcBorders>
            <w:shd w:val="clear" w:color="auto" w:fill="FFFFFF"/>
            <w:vAlign w:val="center"/>
            <w:hideMark/>
          </w:tcPr>
          <w:p w14:paraId="6EEDB150" w14:textId="77777777" w:rsidR="0019320C" w:rsidRPr="00971600" w:rsidRDefault="0019320C" w:rsidP="00110EF9">
            <w:pPr>
              <w:spacing w:before="40" w:after="40"/>
              <w:jc w:val="center"/>
            </w:pPr>
            <w:r>
              <w:t>Strategic Energy Management (SEM)</w:t>
            </w:r>
          </w:p>
        </w:tc>
        <w:tc>
          <w:tcPr>
            <w:tcW w:w="964" w:type="dxa"/>
            <w:tcBorders>
              <w:top w:val="single" w:sz="12" w:space="0" w:color="95D600"/>
              <w:bottom w:val="single" w:sz="12" w:space="0" w:color="95D600"/>
            </w:tcBorders>
            <w:shd w:val="clear" w:color="auto" w:fill="FFFFFF"/>
            <w:vAlign w:val="center"/>
            <w:hideMark/>
          </w:tcPr>
          <w:p w14:paraId="2FB846AB" w14:textId="77777777" w:rsidR="0019320C" w:rsidRPr="00971600" w:rsidRDefault="0019320C" w:rsidP="00110EF9">
            <w:pPr>
              <w:spacing w:before="40" w:after="40"/>
              <w:jc w:val="center"/>
            </w:pPr>
            <w:r>
              <w:t>5</w:t>
            </w:r>
          </w:p>
        </w:tc>
        <w:tc>
          <w:tcPr>
            <w:tcW w:w="1006" w:type="dxa"/>
            <w:tcBorders>
              <w:top w:val="single" w:sz="12" w:space="0" w:color="95D600"/>
              <w:bottom w:val="single" w:sz="12" w:space="0" w:color="95D600"/>
            </w:tcBorders>
            <w:shd w:val="clear" w:color="auto" w:fill="FFFFFF"/>
            <w:vAlign w:val="center"/>
            <w:hideMark/>
          </w:tcPr>
          <w:p w14:paraId="4B7BEAA8" w14:textId="77777777" w:rsidR="0019320C" w:rsidRPr="00971600" w:rsidRDefault="0019320C" w:rsidP="00110EF9">
            <w:pPr>
              <w:spacing w:before="40" w:after="40"/>
              <w:jc w:val="center"/>
            </w:pPr>
            <w:r>
              <w:t>0.</w:t>
            </w:r>
            <w:r w:rsidR="00110EF9">
              <w:t>4</w:t>
            </w:r>
            <w:r w:rsidRPr="00971600">
              <w:t>%</w:t>
            </w:r>
            <w:r>
              <w:t xml:space="preserve"> - 4.</w:t>
            </w:r>
            <w:r w:rsidR="00110EF9">
              <w:t>1</w:t>
            </w:r>
            <w:r>
              <w:t>%</w:t>
            </w:r>
          </w:p>
        </w:tc>
        <w:tc>
          <w:tcPr>
            <w:tcW w:w="1088" w:type="dxa"/>
            <w:tcBorders>
              <w:top w:val="single" w:sz="12" w:space="0" w:color="95D600"/>
              <w:bottom w:val="single" w:sz="12" w:space="0" w:color="95D600"/>
            </w:tcBorders>
            <w:shd w:val="clear" w:color="auto" w:fill="FFFFFF"/>
            <w:vAlign w:val="center"/>
            <w:hideMark/>
          </w:tcPr>
          <w:p w14:paraId="6BE61562" w14:textId="77777777" w:rsidR="0019320C" w:rsidRPr="00971600" w:rsidRDefault="0019320C" w:rsidP="00110EF9">
            <w:pPr>
              <w:spacing w:before="40" w:after="40"/>
              <w:jc w:val="center"/>
            </w:pPr>
            <w:r>
              <w:t>0.</w:t>
            </w:r>
            <w:r w:rsidR="00110EF9">
              <w:t>4</w:t>
            </w:r>
            <w:r w:rsidRPr="00971600">
              <w:t>%</w:t>
            </w:r>
            <w:r>
              <w:t xml:space="preserve"> - 4.</w:t>
            </w:r>
            <w:r w:rsidR="00110EF9">
              <w:t>1</w:t>
            </w:r>
            <w:r>
              <w:t>%</w:t>
            </w:r>
          </w:p>
        </w:tc>
        <w:tc>
          <w:tcPr>
            <w:tcW w:w="924" w:type="dxa"/>
            <w:tcBorders>
              <w:top w:val="single" w:sz="12" w:space="0" w:color="95D600"/>
              <w:bottom w:val="single" w:sz="12" w:space="0" w:color="95D600"/>
            </w:tcBorders>
            <w:shd w:val="clear" w:color="auto" w:fill="FFFFFF"/>
            <w:vAlign w:val="center"/>
            <w:hideMark/>
          </w:tcPr>
          <w:p w14:paraId="74CF2F15" w14:textId="77777777" w:rsidR="0019320C" w:rsidRPr="00971600" w:rsidRDefault="0019320C" w:rsidP="00110EF9">
            <w:pPr>
              <w:spacing w:before="40" w:after="40"/>
              <w:jc w:val="center"/>
            </w:pPr>
            <w:r w:rsidRPr="00971600">
              <w:t>$0.20</w:t>
            </w:r>
          </w:p>
        </w:tc>
        <w:tc>
          <w:tcPr>
            <w:tcW w:w="1362" w:type="dxa"/>
            <w:tcBorders>
              <w:top w:val="single" w:sz="12" w:space="0" w:color="95D600"/>
              <w:bottom w:val="single" w:sz="12" w:space="0" w:color="95D600"/>
            </w:tcBorders>
            <w:shd w:val="clear" w:color="auto" w:fill="FFFFFF"/>
            <w:vAlign w:val="center"/>
            <w:hideMark/>
          </w:tcPr>
          <w:p w14:paraId="4B4E3AC7" w14:textId="77777777" w:rsidR="0019320C" w:rsidRPr="00D11078" w:rsidRDefault="0019320C" w:rsidP="00110EF9">
            <w:pPr>
              <w:spacing w:before="40" w:after="40"/>
              <w:jc w:val="center"/>
              <w:rPr>
                <w:highlight w:val="red"/>
              </w:rPr>
            </w:pPr>
            <w:r w:rsidRPr="00971600">
              <w:t>$1</w:t>
            </w:r>
            <w:r>
              <w:t>.35</w:t>
            </w:r>
          </w:p>
        </w:tc>
        <w:tc>
          <w:tcPr>
            <w:tcW w:w="1350" w:type="dxa"/>
            <w:tcBorders>
              <w:top w:val="single" w:sz="12" w:space="0" w:color="95D600"/>
              <w:bottom w:val="single" w:sz="12" w:space="0" w:color="95D600"/>
            </w:tcBorders>
            <w:shd w:val="clear" w:color="auto" w:fill="FFFFFF"/>
            <w:vAlign w:val="center"/>
            <w:hideMark/>
          </w:tcPr>
          <w:p w14:paraId="1331D1C4" w14:textId="77777777" w:rsidR="0019320C" w:rsidRPr="00971600" w:rsidRDefault="0019320C" w:rsidP="00110EF9">
            <w:pPr>
              <w:spacing w:before="40" w:after="40"/>
              <w:jc w:val="center"/>
            </w:pPr>
            <w:r w:rsidRPr="00971600">
              <w:t>0.0001</w:t>
            </w:r>
            <w:r>
              <w:t>95</w:t>
            </w:r>
          </w:p>
        </w:tc>
      </w:tr>
    </w:tbl>
    <w:p w14:paraId="02B04EED" w14:textId="77777777" w:rsidR="0019320C" w:rsidRDefault="0019320C" w:rsidP="00F06724"/>
    <w:p w14:paraId="40D09777" w14:textId="77777777" w:rsidR="00FE1CC4" w:rsidRPr="008261F5" w:rsidRDefault="00FE1CC4" w:rsidP="00323BFA">
      <w:pPr>
        <w:keepNext/>
        <w:rPr>
          <w:b/>
        </w:rPr>
      </w:pPr>
      <w:r w:rsidRPr="008261F5">
        <w:rPr>
          <w:b/>
        </w:rPr>
        <w:t>Assumptions and Methodology</w:t>
      </w:r>
    </w:p>
    <w:p w14:paraId="1D4F8102" w14:textId="77777777" w:rsidR="00FE1CC4" w:rsidRPr="008261F5" w:rsidRDefault="00FE1CC4" w:rsidP="00323BFA">
      <w:pPr>
        <w:keepNext/>
        <w:rPr>
          <w:b/>
        </w:rPr>
      </w:pPr>
    </w:p>
    <w:p w14:paraId="0E14ECDE" w14:textId="77777777" w:rsidR="00FE1CC4" w:rsidRPr="008261F5" w:rsidRDefault="00FE1CC4" w:rsidP="00323BFA">
      <w:pPr>
        <w:keepNext/>
        <w:rPr>
          <w:b/>
          <w:i/>
          <w:szCs w:val="20"/>
        </w:rPr>
      </w:pPr>
      <w:r w:rsidRPr="008261F5">
        <w:rPr>
          <w:b/>
          <w:i/>
          <w:szCs w:val="20"/>
        </w:rPr>
        <w:t>Eligibility and Participation</w:t>
      </w:r>
    </w:p>
    <w:bookmarkEnd w:id="977"/>
    <w:p w14:paraId="53CFAA88" w14:textId="77777777" w:rsidR="00F93ED8" w:rsidRPr="00F06724" w:rsidRDefault="00F93ED8" w:rsidP="00F93ED8">
      <w:pPr>
        <w:widowControl w:val="0"/>
        <w:rPr>
          <w:rFonts w:cs="Arial"/>
        </w:rPr>
      </w:pPr>
      <w:r w:rsidRPr="00F06724">
        <w:rPr>
          <w:rFonts w:cs="Arial"/>
        </w:rPr>
        <w:t>Eligibility and participation estimates in the 2018 PG model are defined based on guidance provided by the CPUC regarding the IOU</w:t>
      </w:r>
      <w:r w:rsidR="00A84480">
        <w:rPr>
          <w:rFonts w:cs="Arial"/>
        </w:rPr>
        <w:t>s and</w:t>
      </w:r>
      <w:r w:rsidRPr="00F06724">
        <w:rPr>
          <w:rFonts w:cs="Arial"/>
        </w:rPr>
        <w:t xml:space="preserve"> as part of the 2017 SEM Pilot Program development effort</w:t>
      </w:r>
      <w:r w:rsidR="003C3C97">
        <w:rPr>
          <w:rFonts w:cs="Arial"/>
        </w:rPr>
        <w:t>.</w:t>
      </w:r>
      <w:r w:rsidR="000B43D6">
        <w:rPr>
          <w:rFonts w:cs="Arial"/>
        </w:rPr>
        <w:t xml:space="preserve"> The following provides a summary of </w:t>
      </w:r>
      <w:r w:rsidR="00581CAE">
        <w:rPr>
          <w:rFonts w:cs="Arial"/>
        </w:rPr>
        <w:t xml:space="preserve">eligibility and participation considerations from </w:t>
      </w:r>
      <w:r w:rsidR="000B43D6">
        <w:rPr>
          <w:rFonts w:cs="Arial"/>
        </w:rPr>
        <w:t>that guidance.</w:t>
      </w:r>
      <w:r w:rsidRPr="00F06724">
        <w:rPr>
          <w:rStyle w:val="FootnoteReference"/>
          <w:rFonts w:cs="Arial"/>
        </w:rPr>
        <w:footnoteReference w:id="167"/>
      </w:r>
    </w:p>
    <w:p w14:paraId="60CE11D9" w14:textId="77777777" w:rsidR="00F93ED8" w:rsidRPr="00F06724" w:rsidRDefault="00F93ED8" w:rsidP="004E4E36">
      <w:pPr>
        <w:pStyle w:val="ListParagraph"/>
        <w:numPr>
          <w:ilvl w:val="0"/>
          <w:numId w:val="55"/>
        </w:numPr>
        <w:spacing w:line="240" w:lineRule="auto"/>
        <w:contextualSpacing/>
        <w:rPr>
          <w:rFonts w:cs="Arial"/>
        </w:rPr>
      </w:pPr>
      <w:r w:rsidRPr="00F06724">
        <w:rPr>
          <w:rFonts w:cs="Arial"/>
        </w:rPr>
        <w:t xml:space="preserve">The SEM model will only be applied to participants enrolled in the official program; programs that offer similar models will not be considered a true SEM program.  </w:t>
      </w:r>
    </w:p>
    <w:p w14:paraId="5C8FA7FE" w14:textId="77777777" w:rsidR="00F93ED8" w:rsidRPr="00F06724" w:rsidRDefault="00F93ED8" w:rsidP="004E4E36">
      <w:pPr>
        <w:pStyle w:val="ListParagraph"/>
        <w:numPr>
          <w:ilvl w:val="0"/>
          <w:numId w:val="55"/>
        </w:numPr>
        <w:spacing w:line="240" w:lineRule="auto"/>
        <w:contextualSpacing/>
        <w:rPr>
          <w:rFonts w:cs="Arial"/>
        </w:rPr>
      </w:pPr>
      <w:r w:rsidRPr="00F06724">
        <w:rPr>
          <w:rFonts w:cs="Arial"/>
        </w:rPr>
        <w:t>The California SEM program is the only SEM-type program for industrial customers in California. Currently, the SEM program as designed will only live in the Industrial sector with the small exception for facilities that are not defined as Industrial but utilize similar industrial processes (i.e. food processing). The IOU business plans state that SEM will be incorporated into the Commercial and Agriculture sectors in the near future. NAICS codes will be used to determine if facilities are eligible for the Industrial sector.</w:t>
      </w:r>
    </w:p>
    <w:p w14:paraId="0E2CA646" w14:textId="77777777" w:rsidR="00F93ED8" w:rsidRPr="00F06724" w:rsidRDefault="00F93ED8" w:rsidP="004E4E36">
      <w:pPr>
        <w:pStyle w:val="ListParagraph"/>
        <w:numPr>
          <w:ilvl w:val="0"/>
          <w:numId w:val="55"/>
        </w:numPr>
        <w:spacing w:line="240" w:lineRule="auto"/>
        <w:contextualSpacing/>
        <w:rPr>
          <w:rFonts w:cs="Arial"/>
        </w:rPr>
      </w:pPr>
      <w:r w:rsidRPr="00F06724">
        <w:rPr>
          <w:rFonts w:cs="Arial"/>
        </w:rPr>
        <w:t>Not all customers in the Industrial sector will be eligible for SEM.  Savings and incentives for projects participating in the SEM program will be calculated based on this SEM design. Customers that are not enrolled in the SEM program, or customers that have projects that don't qualify as SEM, will not be incentivized through SEM, nor will they qualify for milestone incentives. As SEM grows, it is the IOU goal that more customers will participate in the program and transition into this new way of capturing savings.</w:t>
      </w:r>
    </w:p>
    <w:p w14:paraId="61F38D97" w14:textId="77777777" w:rsidR="00F93ED8" w:rsidRPr="00F06724" w:rsidRDefault="00F93ED8" w:rsidP="004E4E36">
      <w:pPr>
        <w:pStyle w:val="ListParagraph"/>
        <w:numPr>
          <w:ilvl w:val="0"/>
          <w:numId w:val="56"/>
        </w:numPr>
        <w:spacing w:line="240" w:lineRule="auto"/>
        <w:contextualSpacing/>
        <w:rPr>
          <w:rFonts w:cs="Arial"/>
        </w:rPr>
      </w:pPr>
      <w:r w:rsidRPr="00F06724">
        <w:rPr>
          <w:rFonts w:cs="Arial"/>
        </w:rPr>
        <w:t>Unless explicitly excluded by the program, savings for energy performance improvement actions that are not incented by other programs will be captured under the SEM O&amp;M savings category. Currently</w:t>
      </w:r>
      <w:r w:rsidR="003C3C97">
        <w:rPr>
          <w:rFonts w:cs="Arial"/>
        </w:rPr>
        <w:t>,</w:t>
      </w:r>
      <w:r w:rsidRPr="00F06724">
        <w:rPr>
          <w:rFonts w:cs="Arial"/>
        </w:rPr>
        <w:t xml:space="preserve"> O&amp;M savings in the Industrial sector may only be claimed through the SEM program. SEM incentives are based on the final amount of facility savings achieved minus 'Non-SEM Savings.'  For projects that do not qualify for custom project incentives, O&amp;M savings will be incentivized.</w:t>
      </w:r>
    </w:p>
    <w:p w14:paraId="578BC29B" w14:textId="77777777" w:rsidR="00F93ED8" w:rsidRPr="00F06724" w:rsidRDefault="00F93ED8" w:rsidP="004E4E36">
      <w:pPr>
        <w:pStyle w:val="ListParagraph"/>
        <w:widowControl w:val="0"/>
        <w:numPr>
          <w:ilvl w:val="0"/>
          <w:numId w:val="56"/>
        </w:numPr>
        <w:spacing w:line="240" w:lineRule="auto"/>
        <w:contextualSpacing/>
        <w:rPr>
          <w:rFonts w:cs="Arial"/>
        </w:rPr>
      </w:pPr>
      <w:r w:rsidRPr="00F06724">
        <w:rPr>
          <w:rFonts w:cs="Arial"/>
        </w:rPr>
        <w:t>Savings, capital projects</w:t>
      </w:r>
      <w:r w:rsidR="000B43D6">
        <w:rPr>
          <w:rFonts w:cs="Arial"/>
        </w:rPr>
        <w:t>,</w:t>
      </w:r>
      <w:r w:rsidRPr="00F06724">
        <w:rPr>
          <w:rFonts w:cs="Arial"/>
        </w:rPr>
        <w:t xml:space="preserve"> and O&amp;M will only be counted as SEM if they follow the program as designed by the IOUs and implemented by the awarded bidder. Custom capital projects and the associated savings will only be counted as SEM if they follow the program as designed by the IOUs and implemented by the awarded bidder.  Facilities that participate in SEM-type programs will not be eligible for the same incentives.</w:t>
      </w:r>
    </w:p>
    <w:p w14:paraId="27B58B9A" w14:textId="77777777" w:rsidR="000B43D6" w:rsidRDefault="000B43D6" w:rsidP="00F93ED8">
      <w:pPr>
        <w:widowControl w:val="0"/>
        <w:rPr>
          <w:rFonts w:cs="Arial"/>
        </w:rPr>
      </w:pPr>
    </w:p>
    <w:p w14:paraId="7AB95DDF" w14:textId="77777777" w:rsidR="00D522CA" w:rsidRDefault="000B43D6" w:rsidP="00F93ED8">
      <w:pPr>
        <w:widowControl w:val="0"/>
        <w:rPr>
          <w:rFonts w:cs="Arial"/>
        </w:rPr>
      </w:pPr>
      <w:r>
        <w:rPr>
          <w:rFonts w:cs="Arial"/>
        </w:rPr>
        <w:t>The team also reviewed d</w:t>
      </w:r>
      <w:r w:rsidR="00F93ED8" w:rsidRPr="00F06724">
        <w:rPr>
          <w:rFonts w:cs="Arial"/>
        </w:rPr>
        <w:t xml:space="preserve">raft </w:t>
      </w:r>
      <w:r w:rsidR="00581CAE">
        <w:rPr>
          <w:rFonts w:cs="Arial"/>
        </w:rPr>
        <w:t xml:space="preserve">IOU </w:t>
      </w:r>
      <w:r w:rsidR="00F93ED8" w:rsidRPr="00F06724">
        <w:rPr>
          <w:rFonts w:cs="Arial"/>
        </w:rPr>
        <w:t>business plans for insights into eligibility, participation</w:t>
      </w:r>
      <w:r>
        <w:rPr>
          <w:rFonts w:cs="Arial"/>
        </w:rPr>
        <w:t>,</w:t>
      </w:r>
      <w:r w:rsidR="00F93ED8" w:rsidRPr="00F06724">
        <w:rPr>
          <w:rFonts w:cs="Arial"/>
        </w:rPr>
        <w:t xml:space="preserve"> and savings metrics.</w:t>
      </w:r>
    </w:p>
    <w:p w14:paraId="3453266E" w14:textId="77777777" w:rsidR="00D522CA" w:rsidRDefault="00D522CA" w:rsidP="00F93ED8">
      <w:pPr>
        <w:widowControl w:val="0"/>
        <w:rPr>
          <w:rFonts w:cs="Arial"/>
        </w:rPr>
      </w:pPr>
    </w:p>
    <w:p w14:paraId="74F60B85" w14:textId="77777777" w:rsidR="00581CAE" w:rsidRDefault="00581CAE" w:rsidP="00323BFA">
      <w:pPr>
        <w:keepNext/>
        <w:widowControl w:val="0"/>
        <w:rPr>
          <w:rFonts w:cs="Arial"/>
        </w:rPr>
      </w:pPr>
      <w:r w:rsidRPr="00581CAE">
        <w:rPr>
          <w:rFonts w:cs="Arial"/>
        </w:rPr>
        <w:lastRenderedPageBreak/>
        <w:t xml:space="preserve">Select forecast considerations from the PG&amp;E </w:t>
      </w:r>
      <w:r w:rsidR="00D522CA">
        <w:rPr>
          <w:rFonts w:cs="Arial"/>
        </w:rPr>
        <w:t>2018–2025 business plan include</w:t>
      </w:r>
      <w:r w:rsidRPr="00581CAE">
        <w:rPr>
          <w:rFonts w:cs="Arial"/>
        </w:rPr>
        <w:t>:</w:t>
      </w:r>
      <w:r w:rsidR="00D522CA" w:rsidRPr="00F06724">
        <w:rPr>
          <w:rStyle w:val="FootnoteReference"/>
          <w:rFonts w:cs="Arial"/>
        </w:rPr>
        <w:footnoteReference w:id="168"/>
      </w:r>
    </w:p>
    <w:p w14:paraId="1E24EB0C" w14:textId="77777777" w:rsidR="00D522CA" w:rsidRPr="00D522CA" w:rsidRDefault="00D522CA" w:rsidP="004E4E36">
      <w:pPr>
        <w:pStyle w:val="ListParagraph"/>
        <w:widowControl w:val="0"/>
        <w:numPr>
          <w:ilvl w:val="0"/>
          <w:numId w:val="67"/>
        </w:numPr>
        <w:rPr>
          <w:rFonts w:cs="Arial"/>
        </w:rPr>
      </w:pPr>
      <w:r w:rsidRPr="00D522CA">
        <w:rPr>
          <w:rFonts w:cs="Arial"/>
        </w:rPr>
        <w:t>In the short term (1-3 years), PG&amp;E will conduct and analyze market research to ensure that its existing programs remain relevant and cost effective as PG&amp;E explores new tools and services. PG&amp;E will begin the first stage of testing an SEM framework in the market with the launch of the SEM program.</w:t>
      </w:r>
    </w:p>
    <w:p w14:paraId="0959FD69" w14:textId="77777777" w:rsidR="00D522CA" w:rsidRPr="00D522CA" w:rsidRDefault="00D522CA" w:rsidP="004E4E36">
      <w:pPr>
        <w:pStyle w:val="ListParagraph"/>
        <w:widowControl w:val="0"/>
        <w:numPr>
          <w:ilvl w:val="0"/>
          <w:numId w:val="67"/>
        </w:numPr>
        <w:rPr>
          <w:rFonts w:cs="Arial"/>
        </w:rPr>
      </w:pPr>
      <w:r w:rsidRPr="00D522CA">
        <w:rPr>
          <w:rFonts w:cs="Arial"/>
        </w:rPr>
        <w:t xml:space="preserve">In the midterm (4-7 years), PG&amp;E will continue to expand the use of the SEM framework across key industrial segments. PG&amp;E also plans to engage with partners and experts to establish a benchmarking service and outreach tool based on lessons learned with existing models in </w:t>
      </w:r>
      <w:r>
        <w:rPr>
          <w:rFonts w:cs="Arial"/>
        </w:rPr>
        <w:t xml:space="preserve">the </w:t>
      </w:r>
      <w:r w:rsidRPr="00D522CA">
        <w:rPr>
          <w:rFonts w:cs="Arial"/>
        </w:rPr>
        <w:t>market.</w:t>
      </w:r>
    </w:p>
    <w:p w14:paraId="5C5B54A6" w14:textId="77777777" w:rsidR="00F93ED8" w:rsidRPr="00D522CA" w:rsidRDefault="00D522CA" w:rsidP="004E4E36">
      <w:pPr>
        <w:pStyle w:val="ListParagraph"/>
        <w:widowControl w:val="0"/>
        <w:numPr>
          <w:ilvl w:val="0"/>
          <w:numId w:val="67"/>
        </w:numPr>
        <w:rPr>
          <w:rFonts w:cs="Arial"/>
        </w:rPr>
      </w:pPr>
      <w:r w:rsidRPr="00D522CA">
        <w:rPr>
          <w:rFonts w:cs="Arial"/>
        </w:rPr>
        <w:t xml:space="preserve">In the long term (8-10 years), PG&amp;E will incorporate SEM into all channels and services for industrial customers of all sizes. PG&amp;E will offer a variety of SEM levels to meet customer needs, ranging from online management and periodic audits for smaller firms (“low-touch” SEM) to integrated expertise and data-management systems for large customers (“high-touch” SEM). </w:t>
      </w:r>
      <w:r w:rsidR="00581CAE" w:rsidRPr="00D522CA" w:rsidDel="00581CAE">
        <w:rPr>
          <w:rFonts w:cs="Arial"/>
        </w:rPr>
        <w:t xml:space="preserve"> </w:t>
      </w:r>
      <w:bookmarkEnd w:id="978"/>
    </w:p>
    <w:p w14:paraId="36CB444A" w14:textId="77777777" w:rsidR="00D522CA" w:rsidRDefault="00D522CA" w:rsidP="00F93ED8">
      <w:pPr>
        <w:widowControl w:val="0"/>
        <w:rPr>
          <w:rFonts w:cs="Arial"/>
        </w:rPr>
      </w:pPr>
    </w:p>
    <w:p w14:paraId="2F079883" w14:textId="77777777" w:rsidR="00D522CA" w:rsidRDefault="00D522CA" w:rsidP="00F93ED8">
      <w:pPr>
        <w:widowControl w:val="0"/>
        <w:rPr>
          <w:rFonts w:cs="Arial"/>
        </w:rPr>
      </w:pPr>
      <w:r w:rsidRPr="00D522CA">
        <w:rPr>
          <w:rFonts w:cs="Arial"/>
        </w:rPr>
        <w:t>Considerations from the SCE 2018–2025 business plan include:</w:t>
      </w:r>
      <w:r w:rsidRPr="00F06724">
        <w:rPr>
          <w:rStyle w:val="FootnoteReference"/>
          <w:rFonts w:cs="Arial"/>
        </w:rPr>
        <w:footnoteReference w:id="169"/>
      </w:r>
    </w:p>
    <w:p w14:paraId="517293F5" w14:textId="77777777" w:rsidR="00D522CA" w:rsidRPr="00D522CA" w:rsidRDefault="00D522CA" w:rsidP="004E4E36">
      <w:pPr>
        <w:pStyle w:val="ListParagraph"/>
        <w:widowControl w:val="0"/>
        <w:numPr>
          <w:ilvl w:val="0"/>
          <w:numId w:val="68"/>
        </w:numPr>
        <w:rPr>
          <w:rFonts w:cs="Arial"/>
        </w:rPr>
      </w:pPr>
      <w:r w:rsidRPr="00D522CA">
        <w:rPr>
          <w:rFonts w:cs="Arial"/>
        </w:rPr>
        <w:t>The Industrial Strategic Energy Management (SEM) Pilot Project uses tailored EE services that are most appropriate for large customers who are interested in EE and capable of implementing it. As a pilot effort, SCE will limit the initial implementation to no more than ten projects. This pilot may be implemented concurrently with other Industrial pilot proposals.</w:t>
      </w:r>
    </w:p>
    <w:p w14:paraId="33A30AF3" w14:textId="77777777" w:rsidR="00D522CA" w:rsidRDefault="00D522CA" w:rsidP="00F93ED8">
      <w:pPr>
        <w:widowControl w:val="0"/>
        <w:rPr>
          <w:rFonts w:cs="Arial"/>
        </w:rPr>
      </w:pPr>
    </w:p>
    <w:p w14:paraId="10E7EA2A" w14:textId="77777777" w:rsidR="00D522CA" w:rsidRDefault="00D522CA" w:rsidP="00F93ED8">
      <w:pPr>
        <w:widowControl w:val="0"/>
        <w:rPr>
          <w:color w:val="000000" w:themeColor="text1"/>
        </w:rPr>
      </w:pPr>
      <w:r w:rsidRPr="008C4F8B">
        <w:rPr>
          <w:color w:val="000000" w:themeColor="text1"/>
          <w:szCs w:val="20"/>
        </w:rPr>
        <w:t>C</w:t>
      </w:r>
      <w:r w:rsidRPr="008C4F8B">
        <w:rPr>
          <w:color w:val="000000" w:themeColor="text1"/>
        </w:rPr>
        <w:t>onsiderations from the SCG 2018–2025 business plan include challenges faced by smaller customers in implementing SEM:</w:t>
      </w:r>
      <w:r w:rsidRPr="00F06724">
        <w:rPr>
          <w:rStyle w:val="FootnoteReference"/>
          <w:rFonts w:cs="Arial"/>
        </w:rPr>
        <w:footnoteReference w:id="170"/>
      </w:r>
    </w:p>
    <w:p w14:paraId="2C0F1797" w14:textId="77777777" w:rsidR="00D522CA" w:rsidRPr="00D522CA" w:rsidRDefault="00D522CA" w:rsidP="004E4E36">
      <w:pPr>
        <w:pStyle w:val="ListParagraph"/>
        <w:widowControl w:val="0"/>
        <w:numPr>
          <w:ilvl w:val="0"/>
          <w:numId w:val="68"/>
        </w:numPr>
        <w:rPr>
          <w:color w:val="000000" w:themeColor="text1"/>
        </w:rPr>
      </w:pPr>
      <w:r w:rsidRPr="00D522CA">
        <w:rPr>
          <w:color w:val="000000" w:themeColor="text1"/>
        </w:rPr>
        <w:t xml:space="preserve">The SEM pilot, as designed, is not an appropriate solution for smaller customers who have historically produced low adoption of energy efficiency solutions because: </w:t>
      </w:r>
    </w:p>
    <w:p w14:paraId="5A08B686" w14:textId="77777777" w:rsidR="00D522CA" w:rsidRPr="00D522CA" w:rsidRDefault="00D522CA" w:rsidP="004E4E36">
      <w:pPr>
        <w:pStyle w:val="ListParagraph"/>
        <w:widowControl w:val="0"/>
        <w:numPr>
          <w:ilvl w:val="1"/>
          <w:numId w:val="68"/>
        </w:numPr>
        <w:rPr>
          <w:color w:val="000000" w:themeColor="text1"/>
        </w:rPr>
      </w:pPr>
      <w:r w:rsidRPr="00D522CA">
        <w:rPr>
          <w:color w:val="000000" w:themeColor="text1"/>
        </w:rPr>
        <w:t>Many smaller customers are not aware of the energy efficiency benefits. Nor are they aware of programs that promote energy efficiency, especially programs designed to help smaller industrial customers achieve higher levels of energy efficiency.</w:t>
      </w:r>
    </w:p>
    <w:p w14:paraId="1B4F1523" w14:textId="77777777" w:rsidR="00D522CA" w:rsidRDefault="00D522CA" w:rsidP="00F93ED8">
      <w:pPr>
        <w:widowControl w:val="0"/>
        <w:rPr>
          <w:rFonts w:cs="Arial"/>
        </w:rPr>
      </w:pPr>
    </w:p>
    <w:p w14:paraId="43EAAD1E" w14:textId="77777777" w:rsidR="00FE4CDA" w:rsidRDefault="00FE4CDA" w:rsidP="00F93ED8">
      <w:pPr>
        <w:widowControl w:val="0"/>
        <w:rPr>
          <w:rFonts w:cs="Arial"/>
        </w:rPr>
      </w:pPr>
      <w:r w:rsidRPr="00FE4CDA">
        <w:rPr>
          <w:rFonts w:cs="Arial"/>
        </w:rPr>
        <w:t xml:space="preserve">Per the design of the CPUC SEM pilot and the market considerations expressed in the IOU business plans, savings </w:t>
      </w:r>
      <w:r>
        <w:rPr>
          <w:rFonts w:cs="Arial"/>
        </w:rPr>
        <w:t xml:space="preserve">in the industrial sector </w:t>
      </w:r>
      <w:r w:rsidRPr="00FE4CDA">
        <w:rPr>
          <w:rFonts w:cs="Arial"/>
        </w:rPr>
        <w:t>are initially forecast</w:t>
      </w:r>
      <w:r>
        <w:rPr>
          <w:rFonts w:cs="Arial"/>
        </w:rPr>
        <w:t>ed</w:t>
      </w:r>
      <w:r w:rsidRPr="00FE4CDA">
        <w:rPr>
          <w:rFonts w:cs="Arial"/>
        </w:rPr>
        <w:t xml:space="preserve"> to begin in 2019 for high use market segments, including the petroleum, food, electronics, and chemicals segments, while more widespread implementation for all other industrial segments begins in 2021. Although in theory SEM applies to all customer sizes, in practice applicability of SEM is constrained to large customers. A review of IOU business plans for the 2018-2025 timeframe indicates that most industrial and agricultural energy use comes from large customers in a few market segments. Consequently, </w:t>
      </w:r>
      <w:r>
        <w:rPr>
          <w:rFonts w:cs="Arial"/>
        </w:rPr>
        <w:t xml:space="preserve">the </w:t>
      </w:r>
      <w:r w:rsidRPr="00FE4CDA">
        <w:rPr>
          <w:rFonts w:cs="Arial"/>
        </w:rPr>
        <w:t>applicability</w:t>
      </w:r>
      <w:r>
        <w:rPr>
          <w:rFonts w:cs="Arial"/>
        </w:rPr>
        <w:t xml:space="preserve"> factor for</w:t>
      </w:r>
      <w:r w:rsidRPr="00FE4CDA">
        <w:rPr>
          <w:rFonts w:cs="Arial"/>
        </w:rPr>
        <w:t xml:space="preserve"> SEM was set between 79% and 91% to reflect this concentration. The starting saturation for all segments is estimated at 0.20% with a compound annual growth rate (CAGR) of 0.25% for the reference case and 0.50% for the aggressive case. By 2030 this yields a</w:t>
      </w:r>
      <w:r>
        <w:rPr>
          <w:rFonts w:cs="Arial"/>
        </w:rPr>
        <w:t>n industrial sector</w:t>
      </w:r>
      <w:r w:rsidRPr="00FE4CDA">
        <w:rPr>
          <w:rFonts w:cs="Arial"/>
        </w:rPr>
        <w:t xml:space="preserve"> market saturation of 12%</w:t>
      </w:r>
      <w:r>
        <w:rPr>
          <w:rFonts w:cs="Arial"/>
        </w:rPr>
        <w:t xml:space="preserve"> and</w:t>
      </w:r>
      <w:r w:rsidRPr="00FE4CDA">
        <w:rPr>
          <w:rFonts w:cs="Arial"/>
        </w:rPr>
        <w:t xml:space="preserve"> 23% for the reference and aggressive cases, respectively. The model assumes SEM will apply to the agricultural market sector beginning in 2025 and it uses </w:t>
      </w:r>
      <w:r>
        <w:rPr>
          <w:rFonts w:cs="Arial"/>
        </w:rPr>
        <w:t xml:space="preserve">the </w:t>
      </w:r>
      <w:r w:rsidRPr="00FE4CDA">
        <w:rPr>
          <w:rFonts w:cs="Arial"/>
        </w:rPr>
        <w:t>same starting saturation and CAGRs.</w:t>
      </w:r>
    </w:p>
    <w:p w14:paraId="1D0023BA" w14:textId="77777777" w:rsidR="00FE4CDA" w:rsidRDefault="00FE4CDA" w:rsidP="00F93ED8">
      <w:pPr>
        <w:widowControl w:val="0"/>
        <w:rPr>
          <w:rFonts w:cs="Arial"/>
        </w:rPr>
      </w:pPr>
    </w:p>
    <w:p w14:paraId="29676985" w14:textId="77777777" w:rsidR="00F93ED8" w:rsidRPr="00323BFA" w:rsidRDefault="00FE1CC4" w:rsidP="00122CD3">
      <w:pPr>
        <w:keepNext/>
        <w:rPr>
          <w:b/>
          <w:i/>
        </w:rPr>
      </w:pPr>
      <w:r w:rsidRPr="00122CD3">
        <w:rPr>
          <w:b/>
          <w:i/>
        </w:rPr>
        <w:t>Savings</w:t>
      </w:r>
    </w:p>
    <w:p w14:paraId="7F47C9B6" w14:textId="64A348E2" w:rsidR="00F93ED8" w:rsidRPr="00F06724" w:rsidRDefault="00F93ED8" w:rsidP="00F93ED8">
      <w:pPr>
        <w:rPr>
          <w:rFonts w:cs="Arial"/>
        </w:rPr>
      </w:pPr>
      <w:r w:rsidRPr="00F06724">
        <w:rPr>
          <w:rFonts w:cs="Arial"/>
        </w:rPr>
        <w:t xml:space="preserve">The savings forecast </w:t>
      </w:r>
      <w:r w:rsidR="00553CBE">
        <w:rPr>
          <w:rFonts w:cs="Arial"/>
        </w:rPr>
        <w:t xml:space="preserve">in the 2018 PG </w:t>
      </w:r>
      <w:r w:rsidR="00113642">
        <w:rPr>
          <w:rFonts w:cs="Arial"/>
        </w:rPr>
        <w:t>study</w:t>
      </w:r>
      <w:r w:rsidRPr="00F06724">
        <w:rPr>
          <w:rFonts w:cs="Arial"/>
        </w:rPr>
        <w:t xml:space="preserve"> is an estimate of O&amp;M savings achieved through SEM. A literature review indicate</w:t>
      </w:r>
      <w:r w:rsidR="00553CBE">
        <w:rPr>
          <w:rFonts w:cs="Arial"/>
        </w:rPr>
        <w:t>s</w:t>
      </w:r>
      <w:r w:rsidRPr="00F06724">
        <w:rPr>
          <w:rFonts w:cs="Arial"/>
        </w:rPr>
        <w:t xml:space="preserve"> that a UES for O&amp;M savings of 2.7</w:t>
      </w:r>
      <w:r w:rsidR="00553CBE">
        <w:rPr>
          <w:rFonts w:cs="Arial"/>
        </w:rPr>
        <w:t xml:space="preserve"> percent</w:t>
      </w:r>
      <w:r w:rsidRPr="00F06724">
        <w:rPr>
          <w:rFonts w:cs="Arial"/>
        </w:rPr>
        <w:t xml:space="preserve"> of annual sector level consumption </w:t>
      </w:r>
      <w:r w:rsidR="00553CBE">
        <w:rPr>
          <w:rFonts w:cs="Arial"/>
        </w:rPr>
        <w:t>is</w:t>
      </w:r>
      <w:r w:rsidR="00553CBE" w:rsidRPr="00F06724">
        <w:rPr>
          <w:rFonts w:cs="Arial"/>
        </w:rPr>
        <w:t xml:space="preserve"> </w:t>
      </w:r>
      <w:r w:rsidRPr="00F06724">
        <w:rPr>
          <w:rFonts w:cs="Arial"/>
        </w:rPr>
        <w:t xml:space="preserve">appropriate for the industrial and agricultural market based on the CPUC SEM pilot program design. In addition, the CEC provided trends on electric energy usage (kWh) per dollar </w:t>
      </w:r>
      <w:r w:rsidR="00553CBE">
        <w:rPr>
          <w:rFonts w:cs="Arial"/>
        </w:rPr>
        <w:t xml:space="preserve">of </w:t>
      </w:r>
      <w:r w:rsidRPr="00F06724">
        <w:rPr>
          <w:rFonts w:cs="Arial"/>
        </w:rPr>
        <w:t>economic output ($) from 1990 through 2015 and the PG team indexed this data to 1990 to identify trends in energy density of economic output over time. This analysis shows that the energy intensity of some industries, such as semiconductor manufacturing has decreased over time to 68</w:t>
      </w:r>
      <w:r w:rsidR="00553CBE">
        <w:rPr>
          <w:rFonts w:cs="Arial"/>
        </w:rPr>
        <w:t xml:space="preserve"> percent</w:t>
      </w:r>
      <w:r w:rsidRPr="00F06724">
        <w:rPr>
          <w:rFonts w:cs="Arial"/>
        </w:rPr>
        <w:t xml:space="preserve"> of 1990 levels, indicating that there may be less potential for SEM type interventions. Other industries such as chemical manufacturing and food and beverage processing have increased over time to approximately 150</w:t>
      </w:r>
      <w:r w:rsidR="00553CBE">
        <w:rPr>
          <w:rFonts w:cs="Arial"/>
        </w:rPr>
        <w:t xml:space="preserve"> percent</w:t>
      </w:r>
      <w:r w:rsidRPr="00F06724">
        <w:rPr>
          <w:rFonts w:cs="Arial"/>
        </w:rPr>
        <w:t xml:space="preserve"> of 1990 levels. The PG </w:t>
      </w:r>
      <w:r w:rsidR="00113642">
        <w:rPr>
          <w:rFonts w:cs="Arial"/>
        </w:rPr>
        <w:t>study</w:t>
      </w:r>
      <w:r w:rsidRPr="00F06724">
        <w:rPr>
          <w:rFonts w:cs="Arial"/>
        </w:rPr>
        <w:t xml:space="preserve"> considers this index to be indicative </w:t>
      </w:r>
      <w:r w:rsidR="00113642">
        <w:rPr>
          <w:rFonts w:cs="Arial"/>
        </w:rPr>
        <w:t>that some market segments would</w:t>
      </w:r>
      <w:r w:rsidRPr="00F06724">
        <w:rPr>
          <w:rFonts w:cs="Arial"/>
        </w:rPr>
        <w:t xml:space="preserve"> benefit</w:t>
      </w:r>
      <w:r w:rsidR="00113642">
        <w:rPr>
          <w:rFonts w:cs="Arial"/>
        </w:rPr>
        <w:t xml:space="preserve"> more</w:t>
      </w:r>
      <w:r w:rsidRPr="00F06724">
        <w:rPr>
          <w:rFonts w:cs="Arial"/>
        </w:rPr>
        <w:t xml:space="preserve"> from SEM activity</w:t>
      </w:r>
      <w:r w:rsidR="00113642">
        <w:rPr>
          <w:rFonts w:cs="Arial"/>
        </w:rPr>
        <w:t xml:space="preserve"> than others in reducing the energy intensity of production</w:t>
      </w:r>
      <w:r w:rsidR="00553CBE">
        <w:rPr>
          <w:rFonts w:cs="Arial"/>
        </w:rPr>
        <w:t>. Therefore,</w:t>
      </w:r>
      <w:r w:rsidRPr="00F06724">
        <w:rPr>
          <w:rFonts w:cs="Arial"/>
        </w:rPr>
        <w:t xml:space="preserve"> the </w:t>
      </w:r>
      <w:r w:rsidR="00553CBE">
        <w:rPr>
          <w:rFonts w:cs="Arial"/>
        </w:rPr>
        <w:t xml:space="preserve">team multiplied the 2.7 percent </w:t>
      </w:r>
      <w:r w:rsidRPr="00F06724">
        <w:rPr>
          <w:rFonts w:cs="Arial"/>
        </w:rPr>
        <w:t xml:space="preserve">average </w:t>
      </w:r>
      <w:r w:rsidR="00553CBE">
        <w:rPr>
          <w:rFonts w:cs="Arial"/>
        </w:rPr>
        <w:t>SEM</w:t>
      </w:r>
      <w:r w:rsidRPr="00F06724">
        <w:rPr>
          <w:rFonts w:cs="Arial"/>
        </w:rPr>
        <w:t xml:space="preserve"> UES by the energy intensity index developed from the CEC data to arrive at segment level SEM </w:t>
      </w:r>
      <w:r w:rsidR="00113642">
        <w:rPr>
          <w:rFonts w:cs="Arial"/>
        </w:rPr>
        <w:t>UES</w:t>
      </w:r>
      <w:r w:rsidRPr="00F06724">
        <w:rPr>
          <w:rFonts w:cs="Arial"/>
        </w:rPr>
        <w:t xml:space="preserve"> multiplier</w:t>
      </w:r>
      <w:r w:rsidR="00217780">
        <w:rPr>
          <w:rFonts w:cs="Arial"/>
        </w:rPr>
        <w:t>s</w:t>
      </w:r>
      <w:r w:rsidRPr="00F06724">
        <w:rPr>
          <w:rFonts w:cs="Arial"/>
        </w:rPr>
        <w:t xml:space="preserve">, as shown in </w:t>
      </w:r>
      <w:r w:rsidR="00F9578C">
        <w:rPr>
          <w:rFonts w:cs="Arial"/>
        </w:rPr>
        <w:fldChar w:fldCharType="begin"/>
      </w:r>
      <w:r w:rsidR="00F9578C">
        <w:rPr>
          <w:rFonts w:cs="Arial"/>
        </w:rPr>
        <w:instrText xml:space="preserve"> REF _Ref484346347 \h </w:instrText>
      </w:r>
      <w:r w:rsidR="00F9578C">
        <w:rPr>
          <w:rFonts w:cs="Arial"/>
        </w:rPr>
      </w:r>
      <w:r w:rsidR="00F9578C">
        <w:rPr>
          <w:rFonts w:cs="Arial"/>
        </w:rPr>
        <w:fldChar w:fldCharType="separate"/>
      </w:r>
      <w:r w:rsidR="00C407F4">
        <w:t xml:space="preserve">Table </w:t>
      </w:r>
      <w:r w:rsidR="00C407F4">
        <w:rPr>
          <w:noProof/>
        </w:rPr>
        <w:t>B</w:t>
      </w:r>
      <w:r w:rsidR="00C407F4">
        <w:noBreakHyphen/>
      </w:r>
      <w:r w:rsidR="00C407F4">
        <w:rPr>
          <w:noProof/>
        </w:rPr>
        <w:t>12</w:t>
      </w:r>
      <w:r w:rsidR="00F9578C">
        <w:rPr>
          <w:rFonts w:cs="Arial"/>
        </w:rPr>
        <w:fldChar w:fldCharType="end"/>
      </w:r>
      <w:r w:rsidRPr="00F06724">
        <w:rPr>
          <w:rFonts w:cs="Arial"/>
        </w:rPr>
        <w:t xml:space="preserve">.  </w:t>
      </w:r>
    </w:p>
    <w:p w14:paraId="00124661" w14:textId="77777777" w:rsidR="00F93ED8" w:rsidRDefault="00F93ED8" w:rsidP="00F93ED8"/>
    <w:p w14:paraId="5822A312" w14:textId="77777777" w:rsidR="00F93ED8" w:rsidRDefault="00BB2A45" w:rsidP="00BB2A45">
      <w:pPr>
        <w:pStyle w:val="Caption"/>
      </w:pPr>
      <w:bookmarkStart w:id="979" w:name="_Ref484094612"/>
      <w:bookmarkStart w:id="980" w:name="_Ref484012121"/>
      <w:bookmarkStart w:id="981" w:name="_Ref484346347"/>
      <w:bookmarkStart w:id="982" w:name="_Toc484062684"/>
      <w:bookmarkStart w:id="983" w:name="_Ref484346341"/>
      <w:bookmarkStart w:id="984" w:name="_Toc485125613"/>
      <w:bookmarkEnd w:id="979"/>
      <w:bookmarkEnd w:id="980"/>
      <w:r>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12</w:t>
      </w:r>
      <w:r w:rsidR="00272F76">
        <w:rPr>
          <w:noProof/>
        </w:rPr>
        <w:fldChar w:fldCharType="end"/>
      </w:r>
      <w:bookmarkEnd w:id="981"/>
      <w:r>
        <w:t xml:space="preserve">. </w:t>
      </w:r>
      <w:r w:rsidR="00F93ED8">
        <w:t xml:space="preserve">Industrial </w:t>
      </w:r>
      <w:r w:rsidR="002A69B1">
        <w:t>Sector Strategic Energy Management Unit Energy Savings</w:t>
      </w:r>
      <w:r w:rsidR="00F93ED8">
        <w:t xml:space="preserve"> Multiplier</w:t>
      </w:r>
      <w:bookmarkEnd w:id="982"/>
      <w:bookmarkEnd w:id="983"/>
      <w:bookmarkEnd w:id="984"/>
    </w:p>
    <w:tbl>
      <w:tblPr>
        <w:tblStyle w:val="EnergyTable1"/>
        <w:tblW w:w="7250" w:type="dxa"/>
        <w:tblLayout w:type="fixed"/>
        <w:tblLook w:val="04A0" w:firstRow="1" w:lastRow="0" w:firstColumn="1" w:lastColumn="0" w:noHBand="0" w:noVBand="1"/>
      </w:tblPr>
      <w:tblGrid>
        <w:gridCol w:w="4500"/>
        <w:gridCol w:w="1440"/>
        <w:gridCol w:w="1310"/>
      </w:tblGrid>
      <w:tr w:rsidR="00F93ED8" w14:paraId="23AAC791" w14:textId="77777777" w:rsidTr="00323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0" w:type="dxa"/>
          </w:tcPr>
          <w:p w14:paraId="43D6CD58" w14:textId="77777777" w:rsidR="00F93ED8" w:rsidRPr="00E01C42" w:rsidRDefault="00F93ED8" w:rsidP="00A84480">
            <w:pPr>
              <w:rPr>
                <w:rFonts w:ascii="Arial Narrow" w:hAnsi="Arial Narrow" w:cs="Arial"/>
                <w:color w:val="FFFFFF" w:themeColor="background1"/>
                <w:szCs w:val="18"/>
              </w:rPr>
            </w:pPr>
            <w:r w:rsidRPr="00E01C42">
              <w:rPr>
                <w:rFonts w:ascii="Arial Narrow" w:hAnsi="Arial Narrow" w:cstheme="majorHAnsi"/>
                <w:color w:val="FFFFFF" w:themeColor="background1"/>
                <w:szCs w:val="18"/>
              </w:rPr>
              <w:t>Industrial Segment</w:t>
            </w:r>
          </w:p>
        </w:tc>
        <w:tc>
          <w:tcPr>
            <w:tcW w:w="1440" w:type="dxa"/>
          </w:tcPr>
          <w:p w14:paraId="22908E59" w14:textId="77777777" w:rsidR="00F93ED8" w:rsidRPr="00E01C42"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sidRPr="00E01C42">
              <w:rPr>
                <w:rFonts w:ascii="Arial Narrow" w:hAnsi="Arial Narrow" w:cstheme="majorHAnsi"/>
                <w:color w:val="FFFFFF" w:themeColor="background1"/>
                <w:szCs w:val="18"/>
              </w:rPr>
              <w:t>Energy Intensity Index to 1990</w:t>
            </w:r>
          </w:p>
        </w:tc>
        <w:tc>
          <w:tcPr>
            <w:tcW w:w="1310" w:type="dxa"/>
          </w:tcPr>
          <w:p w14:paraId="1EB1BCF5" w14:textId="77777777" w:rsidR="00F93ED8" w:rsidRPr="00E01C42"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sidRPr="00E01C42">
              <w:rPr>
                <w:rFonts w:ascii="Arial Narrow" w:hAnsi="Arial Narrow" w:cstheme="majorHAnsi"/>
                <w:color w:val="FFFFFF" w:themeColor="background1"/>
                <w:szCs w:val="18"/>
              </w:rPr>
              <w:t>SEM UES Multiplier</w:t>
            </w:r>
          </w:p>
        </w:tc>
      </w:tr>
      <w:tr w:rsidR="00F93ED8" w14:paraId="6A3E963F"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9B6C0DE"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Chemical manufacturing</w:t>
            </w:r>
          </w:p>
        </w:tc>
        <w:tc>
          <w:tcPr>
            <w:tcW w:w="1440" w:type="dxa"/>
          </w:tcPr>
          <w:p w14:paraId="2311F185"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150.7%</w:t>
            </w:r>
          </w:p>
        </w:tc>
        <w:tc>
          <w:tcPr>
            <w:tcW w:w="1310" w:type="dxa"/>
          </w:tcPr>
          <w:p w14:paraId="026B523D"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4.1%</w:t>
            </w:r>
          </w:p>
        </w:tc>
      </w:tr>
      <w:tr w:rsidR="00F93ED8" w14:paraId="2D4FF61F"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7E16CF8B"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Food and beverage</w:t>
            </w:r>
          </w:p>
        </w:tc>
        <w:tc>
          <w:tcPr>
            <w:tcW w:w="1440" w:type="dxa"/>
          </w:tcPr>
          <w:p w14:paraId="4C25047A"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148.2%</w:t>
            </w:r>
          </w:p>
        </w:tc>
        <w:tc>
          <w:tcPr>
            <w:tcW w:w="1310" w:type="dxa"/>
          </w:tcPr>
          <w:p w14:paraId="43299543"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4.0%</w:t>
            </w:r>
          </w:p>
        </w:tc>
      </w:tr>
      <w:tr w:rsidR="00F93ED8" w14:paraId="2934F216"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FA1C160"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Miscellaneous</w:t>
            </w:r>
          </w:p>
        </w:tc>
        <w:tc>
          <w:tcPr>
            <w:tcW w:w="1440" w:type="dxa"/>
          </w:tcPr>
          <w:p w14:paraId="2B846FF8"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142.1%</w:t>
            </w:r>
          </w:p>
        </w:tc>
        <w:tc>
          <w:tcPr>
            <w:tcW w:w="1310" w:type="dxa"/>
          </w:tcPr>
          <w:p w14:paraId="12C84CBF"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3.8%</w:t>
            </w:r>
          </w:p>
        </w:tc>
      </w:tr>
      <w:tr w:rsidR="00F93ED8" w14:paraId="2FCA68FE"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F380065"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Nonmetallic minerals</w:t>
            </w:r>
          </w:p>
        </w:tc>
        <w:tc>
          <w:tcPr>
            <w:tcW w:w="1440" w:type="dxa"/>
          </w:tcPr>
          <w:p w14:paraId="52740AB1"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141.6%</w:t>
            </w:r>
          </w:p>
        </w:tc>
        <w:tc>
          <w:tcPr>
            <w:tcW w:w="1310" w:type="dxa"/>
          </w:tcPr>
          <w:p w14:paraId="48CB06A3"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3.8%</w:t>
            </w:r>
          </w:p>
        </w:tc>
      </w:tr>
      <w:tr w:rsidR="00F93ED8" w14:paraId="674F25B8"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32AA095"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Publishing and broadcasting</w:t>
            </w:r>
          </w:p>
        </w:tc>
        <w:tc>
          <w:tcPr>
            <w:tcW w:w="1440" w:type="dxa"/>
          </w:tcPr>
          <w:p w14:paraId="155F3279"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113.0%</w:t>
            </w:r>
          </w:p>
        </w:tc>
        <w:tc>
          <w:tcPr>
            <w:tcW w:w="1310" w:type="dxa"/>
          </w:tcPr>
          <w:p w14:paraId="0020043C"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3.1%</w:t>
            </w:r>
          </w:p>
        </w:tc>
      </w:tr>
      <w:tr w:rsidR="00F93ED8" w14:paraId="08455E12"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266FF53"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Plastics and rubber</w:t>
            </w:r>
          </w:p>
        </w:tc>
        <w:tc>
          <w:tcPr>
            <w:tcW w:w="1440" w:type="dxa"/>
          </w:tcPr>
          <w:p w14:paraId="245E0891"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90.0%</w:t>
            </w:r>
          </w:p>
        </w:tc>
        <w:tc>
          <w:tcPr>
            <w:tcW w:w="1310" w:type="dxa"/>
          </w:tcPr>
          <w:p w14:paraId="467B6E5A"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2.4%</w:t>
            </w:r>
          </w:p>
        </w:tc>
      </w:tr>
      <w:tr w:rsidR="00F93ED8" w14:paraId="7F57C5E3"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836972D"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Glass manufacturing</w:t>
            </w:r>
          </w:p>
        </w:tc>
        <w:tc>
          <w:tcPr>
            <w:tcW w:w="1440" w:type="dxa"/>
          </w:tcPr>
          <w:p w14:paraId="115293DC"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78.3%</w:t>
            </w:r>
          </w:p>
        </w:tc>
        <w:tc>
          <w:tcPr>
            <w:tcW w:w="1310" w:type="dxa"/>
          </w:tcPr>
          <w:p w14:paraId="27FF11BA"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2.1%</w:t>
            </w:r>
          </w:p>
        </w:tc>
      </w:tr>
      <w:tr w:rsidR="00F93ED8" w14:paraId="11BE8B48"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54F93F1"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Fabricated metal manufacturing</w:t>
            </w:r>
          </w:p>
        </w:tc>
        <w:tc>
          <w:tcPr>
            <w:tcW w:w="1440" w:type="dxa"/>
          </w:tcPr>
          <w:p w14:paraId="38EB75C5"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76.4%</w:t>
            </w:r>
          </w:p>
        </w:tc>
        <w:tc>
          <w:tcPr>
            <w:tcW w:w="1310" w:type="dxa"/>
          </w:tcPr>
          <w:p w14:paraId="3C11CBA7"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2.1%</w:t>
            </w:r>
          </w:p>
        </w:tc>
      </w:tr>
      <w:tr w:rsidR="00F93ED8" w14:paraId="32BEB034"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5F1F2D1"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Paper manufacturing</w:t>
            </w:r>
          </w:p>
        </w:tc>
        <w:tc>
          <w:tcPr>
            <w:tcW w:w="1440" w:type="dxa"/>
          </w:tcPr>
          <w:p w14:paraId="3DFD1577"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75.9%</w:t>
            </w:r>
          </w:p>
        </w:tc>
        <w:tc>
          <w:tcPr>
            <w:tcW w:w="1310" w:type="dxa"/>
          </w:tcPr>
          <w:p w14:paraId="312D5265"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2.0%</w:t>
            </w:r>
          </w:p>
        </w:tc>
      </w:tr>
      <w:tr w:rsidR="00F93ED8" w14:paraId="6DBA67EA"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87A879E"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Computer and electronics</w:t>
            </w:r>
          </w:p>
        </w:tc>
        <w:tc>
          <w:tcPr>
            <w:tcW w:w="1440" w:type="dxa"/>
          </w:tcPr>
          <w:p w14:paraId="6FB1923C"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72.3%</w:t>
            </w:r>
          </w:p>
        </w:tc>
        <w:tc>
          <w:tcPr>
            <w:tcW w:w="1310" w:type="dxa"/>
          </w:tcPr>
          <w:p w14:paraId="0A43FFD6"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2.0%</w:t>
            </w:r>
          </w:p>
        </w:tc>
      </w:tr>
      <w:tr w:rsidR="00F93ED8" w14:paraId="5A7B62B8"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3317E89"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Machinery manufacturing</w:t>
            </w:r>
          </w:p>
        </w:tc>
        <w:tc>
          <w:tcPr>
            <w:tcW w:w="1440" w:type="dxa"/>
          </w:tcPr>
          <w:p w14:paraId="3CD0116E"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71.4%</w:t>
            </w:r>
          </w:p>
        </w:tc>
        <w:tc>
          <w:tcPr>
            <w:tcW w:w="1310" w:type="dxa"/>
          </w:tcPr>
          <w:p w14:paraId="153983A1"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1.9%</w:t>
            </w:r>
          </w:p>
        </w:tc>
      </w:tr>
      <w:tr w:rsidR="00F93ED8" w14:paraId="506378C3"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A8725A1"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Semiconductor and related</w:t>
            </w:r>
          </w:p>
        </w:tc>
        <w:tc>
          <w:tcPr>
            <w:tcW w:w="1440" w:type="dxa"/>
          </w:tcPr>
          <w:p w14:paraId="3DBB63D6"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68.5%</w:t>
            </w:r>
          </w:p>
        </w:tc>
        <w:tc>
          <w:tcPr>
            <w:tcW w:w="1310" w:type="dxa"/>
          </w:tcPr>
          <w:p w14:paraId="58F1D41E"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1.9%</w:t>
            </w:r>
          </w:p>
        </w:tc>
      </w:tr>
      <w:tr w:rsidR="00F93ED8" w14:paraId="18DDB401"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131C9FF8"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Food processing</w:t>
            </w:r>
          </w:p>
        </w:tc>
        <w:tc>
          <w:tcPr>
            <w:tcW w:w="1440" w:type="dxa"/>
          </w:tcPr>
          <w:p w14:paraId="4C319960"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66.9%</w:t>
            </w:r>
          </w:p>
        </w:tc>
        <w:tc>
          <w:tcPr>
            <w:tcW w:w="1310" w:type="dxa"/>
          </w:tcPr>
          <w:p w14:paraId="25D5DF21"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1.8%</w:t>
            </w:r>
          </w:p>
        </w:tc>
      </w:tr>
      <w:tr w:rsidR="00F93ED8" w14:paraId="0B3447AE"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C4F5AFD"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Printing and support</w:t>
            </w:r>
          </w:p>
        </w:tc>
        <w:tc>
          <w:tcPr>
            <w:tcW w:w="1440" w:type="dxa"/>
          </w:tcPr>
          <w:p w14:paraId="5B626078"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42.9%</w:t>
            </w:r>
          </w:p>
        </w:tc>
        <w:tc>
          <w:tcPr>
            <w:tcW w:w="1310" w:type="dxa"/>
          </w:tcPr>
          <w:p w14:paraId="681BBD26"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1.2%</w:t>
            </w:r>
          </w:p>
        </w:tc>
      </w:tr>
      <w:tr w:rsidR="00F93ED8" w14:paraId="39DA3C00"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FAE8EC3"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Textile product mills</w:t>
            </w:r>
          </w:p>
        </w:tc>
        <w:tc>
          <w:tcPr>
            <w:tcW w:w="1440" w:type="dxa"/>
          </w:tcPr>
          <w:p w14:paraId="16A7C3A8"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42.9%</w:t>
            </w:r>
          </w:p>
        </w:tc>
        <w:tc>
          <w:tcPr>
            <w:tcW w:w="1310" w:type="dxa"/>
          </w:tcPr>
          <w:p w14:paraId="3D09BE67"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1.2%</w:t>
            </w:r>
          </w:p>
        </w:tc>
      </w:tr>
      <w:tr w:rsidR="00F93ED8" w14:paraId="433A5BC0"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43CA9E4"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Cement</w:t>
            </w:r>
          </w:p>
        </w:tc>
        <w:tc>
          <w:tcPr>
            <w:tcW w:w="1440" w:type="dxa"/>
          </w:tcPr>
          <w:p w14:paraId="264E33CC"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36.8%</w:t>
            </w:r>
          </w:p>
        </w:tc>
        <w:tc>
          <w:tcPr>
            <w:tcW w:w="1310" w:type="dxa"/>
          </w:tcPr>
          <w:p w14:paraId="2125D3C8"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1.0%</w:t>
            </w:r>
          </w:p>
        </w:tc>
      </w:tr>
      <w:tr w:rsidR="00F93ED8" w14:paraId="19E59AE5"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30DEA227"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Transportation equipment</w:t>
            </w:r>
          </w:p>
        </w:tc>
        <w:tc>
          <w:tcPr>
            <w:tcW w:w="1440" w:type="dxa"/>
          </w:tcPr>
          <w:p w14:paraId="67FF7DFE"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35.9%</w:t>
            </w:r>
          </w:p>
        </w:tc>
        <w:tc>
          <w:tcPr>
            <w:tcW w:w="1310" w:type="dxa"/>
          </w:tcPr>
          <w:p w14:paraId="4F917295"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1.0%</w:t>
            </w:r>
          </w:p>
        </w:tc>
      </w:tr>
      <w:tr w:rsidR="00F93ED8" w14:paraId="626AF78E"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1873F1BA"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Primary metal manufacturing</w:t>
            </w:r>
          </w:p>
        </w:tc>
        <w:tc>
          <w:tcPr>
            <w:tcW w:w="1440" w:type="dxa"/>
          </w:tcPr>
          <w:p w14:paraId="330D1854"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33.0%</w:t>
            </w:r>
          </w:p>
        </w:tc>
        <w:tc>
          <w:tcPr>
            <w:tcW w:w="1310" w:type="dxa"/>
          </w:tcPr>
          <w:p w14:paraId="186B2B5B"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0.9%</w:t>
            </w:r>
          </w:p>
        </w:tc>
      </w:tr>
      <w:tr w:rsidR="00F93ED8" w14:paraId="03079983"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3CA7F6F3"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Furniture and related</w:t>
            </w:r>
          </w:p>
        </w:tc>
        <w:tc>
          <w:tcPr>
            <w:tcW w:w="1440" w:type="dxa"/>
          </w:tcPr>
          <w:p w14:paraId="12B9A57E"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32.7%</w:t>
            </w:r>
          </w:p>
        </w:tc>
        <w:tc>
          <w:tcPr>
            <w:tcW w:w="1310" w:type="dxa"/>
          </w:tcPr>
          <w:p w14:paraId="770E84BF"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0.9%</w:t>
            </w:r>
          </w:p>
        </w:tc>
      </w:tr>
      <w:tr w:rsidR="00F93ED8" w14:paraId="21F31CD5"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598EF76"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Apparel and leather</w:t>
            </w:r>
          </w:p>
        </w:tc>
        <w:tc>
          <w:tcPr>
            <w:tcW w:w="1440" w:type="dxa"/>
          </w:tcPr>
          <w:p w14:paraId="67275689"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27.6%</w:t>
            </w:r>
          </w:p>
        </w:tc>
        <w:tc>
          <w:tcPr>
            <w:tcW w:w="1310" w:type="dxa"/>
          </w:tcPr>
          <w:p w14:paraId="6B2FC05A"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0.7%</w:t>
            </w:r>
          </w:p>
        </w:tc>
      </w:tr>
      <w:tr w:rsidR="00F93ED8" w14:paraId="438DCEBE"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6A5CCA8"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lastRenderedPageBreak/>
              <w:t>Electrical equipment, appliances</w:t>
            </w:r>
          </w:p>
        </w:tc>
        <w:tc>
          <w:tcPr>
            <w:tcW w:w="1440" w:type="dxa"/>
          </w:tcPr>
          <w:p w14:paraId="21A90221"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22.8%</w:t>
            </w:r>
          </w:p>
        </w:tc>
        <w:tc>
          <w:tcPr>
            <w:tcW w:w="1310" w:type="dxa"/>
          </w:tcPr>
          <w:p w14:paraId="6BC36F32"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0.6%</w:t>
            </w:r>
          </w:p>
        </w:tc>
      </w:tr>
      <w:tr w:rsidR="00F93ED8" w14:paraId="191B9C87"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32413959"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Petroleum and coal products</w:t>
            </w:r>
          </w:p>
        </w:tc>
        <w:tc>
          <w:tcPr>
            <w:tcW w:w="1440" w:type="dxa"/>
          </w:tcPr>
          <w:p w14:paraId="0B41DB82"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21.7%</w:t>
            </w:r>
          </w:p>
        </w:tc>
        <w:tc>
          <w:tcPr>
            <w:tcW w:w="1310" w:type="dxa"/>
          </w:tcPr>
          <w:p w14:paraId="788ECB56"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0.6%</w:t>
            </w:r>
          </w:p>
        </w:tc>
      </w:tr>
      <w:tr w:rsidR="00F93ED8" w14:paraId="69DD559E"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350AB4D"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Logging, wood products</w:t>
            </w:r>
          </w:p>
        </w:tc>
        <w:tc>
          <w:tcPr>
            <w:tcW w:w="1440" w:type="dxa"/>
          </w:tcPr>
          <w:p w14:paraId="58C89505"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16.3%</w:t>
            </w:r>
          </w:p>
        </w:tc>
        <w:tc>
          <w:tcPr>
            <w:tcW w:w="1310" w:type="dxa"/>
          </w:tcPr>
          <w:p w14:paraId="2209B7CF"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0.4%</w:t>
            </w:r>
          </w:p>
        </w:tc>
      </w:tr>
      <w:tr w:rsidR="00F93ED8" w14:paraId="4C78F3D5" w14:textId="77777777" w:rsidTr="00323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B2A6AEF" w14:textId="77777777" w:rsidR="00F93ED8" w:rsidRPr="00E01C42" w:rsidRDefault="00F93ED8" w:rsidP="00323BFA">
            <w:pPr>
              <w:keepLines/>
              <w:rPr>
                <w:rFonts w:ascii="Arial Narrow" w:hAnsi="Arial Narrow" w:cs="Arial"/>
                <w:szCs w:val="18"/>
              </w:rPr>
            </w:pPr>
            <w:r w:rsidRPr="00E01C42">
              <w:rPr>
                <w:rFonts w:ascii="Arial Narrow" w:hAnsi="Arial Narrow" w:cstheme="majorHAnsi"/>
                <w:b/>
                <w:color w:val="000000"/>
                <w:szCs w:val="18"/>
              </w:rPr>
              <w:t>Pulp and paper</w:t>
            </w:r>
          </w:p>
        </w:tc>
        <w:tc>
          <w:tcPr>
            <w:tcW w:w="1440" w:type="dxa"/>
          </w:tcPr>
          <w:p w14:paraId="5555392D" w14:textId="77777777" w:rsidR="00F93ED8" w:rsidRPr="00E01C42" w:rsidRDefault="00F93ED8" w:rsidP="00323BFA">
            <w:pPr>
              <w:keepLines/>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16.3%</w:t>
            </w:r>
          </w:p>
        </w:tc>
        <w:tc>
          <w:tcPr>
            <w:tcW w:w="1310" w:type="dxa"/>
          </w:tcPr>
          <w:p w14:paraId="417F51FB" w14:textId="77777777" w:rsidR="00F93ED8" w:rsidRPr="00E01C42" w:rsidRDefault="00F93ED8" w:rsidP="00323BFA">
            <w:pPr>
              <w:keepLines/>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0.4%</w:t>
            </w:r>
          </w:p>
        </w:tc>
      </w:tr>
      <w:tr w:rsidR="00F93ED8" w14:paraId="37867A80" w14:textId="77777777" w:rsidTr="0032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gridSpan w:val="2"/>
          </w:tcPr>
          <w:p w14:paraId="572F1090" w14:textId="77777777" w:rsidR="00F93ED8" w:rsidRPr="00E01C42" w:rsidRDefault="00F93ED8" w:rsidP="00323BFA">
            <w:pPr>
              <w:keepLines/>
              <w:rPr>
                <w:rFonts w:ascii="Arial Narrow" w:hAnsi="Arial Narrow" w:cs="Arial"/>
                <w:b/>
                <w:szCs w:val="18"/>
              </w:rPr>
            </w:pPr>
            <w:r w:rsidRPr="00E01C42">
              <w:rPr>
                <w:rFonts w:ascii="Arial Narrow" w:hAnsi="Arial Narrow" w:cs="Arial"/>
                <w:b/>
                <w:szCs w:val="18"/>
              </w:rPr>
              <w:t>Average</w:t>
            </w:r>
          </w:p>
        </w:tc>
        <w:tc>
          <w:tcPr>
            <w:tcW w:w="1310" w:type="dxa"/>
          </w:tcPr>
          <w:p w14:paraId="439B4A84" w14:textId="77777777" w:rsidR="00F93ED8" w:rsidRPr="00E01C42" w:rsidRDefault="00F93ED8" w:rsidP="00323BFA">
            <w:pPr>
              <w:keepLines/>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8"/>
              </w:rPr>
            </w:pPr>
            <w:r w:rsidRPr="00E01C42">
              <w:rPr>
                <w:rFonts w:ascii="Arial Narrow" w:hAnsi="Arial Narrow" w:cs="Arial"/>
                <w:b/>
                <w:szCs w:val="18"/>
              </w:rPr>
              <w:t>1.8%</w:t>
            </w:r>
          </w:p>
        </w:tc>
      </w:tr>
    </w:tbl>
    <w:p w14:paraId="3D166474" w14:textId="77777777" w:rsidR="00A84480" w:rsidRPr="001A5D37" w:rsidRDefault="00A84480" w:rsidP="00323BFA">
      <w:pPr>
        <w:keepLines/>
        <w:jc w:val="center"/>
        <w:rPr>
          <w:rFonts w:cs="Arial"/>
          <w:i/>
          <w:sz w:val="16"/>
          <w:szCs w:val="16"/>
        </w:rPr>
      </w:pPr>
      <w:r w:rsidRPr="001A5D37">
        <w:rPr>
          <w:rFonts w:cs="Arial"/>
          <w:i/>
          <w:sz w:val="16"/>
          <w:szCs w:val="16"/>
        </w:rPr>
        <w:t>Source: Navigant analysis</w:t>
      </w:r>
    </w:p>
    <w:p w14:paraId="1F189BD2" w14:textId="77777777" w:rsidR="002A69B1" w:rsidRDefault="002A69B1" w:rsidP="00F93ED8"/>
    <w:p w14:paraId="0E1E8D6D" w14:textId="636E812E" w:rsidR="00F93ED8" w:rsidRDefault="00F93ED8" w:rsidP="00F93ED8">
      <w:r>
        <w:t xml:space="preserve">For the agricultural sector, </w:t>
      </w:r>
      <w:r w:rsidR="00217780">
        <w:t xml:space="preserve">the team defined </w:t>
      </w:r>
      <w:r>
        <w:t>SEM UES multipliers using industrial se</w:t>
      </w:r>
      <w:r w:rsidR="00217780">
        <w:t>gment</w:t>
      </w:r>
      <w:r>
        <w:t xml:space="preserve"> proxies</w:t>
      </w:r>
      <w:r w:rsidR="00217780">
        <w:t>. The team used averages</w:t>
      </w:r>
      <w:r>
        <w:t xml:space="preserve"> of select industrial se</w:t>
      </w:r>
      <w:r w:rsidR="00217780">
        <w:t>gment</w:t>
      </w:r>
      <w:r>
        <w:t xml:space="preserve"> multipliers (</w:t>
      </w:r>
      <w:r w:rsidR="00217780">
        <w:t>i.e.,</w:t>
      </w:r>
      <w:r>
        <w:t xml:space="preserve"> food related segments) or the average </w:t>
      </w:r>
      <w:r w:rsidR="00217780">
        <w:t xml:space="preserve">for the entire </w:t>
      </w:r>
      <w:r w:rsidR="00836556">
        <w:t>I</w:t>
      </w:r>
      <w:r>
        <w:t>ndustrial sector</w:t>
      </w:r>
      <w:r w:rsidR="00836556">
        <w:t xml:space="preserve"> </w:t>
      </w:r>
      <w:r w:rsidR="00836556" w:rsidRPr="00836556">
        <w:t>to develop the Agricultural sector SEM UES multipliers</w:t>
      </w:r>
      <w:r>
        <w:t xml:space="preserve"> shown</w:t>
      </w:r>
      <w:r w:rsidR="00836556">
        <w:t xml:space="preserve"> in</w:t>
      </w:r>
      <w:r>
        <w:t xml:space="preserve"> </w:t>
      </w:r>
      <w:r w:rsidR="00217780">
        <w:fldChar w:fldCharType="begin"/>
      </w:r>
      <w:r w:rsidR="00217780">
        <w:instrText xml:space="preserve"> REF _Ref484095082 \h </w:instrText>
      </w:r>
      <w:r w:rsidR="00217780">
        <w:fldChar w:fldCharType="separate"/>
      </w:r>
      <w:r w:rsidR="00C407F4" w:rsidRPr="00122CD3">
        <w:t xml:space="preserve">Table </w:t>
      </w:r>
      <w:r w:rsidR="00C407F4">
        <w:rPr>
          <w:noProof/>
        </w:rPr>
        <w:t>B</w:t>
      </w:r>
      <w:r w:rsidR="00C407F4" w:rsidRPr="00323BFA">
        <w:noBreakHyphen/>
      </w:r>
      <w:r w:rsidR="00C407F4">
        <w:rPr>
          <w:noProof/>
        </w:rPr>
        <w:t>13</w:t>
      </w:r>
      <w:r w:rsidR="00217780">
        <w:fldChar w:fldCharType="end"/>
      </w:r>
      <w:r>
        <w:t>.</w:t>
      </w:r>
    </w:p>
    <w:p w14:paraId="452442AC" w14:textId="77777777" w:rsidR="002A69B1" w:rsidRDefault="002A69B1" w:rsidP="00F93ED8">
      <w:pPr>
        <w:rPr>
          <w:rFonts w:ascii="Calibri Light" w:hAnsi="Calibri Light"/>
          <w:sz w:val="22"/>
        </w:rPr>
      </w:pPr>
    </w:p>
    <w:p w14:paraId="1B1EA38B" w14:textId="77777777" w:rsidR="00F93ED8" w:rsidRPr="006F2DA9" w:rsidRDefault="00F9578C">
      <w:pPr>
        <w:pStyle w:val="Caption"/>
      </w:pPr>
      <w:bookmarkStart w:id="985" w:name="_Ref484013435"/>
      <w:bookmarkStart w:id="986" w:name="_Ref484095082"/>
      <w:bookmarkStart w:id="987" w:name="_Toc484062685"/>
      <w:bookmarkStart w:id="988" w:name="_Toc485125614"/>
      <w:r w:rsidRPr="00122CD3">
        <w:t xml:space="preserve">Table </w:t>
      </w:r>
      <w:r w:rsidR="00272F76">
        <w:fldChar w:fldCharType="begin"/>
      </w:r>
      <w:r w:rsidR="00272F76">
        <w:instrText xml:space="preserve"> STYLEREF 5 \s </w:instrText>
      </w:r>
      <w:r w:rsidR="00272F76">
        <w:fldChar w:fldCharType="separate"/>
      </w:r>
      <w:r w:rsidR="00C407F4">
        <w:rPr>
          <w:noProof/>
        </w:rPr>
        <w:t>B</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13</w:t>
      </w:r>
      <w:r w:rsidR="00272F76">
        <w:rPr>
          <w:noProof/>
        </w:rPr>
        <w:fldChar w:fldCharType="end"/>
      </w:r>
      <w:bookmarkEnd w:id="985"/>
      <w:bookmarkEnd w:id="986"/>
      <w:r w:rsidRPr="006F2DA9">
        <w:t xml:space="preserve">. </w:t>
      </w:r>
      <w:r w:rsidR="00F93ED8" w:rsidRPr="006F2DA9">
        <w:t xml:space="preserve">Agricultural </w:t>
      </w:r>
      <w:r w:rsidR="002A69B1" w:rsidRPr="006F2DA9">
        <w:t>Sector Strategic Energy Management Unit Energy Savings</w:t>
      </w:r>
      <w:r w:rsidR="00F93ED8" w:rsidRPr="006F2DA9">
        <w:t xml:space="preserve"> Multiplier</w:t>
      </w:r>
      <w:bookmarkEnd w:id="987"/>
      <w:bookmarkEnd w:id="988"/>
    </w:p>
    <w:tbl>
      <w:tblPr>
        <w:tblStyle w:val="EnergyTable1"/>
        <w:tblW w:w="6768" w:type="dxa"/>
        <w:tblLayout w:type="fixed"/>
        <w:tblLook w:val="04A0" w:firstRow="1" w:lastRow="0" w:firstColumn="1" w:lastColumn="0" w:noHBand="0" w:noVBand="1"/>
      </w:tblPr>
      <w:tblGrid>
        <w:gridCol w:w="3960"/>
        <w:gridCol w:w="1404"/>
        <w:gridCol w:w="1404"/>
      </w:tblGrid>
      <w:tr w:rsidR="00F93ED8" w14:paraId="7F8F3775" w14:textId="77777777" w:rsidTr="00A844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0" w:type="dxa"/>
          </w:tcPr>
          <w:p w14:paraId="0174C3EC" w14:textId="77777777" w:rsidR="00F93ED8" w:rsidRPr="00A84480" w:rsidRDefault="00F93ED8" w:rsidP="00A84480">
            <w:pPr>
              <w:rPr>
                <w:rFonts w:ascii="Arial Narrow" w:hAnsi="Arial Narrow" w:cs="Arial"/>
                <w:color w:val="FFFFFF" w:themeColor="background1"/>
                <w:sz w:val="18"/>
                <w:szCs w:val="18"/>
              </w:rPr>
            </w:pPr>
            <w:r w:rsidRPr="00A84480">
              <w:rPr>
                <w:rFonts w:ascii="Arial Narrow" w:hAnsi="Arial Narrow"/>
                <w:sz w:val="18"/>
                <w:szCs w:val="18"/>
              </w:rPr>
              <w:t>Agricultural Segment</w:t>
            </w:r>
          </w:p>
        </w:tc>
        <w:tc>
          <w:tcPr>
            <w:tcW w:w="1404" w:type="dxa"/>
          </w:tcPr>
          <w:p w14:paraId="778CDF97" w14:textId="77777777" w:rsidR="00F93ED8" w:rsidRPr="00A84480"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 w:val="18"/>
                <w:szCs w:val="18"/>
              </w:rPr>
            </w:pPr>
            <w:r w:rsidRPr="00A84480">
              <w:rPr>
                <w:rFonts w:ascii="Arial Narrow" w:hAnsi="Arial Narrow"/>
                <w:sz w:val="18"/>
                <w:szCs w:val="18"/>
              </w:rPr>
              <w:t>Industrial Sector Proxy</w:t>
            </w:r>
          </w:p>
        </w:tc>
        <w:tc>
          <w:tcPr>
            <w:tcW w:w="1404" w:type="dxa"/>
          </w:tcPr>
          <w:p w14:paraId="726AA029" w14:textId="77777777" w:rsidR="00F93ED8" w:rsidRPr="00A84480"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 w:val="18"/>
                <w:szCs w:val="18"/>
              </w:rPr>
            </w:pPr>
            <w:r w:rsidRPr="00A84480">
              <w:rPr>
                <w:rFonts w:ascii="Arial Narrow" w:hAnsi="Arial Narrow"/>
                <w:sz w:val="18"/>
                <w:szCs w:val="18"/>
              </w:rPr>
              <w:t>SEM UES Multiplier</w:t>
            </w:r>
          </w:p>
        </w:tc>
      </w:tr>
      <w:tr w:rsidR="00F93ED8" w14:paraId="2BF2640C" w14:textId="77777777" w:rsidTr="00A84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44F795E" w14:textId="77777777" w:rsidR="00F93ED8" w:rsidRPr="00A84480" w:rsidRDefault="00F93ED8">
            <w:pPr>
              <w:rPr>
                <w:rFonts w:ascii="Arial Narrow" w:hAnsi="Arial Narrow" w:cs="Arial"/>
                <w:sz w:val="18"/>
                <w:szCs w:val="18"/>
              </w:rPr>
            </w:pPr>
            <w:r w:rsidRPr="00A84480">
              <w:rPr>
                <w:rFonts w:ascii="Arial Narrow" w:hAnsi="Arial Narrow"/>
                <w:sz w:val="18"/>
                <w:szCs w:val="18"/>
              </w:rPr>
              <w:t>Irrigated Agriculture</w:t>
            </w:r>
          </w:p>
        </w:tc>
        <w:tc>
          <w:tcPr>
            <w:tcW w:w="1404" w:type="dxa"/>
          </w:tcPr>
          <w:p w14:paraId="67EFDA58"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1404" w:type="dxa"/>
          </w:tcPr>
          <w:p w14:paraId="779861F1"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1.8%</w:t>
            </w:r>
          </w:p>
        </w:tc>
      </w:tr>
      <w:tr w:rsidR="00F93ED8" w14:paraId="0D88AF3A" w14:textId="77777777" w:rsidTr="00A84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0CF4DFD4" w14:textId="77777777" w:rsidR="00F93ED8" w:rsidRPr="00A84480" w:rsidRDefault="00F93ED8">
            <w:pPr>
              <w:rPr>
                <w:rFonts w:ascii="Arial Narrow" w:hAnsi="Arial Narrow" w:cs="Arial"/>
                <w:sz w:val="18"/>
                <w:szCs w:val="18"/>
              </w:rPr>
            </w:pPr>
            <w:r w:rsidRPr="00A84480">
              <w:rPr>
                <w:rFonts w:ascii="Arial Narrow" w:hAnsi="Arial Narrow"/>
                <w:sz w:val="18"/>
                <w:szCs w:val="18"/>
              </w:rPr>
              <w:t>Post-Harvest Processing</w:t>
            </w:r>
          </w:p>
        </w:tc>
        <w:tc>
          <w:tcPr>
            <w:tcW w:w="1404" w:type="dxa"/>
          </w:tcPr>
          <w:p w14:paraId="293B75B9" w14:textId="77777777" w:rsidR="00F93ED8" w:rsidRPr="00A84480" w:rsidRDefault="00F93ED8">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Food related</w:t>
            </w:r>
          </w:p>
        </w:tc>
        <w:tc>
          <w:tcPr>
            <w:tcW w:w="1404" w:type="dxa"/>
          </w:tcPr>
          <w:p w14:paraId="69200C67" w14:textId="77777777" w:rsidR="00F93ED8" w:rsidRPr="00A84480"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2.9%</w:t>
            </w:r>
          </w:p>
        </w:tc>
      </w:tr>
      <w:tr w:rsidR="00F93ED8" w14:paraId="1230ABA9" w14:textId="77777777" w:rsidTr="00A84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4FB6F573" w14:textId="77777777" w:rsidR="00F93ED8" w:rsidRPr="00A84480" w:rsidRDefault="00F93ED8">
            <w:pPr>
              <w:rPr>
                <w:rFonts w:ascii="Arial Narrow" w:hAnsi="Arial Narrow" w:cs="Arial"/>
                <w:sz w:val="18"/>
                <w:szCs w:val="18"/>
              </w:rPr>
            </w:pPr>
            <w:r w:rsidRPr="00A84480">
              <w:rPr>
                <w:rFonts w:ascii="Arial Narrow" w:hAnsi="Arial Narrow"/>
                <w:sz w:val="18"/>
                <w:szCs w:val="18"/>
              </w:rPr>
              <w:t>Dairies</w:t>
            </w:r>
          </w:p>
        </w:tc>
        <w:tc>
          <w:tcPr>
            <w:tcW w:w="1404" w:type="dxa"/>
          </w:tcPr>
          <w:p w14:paraId="38F30B27"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Food related</w:t>
            </w:r>
          </w:p>
        </w:tc>
        <w:tc>
          <w:tcPr>
            <w:tcW w:w="1404" w:type="dxa"/>
          </w:tcPr>
          <w:p w14:paraId="5EFFB0DB"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2.9%</w:t>
            </w:r>
          </w:p>
        </w:tc>
      </w:tr>
      <w:tr w:rsidR="00F93ED8" w14:paraId="56A585C9" w14:textId="77777777" w:rsidTr="00A84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70362DA9" w14:textId="77777777" w:rsidR="00F93ED8" w:rsidRPr="00A84480" w:rsidRDefault="00F93ED8">
            <w:pPr>
              <w:rPr>
                <w:rFonts w:ascii="Arial Narrow" w:hAnsi="Arial Narrow" w:cs="Arial"/>
                <w:sz w:val="18"/>
                <w:szCs w:val="18"/>
              </w:rPr>
            </w:pPr>
            <w:r w:rsidRPr="00A84480">
              <w:rPr>
                <w:rFonts w:ascii="Arial Narrow" w:hAnsi="Arial Narrow"/>
                <w:sz w:val="18"/>
                <w:szCs w:val="18"/>
              </w:rPr>
              <w:t>Refrigerated Warehouses</w:t>
            </w:r>
          </w:p>
        </w:tc>
        <w:tc>
          <w:tcPr>
            <w:tcW w:w="1404" w:type="dxa"/>
          </w:tcPr>
          <w:p w14:paraId="6982A03B" w14:textId="77777777" w:rsidR="00F93ED8" w:rsidRPr="00A84480" w:rsidRDefault="00F93ED8">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1404" w:type="dxa"/>
          </w:tcPr>
          <w:p w14:paraId="5349F0BE" w14:textId="77777777" w:rsidR="00F93ED8" w:rsidRPr="00A84480"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1.9%</w:t>
            </w:r>
          </w:p>
        </w:tc>
      </w:tr>
      <w:tr w:rsidR="00F93ED8" w14:paraId="79BBDF83" w14:textId="77777777" w:rsidTr="00A84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70A44EA" w14:textId="77777777" w:rsidR="00F93ED8" w:rsidRPr="00A84480" w:rsidRDefault="00F93ED8">
            <w:pPr>
              <w:rPr>
                <w:rFonts w:ascii="Arial Narrow" w:hAnsi="Arial Narrow" w:cs="Arial"/>
                <w:sz w:val="18"/>
                <w:szCs w:val="18"/>
              </w:rPr>
            </w:pPr>
            <w:r w:rsidRPr="00A84480">
              <w:rPr>
                <w:rFonts w:ascii="Arial Narrow" w:hAnsi="Arial Narrow"/>
                <w:sz w:val="18"/>
                <w:szCs w:val="18"/>
              </w:rPr>
              <w:t>Wineries and Vineyards</w:t>
            </w:r>
          </w:p>
        </w:tc>
        <w:tc>
          <w:tcPr>
            <w:tcW w:w="1404" w:type="dxa"/>
          </w:tcPr>
          <w:p w14:paraId="50029721"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Food related</w:t>
            </w:r>
          </w:p>
        </w:tc>
        <w:tc>
          <w:tcPr>
            <w:tcW w:w="1404" w:type="dxa"/>
          </w:tcPr>
          <w:p w14:paraId="0E6CA9D4"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2.9%</w:t>
            </w:r>
          </w:p>
        </w:tc>
      </w:tr>
      <w:tr w:rsidR="00F93ED8" w14:paraId="78CEF56A" w14:textId="77777777" w:rsidTr="00A84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77A98F4" w14:textId="77777777" w:rsidR="00F93ED8" w:rsidRPr="00A84480" w:rsidRDefault="00F93ED8">
            <w:pPr>
              <w:rPr>
                <w:rFonts w:ascii="Arial Narrow" w:hAnsi="Arial Narrow" w:cs="Arial"/>
                <w:sz w:val="18"/>
                <w:szCs w:val="18"/>
              </w:rPr>
            </w:pPr>
            <w:r w:rsidRPr="00A84480">
              <w:rPr>
                <w:rFonts w:ascii="Arial Narrow" w:hAnsi="Arial Narrow"/>
                <w:sz w:val="18"/>
                <w:szCs w:val="18"/>
              </w:rPr>
              <w:t>Concentrated Animal Feeding Operation</w:t>
            </w:r>
          </w:p>
        </w:tc>
        <w:tc>
          <w:tcPr>
            <w:tcW w:w="1404" w:type="dxa"/>
          </w:tcPr>
          <w:p w14:paraId="754AA5EC" w14:textId="77777777" w:rsidR="00F93ED8" w:rsidRPr="00A84480" w:rsidRDefault="00F93ED8">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1404" w:type="dxa"/>
          </w:tcPr>
          <w:p w14:paraId="4BCC5468" w14:textId="77777777" w:rsidR="00F93ED8" w:rsidRPr="00A84480"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1.8%</w:t>
            </w:r>
          </w:p>
        </w:tc>
      </w:tr>
      <w:tr w:rsidR="00F93ED8" w14:paraId="2C4F3125" w14:textId="77777777" w:rsidTr="00A84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6A9E955" w14:textId="77777777" w:rsidR="00F93ED8" w:rsidRPr="00A84480" w:rsidRDefault="00F93ED8">
            <w:pPr>
              <w:rPr>
                <w:rFonts w:ascii="Arial Narrow" w:hAnsi="Arial Narrow" w:cs="Arial"/>
                <w:sz w:val="18"/>
                <w:szCs w:val="18"/>
              </w:rPr>
            </w:pPr>
            <w:r w:rsidRPr="00A84480">
              <w:rPr>
                <w:rFonts w:ascii="Arial Narrow" w:hAnsi="Arial Narrow"/>
                <w:sz w:val="18"/>
                <w:szCs w:val="18"/>
              </w:rPr>
              <w:t>Greenhouses</w:t>
            </w:r>
          </w:p>
        </w:tc>
        <w:tc>
          <w:tcPr>
            <w:tcW w:w="1404" w:type="dxa"/>
          </w:tcPr>
          <w:p w14:paraId="2F69253E"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1404" w:type="dxa"/>
          </w:tcPr>
          <w:p w14:paraId="6FC67A50"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1.8%</w:t>
            </w:r>
          </w:p>
        </w:tc>
      </w:tr>
    </w:tbl>
    <w:p w14:paraId="751D2970" w14:textId="77777777" w:rsidR="002A69B1" w:rsidRDefault="00A84480" w:rsidP="00A84480">
      <w:pPr>
        <w:jc w:val="center"/>
        <w:rPr>
          <w:rFonts w:cs="Arial"/>
          <w:i/>
          <w:sz w:val="16"/>
          <w:szCs w:val="16"/>
        </w:rPr>
      </w:pPr>
      <w:r>
        <w:rPr>
          <w:rFonts w:cs="Arial"/>
          <w:i/>
          <w:sz w:val="16"/>
          <w:szCs w:val="16"/>
        </w:rPr>
        <w:t>Source: Navigant analysis</w:t>
      </w:r>
    </w:p>
    <w:p w14:paraId="7ACB9516" w14:textId="77777777" w:rsidR="00E01C42" w:rsidRPr="00A84480" w:rsidRDefault="00E01C42" w:rsidP="00A84480">
      <w:pPr>
        <w:jc w:val="center"/>
        <w:rPr>
          <w:rFonts w:cs="Arial"/>
          <w:i/>
          <w:sz w:val="16"/>
          <w:szCs w:val="16"/>
        </w:rPr>
      </w:pPr>
    </w:p>
    <w:p w14:paraId="6F23604E" w14:textId="77777777" w:rsidR="00F93ED8" w:rsidRDefault="00F93ED8" w:rsidP="00323BFA">
      <w:r>
        <w:t xml:space="preserve">The 2018 PG </w:t>
      </w:r>
      <w:r w:rsidR="00836556">
        <w:t>study</w:t>
      </w:r>
      <w:r>
        <w:t xml:space="preserve"> uses the SEM UES multiplier to </w:t>
      </w:r>
      <w:r w:rsidR="00836556">
        <w:t>forecast</w:t>
      </w:r>
      <w:r>
        <w:t xml:space="preserve"> segment level potential net savings using the following equation:</w:t>
      </w:r>
    </w:p>
    <w:p w14:paraId="3B327F28" w14:textId="77777777" w:rsidR="001839BE" w:rsidRDefault="001839BE" w:rsidP="00122CD3"/>
    <w:p w14:paraId="1B44EDE3" w14:textId="77777777" w:rsidR="00F93ED8" w:rsidRPr="006B655B" w:rsidRDefault="00F93ED8" w:rsidP="00122CD3">
      <w:pPr>
        <w:ind w:left="720"/>
        <w:jc w:val="center"/>
        <w:rPr>
          <w:rFonts w:cs="Arial"/>
        </w:rPr>
      </w:pPr>
      <w:r w:rsidRPr="006B655B">
        <w:rPr>
          <w:rFonts w:cs="Arial"/>
        </w:rPr>
        <w:t xml:space="preserve">SEM segment level EE net </w:t>
      </w:r>
      <w:r w:rsidRPr="006B655B">
        <w:rPr>
          <w:rFonts w:cs="Arial"/>
          <w:szCs w:val="20"/>
        </w:rPr>
        <w:t>savings</w:t>
      </w:r>
      <w:r w:rsidRPr="006B655B">
        <w:rPr>
          <w:rFonts w:cs="Arial"/>
        </w:rPr>
        <w:t xml:space="preserve"> potential = </w:t>
      </w:r>
      <w:r w:rsidR="00E01C42" w:rsidRPr="006B655B">
        <w:rPr>
          <w:rFonts w:cs="Arial"/>
        </w:rPr>
        <w:br/>
      </w:r>
      <w:r w:rsidRPr="006B655B">
        <w:rPr>
          <w:rFonts w:cs="Arial"/>
        </w:rPr>
        <w:t>SEM UES Multiplier x Annual Segment Consumption</w:t>
      </w:r>
      <w:r w:rsidR="002A69B1" w:rsidRPr="006B655B">
        <w:rPr>
          <w:rFonts w:cs="Arial"/>
          <w:vertAlign w:val="superscript"/>
        </w:rPr>
        <w:footnoteReference w:id="171"/>
      </w:r>
    </w:p>
    <w:p w14:paraId="3E66D476" w14:textId="77777777" w:rsidR="002A69B1" w:rsidRDefault="002A69B1" w:rsidP="00122CD3"/>
    <w:p w14:paraId="09F19926" w14:textId="77777777" w:rsidR="004B3191" w:rsidRDefault="00F93ED8" w:rsidP="00122CD3">
      <w:r>
        <w:t>The model holds the industrial and agricultural segment UES multiplier constant throughout the 2018 PG model forecast horizon.</w:t>
      </w:r>
    </w:p>
    <w:p w14:paraId="148CF7F6" w14:textId="77777777" w:rsidR="00FE1CC4" w:rsidRDefault="00FE1CC4" w:rsidP="00122CD3"/>
    <w:p w14:paraId="7F1151D5" w14:textId="77777777" w:rsidR="00FE1CC4" w:rsidRPr="008261F5" w:rsidRDefault="00FE1CC4" w:rsidP="00FE1CC4">
      <w:pPr>
        <w:keepNext/>
        <w:rPr>
          <w:szCs w:val="20"/>
        </w:rPr>
      </w:pPr>
      <w:r w:rsidRPr="008261F5">
        <w:rPr>
          <w:b/>
          <w:i/>
          <w:szCs w:val="20"/>
        </w:rPr>
        <w:lastRenderedPageBreak/>
        <w:t>Cost</w:t>
      </w:r>
    </w:p>
    <w:p w14:paraId="567D64CB" w14:textId="77777777" w:rsidR="00FE1CC4" w:rsidRDefault="00836556" w:rsidP="00FE1CC4">
      <w:pPr>
        <w:keepNext/>
        <w:keepLines/>
      </w:pPr>
      <w:r w:rsidRPr="00836556">
        <w:rPr>
          <w:szCs w:val="20"/>
        </w:rPr>
        <w:t>Costs for electricity and natural gas savings are estimated at $0.20/kWh and $1.35/therm, and are applied consistently by building and fuel type across utilities. Costs are based on an analysis of third party Industrial sector programs operating in California during the 2014-2015 portfolio. These costs are lower than those for emerging technology and generic custom type measures, reflecting that SEM savings are O&amp;M based and do not include rebate measures for large capital investments.</w:t>
      </w:r>
    </w:p>
    <w:p w14:paraId="2390A8DF" w14:textId="77777777" w:rsidR="00E01C42" w:rsidRPr="002113DB" w:rsidRDefault="00E01C42" w:rsidP="00E01C42">
      <w:pPr>
        <w:pStyle w:val="Heading6"/>
        <w:numPr>
          <w:ilvl w:val="5"/>
          <w:numId w:val="8"/>
        </w:numPr>
        <w:ind w:left="0" w:firstLine="0"/>
      </w:pPr>
      <w:bookmarkStart w:id="989" w:name="_Toc480271816"/>
      <w:bookmarkStart w:id="990" w:name="_Toc484183074"/>
      <w:bookmarkStart w:id="991" w:name="_Toc485126595"/>
      <w:r w:rsidRPr="002113DB">
        <w:t xml:space="preserve">Other </w:t>
      </w:r>
      <w:r w:rsidRPr="00DF089C">
        <w:t>Data Sources and References</w:t>
      </w:r>
      <w:bookmarkEnd w:id="989"/>
      <w:bookmarkEnd w:id="990"/>
      <w:bookmarkEnd w:id="991"/>
    </w:p>
    <w:p w14:paraId="7FAB46C7" w14:textId="77777777" w:rsidR="00E01C42" w:rsidRDefault="00E01C42" w:rsidP="00E01C42">
      <w:pPr>
        <w:rPr>
          <w:szCs w:val="20"/>
        </w:rPr>
      </w:pPr>
      <w:r w:rsidRPr="00D11078">
        <w:t xml:space="preserve">Where possible, estimates and forecasts were calculated based on formal evaluated performance of California IOUs between 2011 and 2014, and footnoted </w:t>
      </w:r>
      <w:r>
        <w:rPr>
          <w:szCs w:val="20"/>
        </w:rPr>
        <w:t>in each individual methodology description. The model inputs and other</w:t>
      </w:r>
      <w:r w:rsidRPr="00163B53">
        <w:rPr>
          <w:szCs w:val="20"/>
        </w:rPr>
        <w:t xml:space="preserve"> resulting calculations were compared with professional judgement of relevant findings regarding participation rates, gross and adjusted savings, persistence, cost, and interactive effects as reported in a variety of sources</w:t>
      </w:r>
      <w:r>
        <w:rPr>
          <w:szCs w:val="20"/>
        </w:rPr>
        <w:t xml:space="preserve"> as specified in the footnotes. Additional sources are listed below.</w:t>
      </w:r>
    </w:p>
    <w:p w14:paraId="68C74357" w14:textId="77777777" w:rsidR="00E01C42" w:rsidRPr="0071580B" w:rsidRDefault="00E01C42" w:rsidP="004E4E36">
      <w:pPr>
        <w:pStyle w:val="ListParagraph"/>
        <w:numPr>
          <w:ilvl w:val="0"/>
          <w:numId w:val="59"/>
        </w:numPr>
        <w:rPr>
          <w:szCs w:val="20"/>
        </w:rPr>
      </w:pPr>
      <w:r w:rsidRPr="0071580B">
        <w:rPr>
          <w:szCs w:val="20"/>
        </w:rPr>
        <w:t>Brown, R. “Bringing It All Together: Design and Evaluation Innovations in the Alameda County Residential Behavior Pilot.” In BECC 2014 Conference Proceedings. beccconference.org/wp-content/uploads/2014/12/presentation_Brown.pd</w:t>
      </w:r>
    </w:p>
    <w:p w14:paraId="3F6F54F8" w14:textId="77777777" w:rsidR="00E01C42" w:rsidRPr="0071580B" w:rsidRDefault="00E01C42" w:rsidP="004E4E36">
      <w:pPr>
        <w:pStyle w:val="ListParagraph"/>
        <w:numPr>
          <w:ilvl w:val="0"/>
          <w:numId w:val="59"/>
        </w:numPr>
        <w:rPr>
          <w:szCs w:val="20"/>
        </w:rPr>
      </w:pPr>
      <w:r w:rsidRPr="0071580B">
        <w:rPr>
          <w:szCs w:val="20"/>
        </w:rPr>
        <w:t>Stern, S., and D. Bates. “Achieving Residential Energy Savings: Combining Behavior Change and Home Upgrades.” In Proceedings of the 2014 ACEEE Summer Study on Energy Efficiency in Buildings 7: 317–27. Washington DC: ACEEE. aceee.org/files/proceedings/2014/data/papers/7-925.pdf - page=1</w:t>
      </w:r>
    </w:p>
    <w:p w14:paraId="2D1B8B4E" w14:textId="77777777" w:rsidR="00146A54" w:rsidRPr="00E01C42" w:rsidRDefault="00E01C42" w:rsidP="004E4E36">
      <w:pPr>
        <w:pStyle w:val="ListParagraph"/>
        <w:numPr>
          <w:ilvl w:val="0"/>
          <w:numId w:val="59"/>
        </w:numPr>
        <w:rPr>
          <w:szCs w:val="20"/>
        </w:rPr>
      </w:pPr>
      <w:r w:rsidRPr="0071580B">
        <w:rPr>
          <w:szCs w:val="20"/>
        </w:rPr>
        <w:t>Malatest. Greater Sudbury Hydro 2014 Electric Space Heating and Occupancy Load Feedback Program Evaluation. 2014. Prepared for Ecotagious Inc. Victoria, BC</w:t>
      </w:r>
      <w:r>
        <w:rPr>
          <w:szCs w:val="20"/>
        </w:rPr>
        <w:t>.</w:t>
      </w:r>
    </w:p>
    <w:p w14:paraId="14BC07AE" w14:textId="77777777" w:rsidR="00146A54" w:rsidRDefault="00146A54" w:rsidP="00146A54">
      <w:pPr>
        <w:sectPr w:rsidR="00146A54" w:rsidSect="00146A54">
          <w:pgSz w:w="12240" w:h="15840" w:code="1"/>
          <w:pgMar w:top="1440" w:right="1440" w:bottom="1440" w:left="1440" w:header="720" w:footer="720" w:gutter="0"/>
          <w:pgNumType w:start="1" w:chapStyle="5"/>
          <w:cols w:space="720"/>
          <w:docGrid w:linePitch="360"/>
        </w:sectPr>
      </w:pPr>
    </w:p>
    <w:p w14:paraId="0C7F579C" w14:textId="77777777" w:rsidR="005669E4" w:rsidRDefault="005669E4" w:rsidP="005669E4">
      <w:pPr>
        <w:pStyle w:val="Heading5"/>
      </w:pPr>
      <w:bookmarkStart w:id="992" w:name="_Ref477255092"/>
      <w:bookmarkStart w:id="993" w:name="_Ref477256994"/>
      <w:bookmarkStart w:id="994" w:name="_Toc478990541"/>
      <w:bookmarkStart w:id="995" w:name="_Toc479768619"/>
      <w:bookmarkStart w:id="996" w:name="_Toc482357340"/>
      <w:bookmarkStart w:id="997" w:name="_Toc482634315"/>
      <w:bookmarkStart w:id="998" w:name="_Toc482626447"/>
      <w:bookmarkStart w:id="999" w:name="_Toc484092523"/>
      <w:bookmarkStart w:id="1000" w:name="_Toc484172728"/>
      <w:bookmarkStart w:id="1001" w:name="_Toc484183075"/>
      <w:bookmarkStart w:id="1002" w:name="_Toc485126596"/>
      <w:r>
        <w:lastRenderedPageBreak/>
        <w:t>AIMS Sectors</w:t>
      </w:r>
      <w:bookmarkEnd w:id="992"/>
      <w:bookmarkEnd w:id="993"/>
      <w:bookmarkEnd w:id="994"/>
      <w:bookmarkEnd w:id="995"/>
      <w:bookmarkEnd w:id="996"/>
      <w:bookmarkEnd w:id="997"/>
      <w:bookmarkEnd w:id="998"/>
      <w:bookmarkEnd w:id="999"/>
      <w:bookmarkEnd w:id="1000"/>
      <w:bookmarkEnd w:id="1001"/>
      <w:bookmarkEnd w:id="1002"/>
    </w:p>
    <w:p w14:paraId="0C50B465" w14:textId="77777777" w:rsidR="00035ABC" w:rsidRDefault="00035ABC" w:rsidP="00035ABC">
      <w:r>
        <w:t>This appendix provides additional detail and data for the agriculture, industrial, mining, and street lighting (AIMS) sectors.</w:t>
      </w:r>
    </w:p>
    <w:p w14:paraId="0F254D6D" w14:textId="77777777" w:rsidR="00035ABC" w:rsidRDefault="00035ABC" w:rsidP="00035ABC">
      <w:pPr>
        <w:pStyle w:val="Heading6"/>
      </w:pPr>
      <w:bookmarkStart w:id="1003" w:name="_Toc478990542"/>
      <w:bookmarkStart w:id="1004" w:name="_Toc479768620"/>
      <w:bookmarkStart w:id="1005" w:name="_Toc482357341"/>
      <w:bookmarkStart w:id="1006" w:name="_Toc482634316"/>
      <w:bookmarkStart w:id="1007" w:name="_Toc482626448"/>
      <w:bookmarkStart w:id="1008" w:name="_Toc484092524"/>
      <w:bookmarkStart w:id="1009" w:name="_Toc484172729"/>
      <w:bookmarkStart w:id="1010" w:name="_Toc484183076"/>
      <w:bookmarkStart w:id="1011" w:name="_Toc485126597"/>
      <w:r>
        <w:t>Industrial</w:t>
      </w:r>
      <w:bookmarkEnd w:id="1003"/>
      <w:bookmarkEnd w:id="1004"/>
      <w:bookmarkEnd w:id="1005"/>
      <w:bookmarkEnd w:id="1006"/>
      <w:bookmarkEnd w:id="1007"/>
      <w:bookmarkEnd w:id="1008"/>
      <w:bookmarkEnd w:id="1009"/>
      <w:bookmarkEnd w:id="1010"/>
      <w:bookmarkEnd w:id="1011"/>
    </w:p>
    <w:p w14:paraId="2518140F" w14:textId="77777777" w:rsidR="00035ABC" w:rsidRDefault="00473CD3" w:rsidP="002D1286">
      <w:r>
        <w:t>The following t</w:t>
      </w:r>
      <w:r w:rsidR="002D1286">
        <w:t>able displays the industrial measure list used in the diffusion model.</w:t>
      </w:r>
    </w:p>
    <w:p w14:paraId="27C6458A" w14:textId="77777777" w:rsidR="002D1286" w:rsidRPr="00035ABC" w:rsidRDefault="002D1286" w:rsidP="002D1286"/>
    <w:tbl>
      <w:tblPr>
        <w:tblStyle w:val="EnergyTable1"/>
        <w:tblW w:w="9990" w:type="dxa"/>
        <w:jc w:val="left"/>
        <w:tblInd w:w="-180" w:type="dxa"/>
        <w:tblLayout w:type="fixed"/>
        <w:tblLook w:val="04A0" w:firstRow="1" w:lastRow="0" w:firstColumn="1" w:lastColumn="0" w:noHBand="0" w:noVBand="1"/>
      </w:tblPr>
      <w:tblGrid>
        <w:gridCol w:w="2430"/>
        <w:gridCol w:w="1440"/>
        <w:gridCol w:w="6120"/>
      </w:tblGrid>
      <w:tr w:rsidR="00D81CD9" w:rsidRPr="006A5F2F" w14:paraId="71E48E24" w14:textId="77777777" w:rsidTr="00110120">
        <w:trPr>
          <w:cnfStyle w:val="100000000000" w:firstRow="1" w:lastRow="0" w:firstColumn="0" w:lastColumn="0" w:oddVBand="0" w:evenVBand="0" w:oddHBand="0" w:evenHBand="0" w:firstRowFirstColumn="0" w:firstRowLastColumn="0" w:lastRowFirstColumn="0" w:lastRowLastColumn="0"/>
          <w:trHeight w:val="603"/>
          <w:tblHeader/>
          <w:jc w:val="left"/>
        </w:trPr>
        <w:tc>
          <w:tcPr>
            <w:cnfStyle w:val="001000000000" w:firstRow="0" w:lastRow="0" w:firstColumn="1" w:lastColumn="0" w:oddVBand="0" w:evenVBand="0" w:oddHBand="0" w:evenHBand="0" w:firstRowFirstColumn="0" w:firstRowLastColumn="0" w:lastRowFirstColumn="0" w:lastRowLastColumn="0"/>
            <w:tcW w:w="2430" w:type="dxa"/>
          </w:tcPr>
          <w:p w14:paraId="7C667A8C" w14:textId="77777777" w:rsidR="00D81CD9" w:rsidRPr="006A5F2F" w:rsidRDefault="00D81CD9" w:rsidP="004A758F">
            <w:pPr>
              <w:keepNext/>
              <w:keepLines/>
              <w:spacing w:line="240" w:lineRule="auto"/>
              <w:jc w:val="left"/>
              <w:rPr>
                <w:rFonts w:cs="Arial"/>
                <w:sz w:val="18"/>
                <w:szCs w:val="18"/>
              </w:rPr>
            </w:pPr>
            <w:r w:rsidRPr="006A5F2F">
              <w:rPr>
                <w:rFonts w:cs="Arial"/>
                <w:sz w:val="18"/>
                <w:szCs w:val="18"/>
              </w:rPr>
              <w:t>Measure Name</w:t>
            </w:r>
          </w:p>
        </w:tc>
        <w:tc>
          <w:tcPr>
            <w:tcW w:w="1440" w:type="dxa"/>
          </w:tcPr>
          <w:p w14:paraId="02784EA4" w14:textId="77777777" w:rsidR="00D81CD9" w:rsidRPr="006A5F2F" w:rsidRDefault="00D81CD9" w:rsidP="004A758F">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End-Use Category</w:t>
            </w:r>
          </w:p>
        </w:tc>
        <w:tc>
          <w:tcPr>
            <w:tcW w:w="6120" w:type="dxa"/>
          </w:tcPr>
          <w:p w14:paraId="5C6D8DC4" w14:textId="77777777" w:rsidR="00D81CD9" w:rsidRPr="006A5F2F" w:rsidRDefault="00D81CD9" w:rsidP="004A758F">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Description</w:t>
            </w:r>
          </w:p>
        </w:tc>
      </w:tr>
      <w:tr w:rsidR="00D81CD9" w:rsidRPr="00952591" w14:paraId="7EB7804C" w14:textId="77777777" w:rsidTr="00110120">
        <w:trPr>
          <w:cnfStyle w:val="000000100000" w:firstRow="0" w:lastRow="0" w:firstColumn="0" w:lastColumn="0" w:oddVBand="0" w:evenVBand="0" w:oddHBand="1" w:evenHBand="0" w:firstRowFirstColumn="0" w:firstRowLastColumn="0" w:lastRowFirstColumn="0" w:lastRowLastColumn="0"/>
          <w:trHeight w:val="375"/>
          <w:jc w:val="left"/>
        </w:trPr>
        <w:tc>
          <w:tcPr>
            <w:cnfStyle w:val="001000000000" w:firstRow="0" w:lastRow="0" w:firstColumn="1" w:lastColumn="0" w:oddVBand="0" w:evenVBand="0" w:oddHBand="0" w:evenHBand="0" w:firstRowFirstColumn="0" w:firstRowLastColumn="0" w:lastRowFirstColumn="0" w:lastRowLastColumn="0"/>
            <w:tcW w:w="2430" w:type="dxa"/>
          </w:tcPr>
          <w:p w14:paraId="682DE82C"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HVAC Chiller Upgrade</w:t>
            </w:r>
          </w:p>
        </w:tc>
        <w:tc>
          <w:tcPr>
            <w:tcW w:w="1440" w:type="dxa"/>
          </w:tcPr>
          <w:p w14:paraId="4430CBCE"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HVAC</w:t>
            </w:r>
          </w:p>
        </w:tc>
        <w:tc>
          <w:tcPr>
            <w:tcW w:w="6120" w:type="dxa"/>
          </w:tcPr>
          <w:p w14:paraId="1F07864A"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Chiller upgrades including advanced controls, higher efficiency equipment, and overall system efficiency improvements</w:t>
            </w:r>
          </w:p>
        </w:tc>
      </w:tr>
      <w:tr w:rsidR="00D81CD9" w:rsidRPr="00952591" w14:paraId="7DA3C2EB"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0C1E562"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HVAC Equipment Upgrade (Electric and Gas)</w:t>
            </w:r>
          </w:p>
        </w:tc>
        <w:tc>
          <w:tcPr>
            <w:tcW w:w="1440" w:type="dxa"/>
          </w:tcPr>
          <w:p w14:paraId="0989D186"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sz w:val="18"/>
                <w:szCs w:val="18"/>
              </w:rPr>
              <w:t>HVAC</w:t>
            </w:r>
          </w:p>
        </w:tc>
        <w:tc>
          <w:tcPr>
            <w:tcW w:w="6120" w:type="dxa"/>
          </w:tcPr>
          <w:p w14:paraId="0737AAE5"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Upgrades to electric and gas HVAC equipment (using better than code energy-efficiency rating [EER] or coefficient of performance [COP]), and heat recovery</w:t>
            </w:r>
          </w:p>
        </w:tc>
      </w:tr>
      <w:tr w:rsidR="00D81CD9" w:rsidRPr="00952591" w14:paraId="7F6E3D00"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0E79A643"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HVAC System Controls</w:t>
            </w:r>
          </w:p>
        </w:tc>
        <w:tc>
          <w:tcPr>
            <w:tcW w:w="1440" w:type="dxa"/>
          </w:tcPr>
          <w:p w14:paraId="6BEC199A"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sz w:val="18"/>
                <w:szCs w:val="18"/>
              </w:rPr>
              <w:t>HVAC</w:t>
            </w:r>
          </w:p>
        </w:tc>
        <w:tc>
          <w:tcPr>
            <w:tcW w:w="6120" w:type="dxa"/>
          </w:tcPr>
          <w:p w14:paraId="5B9F0ACD"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Includes temperature setback, advanced controls, variable air volume (VAV), sensors, system optimization, and other custom process controls on HVAC systems</w:t>
            </w:r>
          </w:p>
        </w:tc>
      </w:tr>
      <w:tr w:rsidR="00D81CD9" w:rsidRPr="00952591" w14:paraId="0FC79E99"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432723BC" w14:textId="77777777" w:rsidR="00D81CD9" w:rsidRPr="00952591" w:rsidRDefault="00D81CD9" w:rsidP="004A758F">
            <w:pPr>
              <w:spacing w:before="80" w:after="80" w:line="240" w:lineRule="auto"/>
              <w:jc w:val="left"/>
              <w:rPr>
                <w:rFonts w:cs="Arial"/>
                <w:sz w:val="18"/>
                <w:szCs w:val="18"/>
              </w:rPr>
            </w:pPr>
            <w:r w:rsidRPr="00952591">
              <w:rPr>
                <w:rFonts w:cs="Arial"/>
                <w:sz w:val="18"/>
                <w:szCs w:val="18"/>
              </w:rPr>
              <w:t>HVAC VFD Upgrade</w:t>
            </w:r>
          </w:p>
        </w:tc>
        <w:tc>
          <w:tcPr>
            <w:tcW w:w="1440" w:type="dxa"/>
          </w:tcPr>
          <w:p w14:paraId="4F92AB27"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sz w:val="18"/>
                <w:szCs w:val="18"/>
              </w:rPr>
              <w:t>HVAC</w:t>
            </w:r>
          </w:p>
        </w:tc>
        <w:tc>
          <w:tcPr>
            <w:tcW w:w="6120" w:type="dxa"/>
          </w:tcPr>
          <w:p w14:paraId="48BCD86D"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VFD controls on HVAC fans and equipment to take advantage of weather sensitive partial load conditions</w:t>
            </w:r>
          </w:p>
        </w:tc>
      </w:tr>
      <w:tr w:rsidR="00D81CD9" w:rsidRPr="00952591" w14:paraId="6E91AB76"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781C149E"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Lighting Controls</w:t>
            </w:r>
          </w:p>
        </w:tc>
        <w:tc>
          <w:tcPr>
            <w:tcW w:w="1440" w:type="dxa"/>
          </w:tcPr>
          <w:p w14:paraId="684FE4B6"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sz w:val="18"/>
                <w:szCs w:val="18"/>
              </w:rPr>
              <w:t>Lighting</w:t>
            </w:r>
          </w:p>
        </w:tc>
        <w:tc>
          <w:tcPr>
            <w:tcW w:w="6120" w:type="dxa"/>
          </w:tcPr>
          <w:p w14:paraId="5C0608EF"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Occupancy sensors, photocells, timers, and other controls for lighting fixtures and systems</w:t>
            </w:r>
          </w:p>
        </w:tc>
      </w:tr>
      <w:tr w:rsidR="00D81CD9" w:rsidRPr="00952591" w14:paraId="11AC5285"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56BCA9F"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Lighting Upgrades- LED</w:t>
            </w:r>
          </w:p>
        </w:tc>
        <w:tc>
          <w:tcPr>
            <w:tcW w:w="1440" w:type="dxa"/>
          </w:tcPr>
          <w:p w14:paraId="7349203B"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sz w:val="18"/>
                <w:szCs w:val="18"/>
              </w:rPr>
              <w:t>Lighting</w:t>
            </w:r>
          </w:p>
        </w:tc>
        <w:tc>
          <w:tcPr>
            <w:tcW w:w="6120" w:type="dxa"/>
          </w:tcPr>
          <w:p w14:paraId="57667BE8"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Upgrades to efficient LED lighting systems (normally replacing T12 and high-intensity discharge [HID] systems), often on a site-by-site custom basis</w:t>
            </w:r>
          </w:p>
        </w:tc>
      </w:tr>
      <w:tr w:rsidR="00D81CD9" w:rsidRPr="00952591" w14:paraId="59A35093"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1AE666A0"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Lighting Upgrades- Other</w:t>
            </w:r>
          </w:p>
        </w:tc>
        <w:tc>
          <w:tcPr>
            <w:tcW w:w="1440" w:type="dxa"/>
          </w:tcPr>
          <w:p w14:paraId="13FBC558"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sz w:val="18"/>
                <w:szCs w:val="18"/>
              </w:rPr>
              <w:t>Lighting</w:t>
            </w:r>
          </w:p>
        </w:tc>
        <w:tc>
          <w:tcPr>
            <w:tcW w:w="6120" w:type="dxa"/>
          </w:tcPr>
          <w:p w14:paraId="3CCE83CE"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Upgrades to efficient high-output (HO) T5 or efficient T8 fluorescent lighting systems (normally replacing T12 and high-intensity discharge [HID] systems), often on a site-by-site custom basis</w:t>
            </w:r>
          </w:p>
        </w:tc>
      </w:tr>
      <w:tr w:rsidR="00D81CD9" w:rsidRPr="00952591" w14:paraId="57610E5D"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956EFF7"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Air Compressor Control and Optimization</w:t>
            </w:r>
          </w:p>
        </w:tc>
        <w:tc>
          <w:tcPr>
            <w:tcW w:w="1440" w:type="dxa"/>
          </w:tcPr>
          <w:p w14:paraId="4740CB65"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1BC7B46A"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Air compressor adjustments such as pressure reduction, staging, system controls, and leak identification and repair</w:t>
            </w:r>
          </w:p>
        </w:tc>
      </w:tr>
      <w:tr w:rsidR="00D81CD9" w:rsidRPr="00952591" w14:paraId="63799DCC"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4170E70B"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Air Compressor VFD</w:t>
            </w:r>
          </w:p>
        </w:tc>
        <w:tc>
          <w:tcPr>
            <w:tcW w:w="1440" w:type="dxa"/>
          </w:tcPr>
          <w:p w14:paraId="235C61FF"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2A2834AD"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VFD controls on air compressors to allow for loading/unloading of the compressed air system, and to replace any inefficient throttling devices</w:t>
            </w:r>
          </w:p>
        </w:tc>
      </w:tr>
      <w:tr w:rsidR="00D81CD9" w:rsidRPr="00952591" w14:paraId="0444C4EC"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4BA789DA"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Fan VFD</w:t>
            </w:r>
          </w:p>
        </w:tc>
        <w:tc>
          <w:tcPr>
            <w:tcW w:w="1440" w:type="dxa"/>
          </w:tcPr>
          <w:p w14:paraId="75605BDD"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0CB12E2A"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Variable frequency drive (VFD) controls on fans (not including HVAC fans) to take advantage of partial load conditions</w:t>
            </w:r>
          </w:p>
        </w:tc>
      </w:tr>
      <w:tr w:rsidR="00D81CD9" w:rsidRPr="00952591" w14:paraId="6E5937E2"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D434608"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Pump VFD</w:t>
            </w:r>
          </w:p>
        </w:tc>
        <w:tc>
          <w:tcPr>
            <w:tcW w:w="1440" w:type="dxa"/>
          </w:tcPr>
          <w:p w14:paraId="78E298DD"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280F4F12"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VFD controls on pumps to take advantage of partial load conditions</w:t>
            </w:r>
          </w:p>
        </w:tc>
      </w:tr>
      <w:tr w:rsidR="00D81CD9" w:rsidRPr="00952591" w14:paraId="1A0CA6B8"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FC1CAD7"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Pump Sizing and Optimization</w:t>
            </w:r>
          </w:p>
        </w:tc>
        <w:tc>
          <w:tcPr>
            <w:tcW w:w="1440" w:type="dxa"/>
          </w:tcPr>
          <w:p w14:paraId="788F901D"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3698AC09"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Proper sizing and operation of pumps to increase pump efficiency</w:t>
            </w:r>
          </w:p>
        </w:tc>
      </w:tr>
      <w:tr w:rsidR="00D81CD9" w:rsidRPr="00952591" w14:paraId="2A482F1A"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7264A553"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Premium Motors</w:t>
            </w:r>
          </w:p>
        </w:tc>
        <w:tc>
          <w:tcPr>
            <w:tcW w:w="1440" w:type="dxa"/>
          </w:tcPr>
          <w:p w14:paraId="1A27621B"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73EB7082"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Installation of higher efficient or premium motors across all industry processes</w:t>
            </w:r>
          </w:p>
        </w:tc>
      </w:tr>
      <w:tr w:rsidR="00D81CD9" w:rsidRPr="00952591" w14:paraId="68423EA8"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2E43C64C"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lastRenderedPageBreak/>
              <w:t>Injection Molding</w:t>
            </w:r>
          </w:p>
        </w:tc>
        <w:tc>
          <w:tcPr>
            <w:tcW w:w="1440" w:type="dxa"/>
          </w:tcPr>
          <w:p w14:paraId="791B20E1"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20C95EB0"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Upgrading to all electric (versus hydraulic) injection molding machines, including barrel insulation</w:t>
            </w:r>
          </w:p>
        </w:tc>
      </w:tr>
      <w:tr w:rsidR="00D81CD9" w:rsidRPr="00952591" w14:paraId="05B9B812"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06AA020"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Wastewater Aerators</w:t>
            </w:r>
          </w:p>
        </w:tc>
        <w:tc>
          <w:tcPr>
            <w:tcW w:w="1440" w:type="dxa"/>
          </w:tcPr>
          <w:p w14:paraId="258DD773"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6120" w:type="dxa"/>
          </w:tcPr>
          <w:p w14:paraId="4D8F18DD"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Replacing existing inefficient aerators on wastewater systems with higher efficiency aerator technologies</w:t>
            </w:r>
          </w:p>
        </w:tc>
      </w:tr>
      <w:tr w:rsidR="00D81CD9" w:rsidRPr="00952591" w14:paraId="556325EF"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40D73F97"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Boiler Controls and Optimization</w:t>
            </w:r>
          </w:p>
        </w:tc>
        <w:tc>
          <w:tcPr>
            <w:tcW w:w="1440" w:type="dxa"/>
          </w:tcPr>
          <w:p w14:paraId="1CAF4E69"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6120" w:type="dxa"/>
          </w:tcPr>
          <w:p w14:paraId="0C5FE1B9"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Pressure reduction, leak reduction, steam trap maintenance, and advanced controls on boilers</w:t>
            </w:r>
          </w:p>
        </w:tc>
      </w:tr>
      <w:tr w:rsidR="00D81CD9" w:rsidRPr="00952591" w14:paraId="6604AF1E"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7B336B6"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High Efficiency Furnace/Oven</w:t>
            </w:r>
          </w:p>
        </w:tc>
        <w:tc>
          <w:tcPr>
            <w:tcW w:w="1440" w:type="dxa"/>
          </w:tcPr>
          <w:p w14:paraId="1146CBBF"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6120" w:type="dxa"/>
          </w:tcPr>
          <w:p w14:paraId="640319E1"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Upgrades and add-ons to gas furnaces and ovens, including infrared (IR), furnace configuration, and advanced controls</w:t>
            </w:r>
          </w:p>
        </w:tc>
      </w:tr>
      <w:tr w:rsidR="00D81CD9" w:rsidRPr="00952591" w14:paraId="3945C198"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CBEFEB1"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Industrial Heat Recovery</w:t>
            </w:r>
          </w:p>
        </w:tc>
        <w:tc>
          <w:tcPr>
            <w:tcW w:w="1440" w:type="dxa"/>
          </w:tcPr>
          <w:p w14:paraId="263DC29D"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6120" w:type="dxa"/>
          </w:tcPr>
          <w:p w14:paraId="2A5FD39C"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Capturing “waste heat,” produced primarily from gas boilers, and using it in other phases of the industrial process</w:t>
            </w:r>
          </w:p>
        </w:tc>
      </w:tr>
      <w:tr w:rsidR="00D81CD9" w:rsidRPr="00952591" w14:paraId="3256BC75"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4420A75B"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Industrial Insulation</w:t>
            </w:r>
          </w:p>
        </w:tc>
        <w:tc>
          <w:tcPr>
            <w:tcW w:w="1440" w:type="dxa"/>
          </w:tcPr>
          <w:p w14:paraId="33C11E4F"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6120" w:type="dxa"/>
          </w:tcPr>
          <w:p w14:paraId="12B484C9"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Insulation or improved insulation on boiler equipment, storage tanks, and other process piping</w:t>
            </w:r>
          </w:p>
        </w:tc>
      </w:tr>
      <w:tr w:rsidR="00D81CD9" w:rsidRPr="00952591" w14:paraId="2238B9F0"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44889923"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Refrigeration System Optimization</w:t>
            </w:r>
          </w:p>
        </w:tc>
        <w:tc>
          <w:tcPr>
            <w:tcW w:w="1440" w:type="dxa"/>
          </w:tcPr>
          <w:p w14:paraId="4767BC3D"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color w:val="000000"/>
                <w:sz w:val="18"/>
                <w:szCs w:val="18"/>
              </w:rPr>
              <w:t>Process Refrigeration</w:t>
            </w:r>
          </w:p>
        </w:tc>
        <w:tc>
          <w:tcPr>
            <w:tcW w:w="6120" w:type="dxa"/>
          </w:tcPr>
          <w:p w14:paraId="71AD58E8"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Advanced controls on refrigeration systems including floating head controls, evaporator fan controls, and condenser controls</w:t>
            </w:r>
          </w:p>
        </w:tc>
      </w:tr>
      <w:tr w:rsidR="00D81CD9" w:rsidRPr="00952591" w14:paraId="73EBC9A9" w14:textId="77777777" w:rsidTr="00110120">
        <w:trPr>
          <w:cnfStyle w:val="000000100000" w:firstRow="0" w:lastRow="0" w:firstColumn="0" w:lastColumn="0" w:oddVBand="0" w:evenVBand="0" w:oddHBand="1" w:evenHBand="0" w:firstRowFirstColumn="0" w:firstRowLastColumn="0" w:lastRowFirstColumn="0" w:lastRowLastColumn="0"/>
          <w:trHeight w:val="375"/>
          <w:jc w:val="left"/>
        </w:trPr>
        <w:tc>
          <w:tcPr>
            <w:cnfStyle w:val="001000000000" w:firstRow="0" w:lastRow="0" w:firstColumn="1" w:lastColumn="0" w:oddVBand="0" w:evenVBand="0" w:oddHBand="0" w:evenHBand="0" w:firstRowFirstColumn="0" w:firstRowLastColumn="0" w:lastRowFirstColumn="0" w:lastRowLastColumn="0"/>
            <w:tcW w:w="2430" w:type="dxa"/>
          </w:tcPr>
          <w:p w14:paraId="7541F730"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Process Optimization Controls</w:t>
            </w:r>
          </w:p>
        </w:tc>
        <w:tc>
          <w:tcPr>
            <w:tcW w:w="1440" w:type="dxa"/>
          </w:tcPr>
          <w:p w14:paraId="7EB4E5D1"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Other</w:t>
            </w:r>
          </w:p>
        </w:tc>
        <w:tc>
          <w:tcPr>
            <w:tcW w:w="6120" w:type="dxa"/>
          </w:tcPr>
          <w:p w14:paraId="7CE18D04"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Optimizing process activities, such as proper shut down and start up procedures, to reduce energy usage not specific equipment upgrades</w:t>
            </w:r>
          </w:p>
        </w:tc>
      </w:tr>
    </w:tbl>
    <w:p w14:paraId="37A4584C" w14:textId="77777777" w:rsidR="00D81CD9" w:rsidRPr="00473CD3" w:rsidRDefault="00D81CD9" w:rsidP="00D81CD9">
      <w:pPr>
        <w:spacing w:after="180"/>
        <w:rPr>
          <w:i/>
          <w:sz w:val="18"/>
          <w:szCs w:val="18"/>
        </w:rPr>
      </w:pPr>
      <w:r w:rsidRPr="00473CD3">
        <w:rPr>
          <w:i/>
          <w:sz w:val="18"/>
          <w:szCs w:val="18"/>
        </w:rPr>
        <w:t>Source: Navigant 2016</w:t>
      </w:r>
    </w:p>
    <w:p w14:paraId="36DC37D9" w14:textId="77777777" w:rsidR="00161BC3" w:rsidRDefault="00161BC3" w:rsidP="00161BC3">
      <w:pPr>
        <w:pStyle w:val="Heading6"/>
      </w:pPr>
      <w:bookmarkStart w:id="1012" w:name="_Toc478990543"/>
      <w:bookmarkStart w:id="1013" w:name="_Toc479768621"/>
      <w:bookmarkStart w:id="1014" w:name="_Toc482357342"/>
      <w:bookmarkStart w:id="1015" w:name="_Toc482634317"/>
      <w:bookmarkStart w:id="1016" w:name="_Toc482626449"/>
      <w:bookmarkStart w:id="1017" w:name="_Toc484092525"/>
      <w:bookmarkStart w:id="1018" w:name="_Toc484172730"/>
      <w:bookmarkStart w:id="1019" w:name="_Toc484183077"/>
      <w:bookmarkStart w:id="1020" w:name="_Toc485126598"/>
      <w:r>
        <w:t>Agriculture</w:t>
      </w:r>
      <w:bookmarkEnd w:id="1012"/>
      <w:bookmarkEnd w:id="1013"/>
      <w:bookmarkEnd w:id="1014"/>
      <w:bookmarkEnd w:id="1015"/>
      <w:bookmarkEnd w:id="1016"/>
      <w:bookmarkEnd w:id="1017"/>
      <w:bookmarkEnd w:id="1018"/>
      <w:bookmarkEnd w:id="1019"/>
      <w:bookmarkEnd w:id="1020"/>
    </w:p>
    <w:p w14:paraId="39574A50" w14:textId="77777777" w:rsidR="00454F4B" w:rsidRDefault="00473CD3" w:rsidP="00454F4B">
      <w:r>
        <w:t>The following table describes the list of agricultural measures used in the diffusion model.</w:t>
      </w:r>
    </w:p>
    <w:p w14:paraId="64CAA7AB" w14:textId="77777777" w:rsidR="00454F4B" w:rsidRDefault="00454F4B" w:rsidP="00454F4B"/>
    <w:tbl>
      <w:tblPr>
        <w:tblStyle w:val="EnergyTable1"/>
        <w:tblW w:w="9990" w:type="dxa"/>
        <w:jc w:val="left"/>
        <w:tblInd w:w="-180" w:type="dxa"/>
        <w:tblLayout w:type="fixed"/>
        <w:tblLook w:val="04A0" w:firstRow="1" w:lastRow="0" w:firstColumn="1" w:lastColumn="0" w:noHBand="0" w:noVBand="1"/>
      </w:tblPr>
      <w:tblGrid>
        <w:gridCol w:w="2430"/>
        <w:gridCol w:w="1440"/>
        <w:gridCol w:w="6120"/>
      </w:tblGrid>
      <w:tr w:rsidR="00454F4B" w:rsidRPr="006A5F2F" w14:paraId="3E18B56B" w14:textId="77777777" w:rsidTr="00110120">
        <w:trPr>
          <w:cnfStyle w:val="100000000000" w:firstRow="1" w:lastRow="0" w:firstColumn="0" w:lastColumn="0" w:oddVBand="0" w:evenVBand="0" w:oddHBand="0" w:evenHBand="0" w:firstRowFirstColumn="0" w:firstRowLastColumn="0" w:lastRowFirstColumn="0" w:lastRowLastColumn="0"/>
          <w:trHeight w:val="603"/>
          <w:tblHeader/>
          <w:jc w:val="left"/>
        </w:trPr>
        <w:tc>
          <w:tcPr>
            <w:cnfStyle w:val="001000000000" w:firstRow="0" w:lastRow="0" w:firstColumn="1" w:lastColumn="0" w:oddVBand="0" w:evenVBand="0" w:oddHBand="0" w:evenHBand="0" w:firstRowFirstColumn="0" w:firstRowLastColumn="0" w:lastRowFirstColumn="0" w:lastRowLastColumn="0"/>
            <w:tcW w:w="2430" w:type="dxa"/>
          </w:tcPr>
          <w:p w14:paraId="4D8F2556" w14:textId="77777777" w:rsidR="00454F4B" w:rsidRPr="006A5F2F" w:rsidRDefault="00454F4B" w:rsidP="00454F4B">
            <w:pPr>
              <w:keepNext/>
              <w:keepLines/>
              <w:spacing w:line="240" w:lineRule="auto"/>
              <w:jc w:val="left"/>
              <w:rPr>
                <w:rFonts w:cs="Arial"/>
                <w:sz w:val="18"/>
                <w:szCs w:val="18"/>
              </w:rPr>
            </w:pPr>
            <w:r w:rsidRPr="006A5F2F">
              <w:rPr>
                <w:rFonts w:cs="Arial"/>
                <w:sz w:val="18"/>
                <w:szCs w:val="18"/>
              </w:rPr>
              <w:t>Measure Name</w:t>
            </w:r>
          </w:p>
        </w:tc>
        <w:tc>
          <w:tcPr>
            <w:tcW w:w="1440" w:type="dxa"/>
          </w:tcPr>
          <w:p w14:paraId="07982265" w14:textId="77777777" w:rsidR="00454F4B" w:rsidRPr="006A5F2F" w:rsidRDefault="00454F4B" w:rsidP="00454F4B">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End-Use Category</w:t>
            </w:r>
          </w:p>
        </w:tc>
        <w:tc>
          <w:tcPr>
            <w:tcW w:w="6120" w:type="dxa"/>
          </w:tcPr>
          <w:p w14:paraId="726C4179" w14:textId="77777777" w:rsidR="00454F4B" w:rsidRPr="006A5F2F" w:rsidRDefault="00454F4B" w:rsidP="00454F4B">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Description</w:t>
            </w:r>
          </w:p>
        </w:tc>
      </w:tr>
      <w:tr w:rsidR="00454F4B" w:rsidRPr="00952591" w14:paraId="3EB0D067" w14:textId="77777777" w:rsidTr="00110120">
        <w:trPr>
          <w:cnfStyle w:val="000000100000" w:firstRow="0" w:lastRow="0" w:firstColumn="0" w:lastColumn="0" w:oddVBand="0" w:evenVBand="0" w:oddHBand="1" w:evenHBand="0" w:firstRowFirstColumn="0" w:firstRowLastColumn="0" w:lastRowFirstColumn="0" w:lastRowLastColumn="0"/>
          <w:trHeight w:val="375"/>
          <w:jc w:val="left"/>
        </w:trPr>
        <w:tc>
          <w:tcPr>
            <w:cnfStyle w:val="001000000000" w:firstRow="0" w:lastRow="0" w:firstColumn="1" w:lastColumn="0" w:oddVBand="0" w:evenVBand="0" w:oddHBand="0" w:evenHBand="0" w:firstRowFirstColumn="0" w:firstRowLastColumn="0" w:lastRowFirstColumn="0" w:lastRowLastColumn="0"/>
            <w:tcW w:w="2430" w:type="dxa"/>
          </w:tcPr>
          <w:p w14:paraId="54F4AA74" w14:textId="77777777" w:rsidR="00454F4B" w:rsidRPr="00C16093" w:rsidRDefault="00454F4B" w:rsidP="00454F4B">
            <w:pPr>
              <w:spacing w:before="80" w:after="80" w:line="240" w:lineRule="auto"/>
              <w:jc w:val="left"/>
              <w:rPr>
                <w:rFonts w:cs="Arial"/>
                <w:b/>
                <w:sz w:val="18"/>
                <w:szCs w:val="18"/>
              </w:rPr>
            </w:pPr>
            <w:r w:rsidRPr="00C16093">
              <w:rPr>
                <w:rFonts w:cs="Arial"/>
                <w:sz w:val="18"/>
                <w:szCs w:val="18"/>
              </w:rPr>
              <w:t>HVAC Ventilation (Fan Ventilation Improvement)</w:t>
            </w:r>
          </w:p>
        </w:tc>
        <w:tc>
          <w:tcPr>
            <w:tcW w:w="1440" w:type="dxa"/>
          </w:tcPr>
          <w:p w14:paraId="493C0326"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HVAC</w:t>
            </w:r>
          </w:p>
        </w:tc>
        <w:tc>
          <w:tcPr>
            <w:tcW w:w="6120" w:type="dxa"/>
          </w:tcPr>
          <w:p w14:paraId="1E51AEEF"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Upgrade to more efficient fans, temperature and humidity controls, VFDs (includes post-harvest process fan aeration improvements)</w:t>
            </w:r>
          </w:p>
        </w:tc>
      </w:tr>
      <w:tr w:rsidR="00454F4B" w:rsidRPr="00952591" w14:paraId="3509906A"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2037E77F" w14:textId="77777777" w:rsidR="00454F4B" w:rsidRPr="00C16093" w:rsidRDefault="00454F4B" w:rsidP="00454F4B">
            <w:pPr>
              <w:spacing w:before="80" w:after="80" w:line="240" w:lineRule="auto"/>
              <w:jc w:val="left"/>
              <w:rPr>
                <w:rFonts w:cs="Arial"/>
                <w:b/>
                <w:sz w:val="18"/>
                <w:szCs w:val="18"/>
              </w:rPr>
            </w:pPr>
            <w:r w:rsidRPr="00C16093">
              <w:rPr>
                <w:rFonts w:cs="Arial"/>
                <w:sz w:val="18"/>
                <w:szCs w:val="18"/>
              </w:rPr>
              <w:t>Ag Pump Retrofit - Irrigation</w:t>
            </w:r>
          </w:p>
        </w:tc>
        <w:tc>
          <w:tcPr>
            <w:tcW w:w="1440" w:type="dxa"/>
          </w:tcPr>
          <w:p w14:paraId="1BB8B214"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C16093">
              <w:rPr>
                <w:rFonts w:cs="Arial"/>
                <w:sz w:val="18"/>
                <w:szCs w:val="18"/>
              </w:rPr>
              <w:t>Irrigation Drive</w:t>
            </w:r>
          </w:p>
        </w:tc>
        <w:tc>
          <w:tcPr>
            <w:tcW w:w="6120" w:type="dxa"/>
          </w:tcPr>
          <w:p w14:paraId="179472EC"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Irrigation specific pump improvement, maintenance, and replacement designed to increase pump efficiency</w:t>
            </w:r>
          </w:p>
        </w:tc>
      </w:tr>
      <w:tr w:rsidR="00454F4B" w:rsidRPr="00952591" w14:paraId="2332B536"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4AF613B1"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Ag Pump VFD - Irrigation</w:t>
            </w:r>
          </w:p>
        </w:tc>
        <w:tc>
          <w:tcPr>
            <w:tcW w:w="1440" w:type="dxa"/>
          </w:tcPr>
          <w:p w14:paraId="5D5E3754"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Irrigation Drive</w:t>
            </w:r>
          </w:p>
        </w:tc>
        <w:tc>
          <w:tcPr>
            <w:tcW w:w="6120" w:type="dxa"/>
          </w:tcPr>
          <w:p w14:paraId="027D7D0B"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VFD for irrigation specific pumps (well, irrigation, booster, etc.)</w:t>
            </w:r>
          </w:p>
        </w:tc>
      </w:tr>
      <w:tr w:rsidR="00454F4B" w:rsidRPr="00952591" w14:paraId="55E2B679"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B5EA485"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Low Pressure Irrigation</w:t>
            </w:r>
          </w:p>
        </w:tc>
        <w:tc>
          <w:tcPr>
            <w:tcW w:w="1440" w:type="dxa"/>
          </w:tcPr>
          <w:p w14:paraId="28DA733C"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Irrigation Drive</w:t>
            </w:r>
          </w:p>
        </w:tc>
        <w:tc>
          <w:tcPr>
            <w:tcW w:w="6120" w:type="dxa"/>
          </w:tcPr>
          <w:p w14:paraId="5F839472"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Conversion from high to low pressure irrigation (sprinkler to drip, low pressure nozzles, etc.)</w:t>
            </w:r>
          </w:p>
        </w:tc>
      </w:tr>
      <w:tr w:rsidR="00454F4B" w:rsidRPr="00952591" w14:paraId="322BFAA2"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757F30B9"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Exterior Lighting Upgrades</w:t>
            </w:r>
          </w:p>
        </w:tc>
        <w:tc>
          <w:tcPr>
            <w:tcW w:w="1440" w:type="dxa"/>
          </w:tcPr>
          <w:p w14:paraId="2B7D1136"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Lighting</w:t>
            </w:r>
          </w:p>
        </w:tc>
        <w:tc>
          <w:tcPr>
            <w:tcW w:w="6120" w:type="dxa"/>
          </w:tcPr>
          <w:p w14:paraId="7809FC96"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Includes typical C&amp;I exterior LED lighting measures as well as exterior security lights</w:t>
            </w:r>
          </w:p>
        </w:tc>
      </w:tr>
      <w:tr w:rsidR="00454F4B" w:rsidRPr="00952591" w14:paraId="07A89205"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C3AE14E"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Hort</w:t>
            </w:r>
            <w:r>
              <w:rPr>
                <w:rFonts w:cs="Arial"/>
                <w:sz w:val="18"/>
                <w:szCs w:val="18"/>
              </w:rPr>
              <w:t>iculture</w:t>
            </w:r>
            <w:r w:rsidRPr="00C16093">
              <w:rPr>
                <w:rFonts w:cs="Arial"/>
                <w:sz w:val="18"/>
                <w:szCs w:val="18"/>
              </w:rPr>
              <w:t xml:space="preserve"> Interior LED </w:t>
            </w:r>
            <w:r>
              <w:rPr>
                <w:rFonts w:cs="Arial"/>
                <w:sz w:val="18"/>
                <w:szCs w:val="18"/>
              </w:rPr>
              <w:t>G</w:t>
            </w:r>
            <w:r w:rsidRPr="00C16093">
              <w:rPr>
                <w:rFonts w:cs="Arial"/>
                <w:sz w:val="18"/>
                <w:szCs w:val="18"/>
              </w:rPr>
              <w:t xml:space="preserve">row </w:t>
            </w:r>
            <w:r>
              <w:rPr>
                <w:rFonts w:cs="Arial"/>
                <w:sz w:val="18"/>
                <w:szCs w:val="18"/>
              </w:rPr>
              <w:t>L</w:t>
            </w:r>
            <w:r w:rsidRPr="00C16093">
              <w:rPr>
                <w:rFonts w:cs="Arial"/>
                <w:sz w:val="18"/>
                <w:szCs w:val="18"/>
              </w:rPr>
              <w:t>ighting</w:t>
            </w:r>
          </w:p>
        </w:tc>
        <w:tc>
          <w:tcPr>
            <w:tcW w:w="1440" w:type="dxa"/>
          </w:tcPr>
          <w:p w14:paraId="59E25FFA"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Lighting</w:t>
            </w:r>
          </w:p>
        </w:tc>
        <w:tc>
          <w:tcPr>
            <w:tcW w:w="6120" w:type="dxa"/>
          </w:tcPr>
          <w:p w14:paraId="5C88D036" w14:textId="77777777" w:rsidR="00454F4B" w:rsidRPr="00473CD3" w:rsidRDefault="00473CD3"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Indoor LED lamps and fixtures used for growing a variety of plants.</w:t>
            </w:r>
          </w:p>
        </w:tc>
      </w:tr>
      <w:tr w:rsidR="00454F4B" w:rsidRPr="00952591" w14:paraId="46F5FEC4"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8F67A98"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Interior Lighting Upgrades - LED</w:t>
            </w:r>
          </w:p>
        </w:tc>
        <w:tc>
          <w:tcPr>
            <w:tcW w:w="1440" w:type="dxa"/>
          </w:tcPr>
          <w:p w14:paraId="52C9FC93"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Lighting</w:t>
            </w:r>
          </w:p>
        </w:tc>
        <w:tc>
          <w:tcPr>
            <w:tcW w:w="6120" w:type="dxa"/>
          </w:tcPr>
          <w:p w14:paraId="29EB67B3"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Includes typical C&amp;I LED lighting measures and applications as well as agriculture-rated LEDs for animal health and animal-specific purposes</w:t>
            </w:r>
          </w:p>
        </w:tc>
      </w:tr>
      <w:tr w:rsidR="00454F4B" w:rsidRPr="00952591" w14:paraId="211E4854"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63B7CA4"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Interior Lighting Upgrades - Other</w:t>
            </w:r>
          </w:p>
        </w:tc>
        <w:tc>
          <w:tcPr>
            <w:tcW w:w="1440" w:type="dxa"/>
          </w:tcPr>
          <w:p w14:paraId="13299ECF"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Lighting</w:t>
            </w:r>
          </w:p>
        </w:tc>
        <w:tc>
          <w:tcPr>
            <w:tcW w:w="6120" w:type="dxa"/>
          </w:tcPr>
          <w:p w14:paraId="3EBE2F02"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Includes typical C&amp;I non-LED lighting measures and applications</w:t>
            </w:r>
          </w:p>
        </w:tc>
      </w:tr>
      <w:tr w:rsidR="00454F4B" w:rsidRPr="00952591" w14:paraId="7F9060C4"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21C987DF"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lastRenderedPageBreak/>
              <w:t>Lighting Controls</w:t>
            </w:r>
          </w:p>
        </w:tc>
        <w:tc>
          <w:tcPr>
            <w:tcW w:w="1440" w:type="dxa"/>
          </w:tcPr>
          <w:p w14:paraId="4B6E492F"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Lighting</w:t>
            </w:r>
          </w:p>
        </w:tc>
        <w:tc>
          <w:tcPr>
            <w:tcW w:w="6120" w:type="dxa"/>
          </w:tcPr>
          <w:p w14:paraId="60FA5B60"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Occupancy sensors, photocells/timers, etc.</w:t>
            </w:r>
          </w:p>
        </w:tc>
      </w:tr>
      <w:tr w:rsidR="00454F4B" w:rsidRPr="00952591" w14:paraId="02CB90AF"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0DD38CF"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Ag Pump Retrofit - Other</w:t>
            </w:r>
          </w:p>
        </w:tc>
        <w:tc>
          <w:tcPr>
            <w:tcW w:w="1440" w:type="dxa"/>
          </w:tcPr>
          <w:p w14:paraId="21D955E9"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Machine Drive</w:t>
            </w:r>
          </w:p>
        </w:tc>
        <w:tc>
          <w:tcPr>
            <w:tcW w:w="6120" w:type="dxa"/>
          </w:tcPr>
          <w:p w14:paraId="29C19706"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Pump retrofits geared to all other pumps besides irrigation specific pumps</w:t>
            </w:r>
          </w:p>
        </w:tc>
      </w:tr>
      <w:tr w:rsidR="00454F4B" w:rsidRPr="00952591" w14:paraId="1FCB4028"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67A3256"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Ag Pump VFD - Dairy</w:t>
            </w:r>
          </w:p>
        </w:tc>
        <w:tc>
          <w:tcPr>
            <w:tcW w:w="1440" w:type="dxa"/>
          </w:tcPr>
          <w:p w14:paraId="28E9DFE4"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Machine Drive</w:t>
            </w:r>
          </w:p>
        </w:tc>
        <w:tc>
          <w:tcPr>
            <w:tcW w:w="6120" w:type="dxa"/>
          </w:tcPr>
          <w:p w14:paraId="2F3F05B8"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VFD for dairy specific pumps (vacuum, transfer, etc.)</w:t>
            </w:r>
          </w:p>
        </w:tc>
      </w:tr>
      <w:tr w:rsidR="00454F4B" w:rsidRPr="00952591" w14:paraId="2B2ED6C0"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3690FFA"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Ag Pump VFD - Other</w:t>
            </w:r>
          </w:p>
        </w:tc>
        <w:tc>
          <w:tcPr>
            <w:tcW w:w="1440" w:type="dxa"/>
          </w:tcPr>
          <w:p w14:paraId="0096D4AC"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Machine Drive</w:t>
            </w:r>
          </w:p>
        </w:tc>
        <w:tc>
          <w:tcPr>
            <w:tcW w:w="6120" w:type="dxa"/>
          </w:tcPr>
          <w:p w14:paraId="35697EB6"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VFD for all other agriculture pumps besides those designed for irrigation or dairy purposes</w:t>
            </w:r>
          </w:p>
        </w:tc>
      </w:tr>
      <w:tr w:rsidR="00454F4B" w:rsidRPr="00952591" w14:paraId="2854C5D6"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3EF13F65"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Greenhouse Process Improvement (Heating Optimization)</w:t>
            </w:r>
          </w:p>
        </w:tc>
        <w:tc>
          <w:tcPr>
            <w:tcW w:w="1440" w:type="dxa"/>
          </w:tcPr>
          <w:p w14:paraId="4819CFA5"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Process Heating</w:t>
            </w:r>
          </w:p>
        </w:tc>
        <w:tc>
          <w:tcPr>
            <w:tcW w:w="6120" w:type="dxa"/>
          </w:tcPr>
          <w:p w14:paraId="213FD17F"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Heating optimization and equipment improvements for greenhouses (unit to bench heating conversion, boiler improvement measures, dynamic temperature controls, etc.)</w:t>
            </w:r>
          </w:p>
        </w:tc>
      </w:tr>
      <w:tr w:rsidR="00454F4B" w:rsidRPr="00952591" w14:paraId="50713BC8"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57366E45"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Greenhouse Process Improvement (Shell Improvements)</w:t>
            </w:r>
          </w:p>
        </w:tc>
        <w:tc>
          <w:tcPr>
            <w:tcW w:w="1440" w:type="dxa"/>
          </w:tcPr>
          <w:p w14:paraId="5E312A80"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Process Heating</w:t>
            </w:r>
          </w:p>
        </w:tc>
        <w:tc>
          <w:tcPr>
            <w:tcW w:w="6120" w:type="dxa"/>
          </w:tcPr>
          <w:p w14:paraId="1F385DBF"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Heating optimization improvements for greenhouses centered around shell improvements (thermal and shade curtains, insulation upgrades, IRAC film, etc.)</w:t>
            </w:r>
          </w:p>
        </w:tc>
      </w:tr>
      <w:tr w:rsidR="00454F4B" w:rsidRPr="00952591" w14:paraId="78A85C50"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230F47DE"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Post-Harvesting Process Improvement</w:t>
            </w:r>
          </w:p>
        </w:tc>
        <w:tc>
          <w:tcPr>
            <w:tcW w:w="1440" w:type="dxa"/>
          </w:tcPr>
          <w:p w14:paraId="1C44CBD2"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Process Heating</w:t>
            </w:r>
          </w:p>
        </w:tc>
        <w:tc>
          <w:tcPr>
            <w:tcW w:w="6120" w:type="dxa"/>
          </w:tcPr>
          <w:p w14:paraId="164BE54C"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Gas improvements to post-harvesting such as more efficient heated grain drying, heat recovery, process controls</w:t>
            </w:r>
          </w:p>
        </w:tc>
      </w:tr>
      <w:tr w:rsidR="00454F4B" w:rsidRPr="00952591" w14:paraId="721E0828"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DEA62BE"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Process Refrigeration Retrofit - Dairy</w:t>
            </w:r>
          </w:p>
        </w:tc>
        <w:tc>
          <w:tcPr>
            <w:tcW w:w="1440" w:type="dxa"/>
          </w:tcPr>
          <w:p w14:paraId="53DB12A0"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Process Refrigeration</w:t>
            </w:r>
          </w:p>
        </w:tc>
        <w:tc>
          <w:tcPr>
            <w:tcW w:w="6120" w:type="dxa"/>
          </w:tcPr>
          <w:p w14:paraId="16666ADB"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Refrigeration improvements to process milk cooling on dairies (plate coolers, scroll compressors)</w:t>
            </w:r>
          </w:p>
        </w:tc>
      </w:tr>
      <w:tr w:rsidR="00454F4B" w:rsidRPr="00952591" w14:paraId="6EFFB478"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052BD401"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Process Refrigeration Retrofit - Other</w:t>
            </w:r>
          </w:p>
        </w:tc>
        <w:tc>
          <w:tcPr>
            <w:tcW w:w="1440" w:type="dxa"/>
          </w:tcPr>
          <w:p w14:paraId="7D70EC5F"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Process Refrigeration</w:t>
            </w:r>
          </w:p>
        </w:tc>
        <w:tc>
          <w:tcPr>
            <w:tcW w:w="6120" w:type="dxa"/>
          </w:tcPr>
          <w:p w14:paraId="7028F9AF"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Refrigeration improvements to process cooling on all other agriculture facilities (i.e. wine cooling)</w:t>
            </w:r>
          </w:p>
        </w:tc>
      </w:tr>
      <w:tr w:rsidR="00454F4B" w:rsidRPr="00952591" w14:paraId="6C16BA4C" w14:textId="77777777" w:rsidTr="00110120">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62BB5036"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Refrigeration Retrofit (Refrigeration System Optimization)</w:t>
            </w:r>
          </w:p>
        </w:tc>
        <w:tc>
          <w:tcPr>
            <w:tcW w:w="1440" w:type="dxa"/>
          </w:tcPr>
          <w:p w14:paraId="470101C1"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Process Refrigeration</w:t>
            </w:r>
          </w:p>
        </w:tc>
        <w:tc>
          <w:tcPr>
            <w:tcW w:w="6120" w:type="dxa"/>
          </w:tcPr>
          <w:p w14:paraId="0CAD36A9"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Includes typical C&amp;I refrigeration improvements to cold storage areas (floating head pressure controls, evaporator fan controls, evaporator fan ECMs, etc.)</w:t>
            </w:r>
          </w:p>
        </w:tc>
      </w:tr>
      <w:tr w:rsidR="00454F4B" w:rsidRPr="00952591" w14:paraId="56373D70" w14:textId="77777777" w:rsidTr="00110120">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2430" w:type="dxa"/>
          </w:tcPr>
          <w:p w14:paraId="3EF5EBB2" w14:textId="77777777" w:rsidR="00454F4B" w:rsidRPr="00473CD3" w:rsidRDefault="00454F4B" w:rsidP="00454F4B">
            <w:pPr>
              <w:spacing w:before="80" w:after="80" w:line="240" w:lineRule="auto"/>
              <w:jc w:val="left"/>
              <w:rPr>
                <w:rFonts w:cs="Arial"/>
                <w:b/>
                <w:sz w:val="18"/>
                <w:szCs w:val="18"/>
              </w:rPr>
            </w:pPr>
            <w:r w:rsidRPr="00473CD3">
              <w:rPr>
                <w:rFonts w:cs="Arial"/>
                <w:sz w:val="18"/>
                <w:szCs w:val="18"/>
              </w:rPr>
              <w:t>Compressed Air Optimization</w:t>
            </w:r>
          </w:p>
        </w:tc>
        <w:tc>
          <w:tcPr>
            <w:tcW w:w="1440" w:type="dxa"/>
          </w:tcPr>
          <w:p w14:paraId="7B5FEFB1"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Other</w:t>
            </w:r>
          </w:p>
        </w:tc>
        <w:tc>
          <w:tcPr>
            <w:tcW w:w="6120" w:type="dxa"/>
          </w:tcPr>
          <w:p w14:paraId="2A7B45F3"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Includes typical C&amp;I compressed air technologies and measures (leak repair, controls, VFD, O&amp;M, etc.)</w:t>
            </w:r>
          </w:p>
        </w:tc>
      </w:tr>
    </w:tbl>
    <w:p w14:paraId="203CDA71" w14:textId="77777777" w:rsidR="00454F4B" w:rsidRPr="00C15745" w:rsidRDefault="00454F4B" w:rsidP="00454F4B">
      <w:pPr>
        <w:spacing w:after="180"/>
        <w:rPr>
          <w:i/>
          <w:sz w:val="18"/>
          <w:szCs w:val="18"/>
        </w:rPr>
      </w:pPr>
      <w:r w:rsidRPr="00C15745">
        <w:rPr>
          <w:i/>
          <w:sz w:val="18"/>
          <w:szCs w:val="18"/>
        </w:rPr>
        <w:t>Source: Navigant 2016</w:t>
      </w:r>
    </w:p>
    <w:p w14:paraId="5994D1FA" w14:textId="77777777" w:rsidR="00454F4B" w:rsidRDefault="00454F4B" w:rsidP="00454F4B"/>
    <w:p w14:paraId="3D48551D" w14:textId="77777777" w:rsidR="00454F4B" w:rsidRDefault="00454F4B" w:rsidP="00454F4B"/>
    <w:p w14:paraId="1AF60597" w14:textId="77777777" w:rsidR="00454F4B" w:rsidRPr="00454F4B" w:rsidRDefault="00454F4B" w:rsidP="00454F4B"/>
    <w:p w14:paraId="6B413357" w14:textId="77777777" w:rsidR="00161BC3" w:rsidRDefault="00161BC3" w:rsidP="00146A54">
      <w:pPr>
        <w:sectPr w:rsidR="00161BC3" w:rsidSect="00146A54">
          <w:pgSz w:w="12240" w:h="15840" w:code="1"/>
          <w:pgMar w:top="1440" w:right="1440" w:bottom="1440" w:left="1440" w:header="720" w:footer="720" w:gutter="0"/>
          <w:pgNumType w:start="1" w:chapStyle="5"/>
          <w:cols w:space="720"/>
          <w:docGrid w:linePitch="360"/>
        </w:sectPr>
      </w:pPr>
    </w:p>
    <w:p w14:paraId="3F5B875E" w14:textId="77777777" w:rsidR="001F576C" w:rsidRDefault="001F576C" w:rsidP="001F576C">
      <w:pPr>
        <w:pStyle w:val="Heading5"/>
      </w:pPr>
      <w:bookmarkStart w:id="1021" w:name="_Ref477351442"/>
      <w:bookmarkStart w:id="1022" w:name="_Ref477351445"/>
      <w:bookmarkStart w:id="1023" w:name="_Ref477351448"/>
      <w:bookmarkStart w:id="1024" w:name="_Toc478990544"/>
      <w:bookmarkStart w:id="1025" w:name="_Toc479768622"/>
      <w:bookmarkStart w:id="1026" w:name="_Toc482357343"/>
      <w:bookmarkStart w:id="1027" w:name="_Toc482634318"/>
      <w:bookmarkStart w:id="1028" w:name="_Toc482626450"/>
      <w:bookmarkStart w:id="1029" w:name="_Toc484092526"/>
      <w:bookmarkStart w:id="1030" w:name="_Toc484172731"/>
      <w:bookmarkStart w:id="1031" w:name="_Toc484183078"/>
      <w:bookmarkStart w:id="1032" w:name="_Toc485126599"/>
      <w:r>
        <w:lastRenderedPageBreak/>
        <w:t>Codes &amp; Standards</w:t>
      </w:r>
      <w:bookmarkEnd w:id="1021"/>
      <w:bookmarkEnd w:id="1022"/>
      <w:bookmarkEnd w:id="1023"/>
      <w:bookmarkEnd w:id="1024"/>
      <w:bookmarkEnd w:id="1025"/>
      <w:bookmarkEnd w:id="1026"/>
      <w:bookmarkEnd w:id="1027"/>
      <w:bookmarkEnd w:id="1028"/>
      <w:bookmarkEnd w:id="1029"/>
      <w:bookmarkEnd w:id="1030"/>
      <w:bookmarkEnd w:id="1031"/>
      <w:bookmarkEnd w:id="1032"/>
    </w:p>
    <w:p w14:paraId="3564F73E" w14:textId="77777777" w:rsidR="008D4574" w:rsidRDefault="00B5177D" w:rsidP="00483510">
      <w:pPr>
        <w:pStyle w:val="Caption"/>
      </w:pPr>
      <w:bookmarkStart w:id="1033" w:name="_Toc482634238"/>
      <w:bookmarkStart w:id="1034" w:name="_Toc484436979"/>
      <w:bookmarkStart w:id="1035" w:name="_Toc485125615"/>
      <w:r>
        <w:t xml:space="preserve">Table </w:t>
      </w:r>
      <w:r w:rsidR="00272F76">
        <w:fldChar w:fldCharType="begin"/>
      </w:r>
      <w:r w:rsidR="00272F76">
        <w:instrText xml:space="preserve"> STYLEREF 5 \s </w:instrText>
      </w:r>
      <w:r w:rsidR="00272F76">
        <w:fldChar w:fldCharType="separate"/>
      </w:r>
      <w:r w:rsidR="00C407F4">
        <w:rPr>
          <w:noProof/>
        </w:rPr>
        <w:t>D</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1</w:t>
      </w:r>
      <w:r w:rsidR="00272F76">
        <w:rPr>
          <w:noProof/>
        </w:rPr>
        <w:fldChar w:fldCharType="end"/>
      </w:r>
      <w:r>
        <w:t xml:space="preserve">. </w:t>
      </w:r>
      <w:r w:rsidR="008D4574">
        <w:t>C&amp;S Modeled</w:t>
      </w:r>
      <w:bookmarkEnd w:id="1033"/>
      <w:bookmarkEnd w:id="1034"/>
      <w:bookmarkEnd w:id="1035"/>
    </w:p>
    <w:tbl>
      <w:tblPr>
        <w:tblStyle w:val="EnergyTable1"/>
        <w:tblpPr w:leftFromText="180" w:rightFromText="180" w:vertAnchor="text" w:tblpXSpec="center" w:tblpY="1"/>
        <w:tblW w:w="4745" w:type="pct"/>
        <w:tblLook w:val="0620" w:firstRow="1" w:lastRow="0" w:firstColumn="0" w:lastColumn="0" w:noHBand="1" w:noVBand="1"/>
      </w:tblPr>
      <w:tblGrid>
        <w:gridCol w:w="1088"/>
        <w:gridCol w:w="3832"/>
        <w:gridCol w:w="1174"/>
        <w:gridCol w:w="1245"/>
        <w:gridCol w:w="1749"/>
      </w:tblGrid>
      <w:tr w:rsidR="006B44D0" w:rsidRPr="00483510" w14:paraId="57934D52" w14:textId="77777777" w:rsidTr="00110120">
        <w:trPr>
          <w:cnfStyle w:val="100000000000" w:firstRow="1" w:lastRow="0" w:firstColumn="0" w:lastColumn="0" w:oddVBand="0" w:evenVBand="0" w:oddHBand="0" w:evenHBand="0" w:firstRowFirstColumn="0" w:firstRowLastColumn="0" w:lastRowFirstColumn="0" w:lastRowLastColumn="0"/>
          <w:tblHeader/>
        </w:trPr>
        <w:tc>
          <w:tcPr>
            <w:tcW w:w="599" w:type="pct"/>
          </w:tcPr>
          <w:p w14:paraId="7D6DD40B" w14:textId="77777777" w:rsidR="006B44D0" w:rsidRPr="00483510" w:rsidRDefault="006B44D0" w:rsidP="006B44D0">
            <w:pPr>
              <w:rPr>
                <w:rFonts w:ascii="Arial Narrow" w:hAnsi="Arial Narrow"/>
                <w:color w:val="FF0000"/>
                <w:sz w:val="18"/>
                <w:szCs w:val="18"/>
              </w:rPr>
            </w:pPr>
            <w:r w:rsidRPr="00483510">
              <w:rPr>
                <w:rFonts w:ascii="Arial Narrow" w:hAnsi="Arial Narrow"/>
                <w:sz w:val="18"/>
                <w:szCs w:val="18"/>
              </w:rPr>
              <w:t>Regulation</w:t>
            </w:r>
          </w:p>
        </w:tc>
        <w:tc>
          <w:tcPr>
            <w:tcW w:w="2108" w:type="pct"/>
          </w:tcPr>
          <w:p w14:paraId="796CB7F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Code or Standard Name</w:t>
            </w:r>
          </w:p>
        </w:tc>
        <w:tc>
          <w:tcPr>
            <w:tcW w:w="646" w:type="pct"/>
          </w:tcPr>
          <w:p w14:paraId="5ADB20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Compliance Rate</w:t>
            </w:r>
            <w:r w:rsidRPr="00483510">
              <w:rPr>
                <w:rStyle w:val="FootnoteReference"/>
                <w:color w:val="FFFFFF" w:themeColor="background1"/>
                <w:sz w:val="18"/>
                <w:szCs w:val="18"/>
              </w:rPr>
              <w:footnoteReference w:id="172"/>
            </w:r>
          </w:p>
        </w:tc>
        <w:tc>
          <w:tcPr>
            <w:tcW w:w="685" w:type="pct"/>
          </w:tcPr>
          <w:p w14:paraId="2379D1B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Effective Date</w:t>
            </w:r>
          </w:p>
        </w:tc>
        <w:tc>
          <w:tcPr>
            <w:tcW w:w="962" w:type="pct"/>
          </w:tcPr>
          <w:p w14:paraId="137055A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Policy View</w:t>
            </w:r>
          </w:p>
        </w:tc>
      </w:tr>
      <w:tr w:rsidR="006B44D0" w:rsidRPr="00483510" w14:paraId="3C2C2E29" w14:textId="77777777" w:rsidTr="00110120">
        <w:tc>
          <w:tcPr>
            <w:tcW w:w="599" w:type="pct"/>
          </w:tcPr>
          <w:p w14:paraId="490A389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28294DE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 Equipment, Solid Door</w:t>
            </w:r>
          </w:p>
        </w:tc>
        <w:tc>
          <w:tcPr>
            <w:tcW w:w="646" w:type="pct"/>
          </w:tcPr>
          <w:p w14:paraId="539F2D8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1CA16E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781441C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FBA41C2" w14:textId="77777777" w:rsidTr="00110120">
        <w:tc>
          <w:tcPr>
            <w:tcW w:w="599" w:type="pct"/>
          </w:tcPr>
          <w:p w14:paraId="05F39DA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6DF409C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 Equipment, Transparent Door</w:t>
            </w:r>
          </w:p>
        </w:tc>
        <w:tc>
          <w:tcPr>
            <w:tcW w:w="646" w:type="pct"/>
          </w:tcPr>
          <w:p w14:paraId="4628DA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284624E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1/1/2007</w:t>
            </w:r>
          </w:p>
        </w:tc>
        <w:tc>
          <w:tcPr>
            <w:tcW w:w="962" w:type="pct"/>
          </w:tcPr>
          <w:p w14:paraId="2602426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754369B" w14:textId="77777777" w:rsidTr="00110120">
        <w:tc>
          <w:tcPr>
            <w:tcW w:w="599" w:type="pct"/>
          </w:tcPr>
          <w:p w14:paraId="67798F3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3D78CF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Ice Maker Equipment</w:t>
            </w:r>
          </w:p>
        </w:tc>
        <w:tc>
          <w:tcPr>
            <w:tcW w:w="646" w:type="pct"/>
          </w:tcPr>
          <w:p w14:paraId="5ECBD7D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4D23F2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962" w:type="pct"/>
          </w:tcPr>
          <w:p w14:paraId="770F76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1BFBA08" w14:textId="77777777" w:rsidTr="00110120">
        <w:tc>
          <w:tcPr>
            <w:tcW w:w="599" w:type="pct"/>
          </w:tcPr>
          <w:p w14:paraId="64BF8D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23A1ACD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Walk-In Refrigerators / Freezers</w:t>
            </w:r>
          </w:p>
        </w:tc>
        <w:tc>
          <w:tcPr>
            <w:tcW w:w="646" w:type="pct"/>
          </w:tcPr>
          <w:p w14:paraId="0C70CC4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w:t>
            </w:r>
          </w:p>
        </w:tc>
        <w:tc>
          <w:tcPr>
            <w:tcW w:w="685" w:type="pct"/>
          </w:tcPr>
          <w:p w14:paraId="5E59E2F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3965CEE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F0DBBAF" w14:textId="77777777" w:rsidTr="00110120">
        <w:tc>
          <w:tcPr>
            <w:tcW w:w="599" w:type="pct"/>
          </w:tcPr>
          <w:p w14:paraId="0350824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42A2883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Refrigerated Beverage Vending Machines</w:t>
            </w:r>
          </w:p>
        </w:tc>
        <w:tc>
          <w:tcPr>
            <w:tcW w:w="646" w:type="pct"/>
          </w:tcPr>
          <w:p w14:paraId="705005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37%</w:t>
            </w:r>
          </w:p>
        </w:tc>
        <w:tc>
          <w:tcPr>
            <w:tcW w:w="685" w:type="pct"/>
          </w:tcPr>
          <w:p w14:paraId="48EB974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111789C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3D1AA8A" w14:textId="77777777" w:rsidTr="00110120">
        <w:tc>
          <w:tcPr>
            <w:tcW w:w="599" w:type="pct"/>
          </w:tcPr>
          <w:p w14:paraId="5CE6165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01F40BC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Packaged Commercial Air-Conditioners, Tier 1</w:t>
            </w:r>
          </w:p>
        </w:tc>
        <w:tc>
          <w:tcPr>
            <w:tcW w:w="646" w:type="pct"/>
          </w:tcPr>
          <w:p w14:paraId="0A74BB0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3B376D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10/1/2006</w:t>
            </w:r>
          </w:p>
        </w:tc>
        <w:tc>
          <w:tcPr>
            <w:tcW w:w="962" w:type="pct"/>
          </w:tcPr>
          <w:p w14:paraId="5874CC6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63C5AFD" w14:textId="77777777" w:rsidTr="00110120">
        <w:tc>
          <w:tcPr>
            <w:tcW w:w="599" w:type="pct"/>
          </w:tcPr>
          <w:p w14:paraId="6D8828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1B97002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Packaged Commercial Air-Conditioners, Tier 2</w:t>
            </w:r>
          </w:p>
        </w:tc>
        <w:tc>
          <w:tcPr>
            <w:tcW w:w="646" w:type="pct"/>
          </w:tcPr>
          <w:p w14:paraId="0AEE0CA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6968EBE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1/1/2010</w:t>
            </w:r>
          </w:p>
        </w:tc>
        <w:tc>
          <w:tcPr>
            <w:tcW w:w="962" w:type="pct"/>
          </w:tcPr>
          <w:p w14:paraId="792F4A2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3BF0D1E" w14:textId="77777777" w:rsidTr="00110120">
        <w:tc>
          <w:tcPr>
            <w:tcW w:w="599" w:type="pct"/>
          </w:tcPr>
          <w:p w14:paraId="747B64F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3CDD356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Pool Pumps, High Eff Motor, Tier 1</w:t>
            </w:r>
          </w:p>
        </w:tc>
        <w:tc>
          <w:tcPr>
            <w:tcW w:w="646" w:type="pct"/>
          </w:tcPr>
          <w:p w14:paraId="0D56194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3B141AA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0D50119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D0C89FC" w14:textId="77777777" w:rsidTr="00110120">
        <w:tc>
          <w:tcPr>
            <w:tcW w:w="599" w:type="pct"/>
          </w:tcPr>
          <w:p w14:paraId="636714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047C4D3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Portable Electric Spas</w:t>
            </w:r>
          </w:p>
        </w:tc>
        <w:tc>
          <w:tcPr>
            <w:tcW w:w="646" w:type="pct"/>
          </w:tcPr>
          <w:p w14:paraId="2FAA3FC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315D42C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61D7C0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1B1DBD0" w14:textId="77777777" w:rsidTr="00110120">
        <w:tc>
          <w:tcPr>
            <w:tcW w:w="599" w:type="pct"/>
          </w:tcPr>
          <w:p w14:paraId="551658A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5553927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1</w:t>
            </w:r>
          </w:p>
        </w:tc>
        <w:tc>
          <w:tcPr>
            <w:tcW w:w="646" w:type="pct"/>
          </w:tcPr>
          <w:p w14:paraId="02261DD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69%</w:t>
            </w:r>
          </w:p>
        </w:tc>
        <w:tc>
          <w:tcPr>
            <w:tcW w:w="685" w:type="pct"/>
          </w:tcPr>
          <w:p w14:paraId="0B52C5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0163188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2A51330" w14:textId="77777777" w:rsidTr="00110120">
        <w:tc>
          <w:tcPr>
            <w:tcW w:w="599" w:type="pct"/>
          </w:tcPr>
          <w:p w14:paraId="2F4A9C2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5C55373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Pulse Start Metal Halide HID Luminaires, Tier 1(Vertical Lamps)</w:t>
            </w:r>
          </w:p>
        </w:tc>
        <w:tc>
          <w:tcPr>
            <w:tcW w:w="646" w:type="pct"/>
          </w:tcPr>
          <w:p w14:paraId="4C33476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6646931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3C85589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2BF6092" w14:textId="77777777" w:rsidTr="00110120">
        <w:tc>
          <w:tcPr>
            <w:tcW w:w="599" w:type="pct"/>
          </w:tcPr>
          <w:p w14:paraId="71DE135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6F9806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Pulse Start Metal Halide HID Luminaires, Tier 2(All other MH</w:t>
            </w:r>
          </w:p>
        </w:tc>
        <w:tc>
          <w:tcPr>
            <w:tcW w:w="646" w:type="pct"/>
          </w:tcPr>
          <w:p w14:paraId="363B9B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27C8785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962" w:type="pct"/>
          </w:tcPr>
          <w:p w14:paraId="50BDF72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3ABB3CE" w14:textId="77777777" w:rsidTr="00110120">
        <w:tc>
          <w:tcPr>
            <w:tcW w:w="599" w:type="pct"/>
          </w:tcPr>
          <w:p w14:paraId="22E88CD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4E70F39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Modular Furniture Task Lighting Fixtures </w:t>
            </w:r>
          </w:p>
        </w:tc>
        <w:tc>
          <w:tcPr>
            <w:tcW w:w="646" w:type="pct"/>
          </w:tcPr>
          <w:p w14:paraId="5E3DEAF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086C741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962" w:type="pct"/>
          </w:tcPr>
          <w:p w14:paraId="43ADF5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8CF02BE" w14:textId="77777777" w:rsidTr="00110120">
        <w:tc>
          <w:tcPr>
            <w:tcW w:w="599" w:type="pct"/>
          </w:tcPr>
          <w:p w14:paraId="6D1D9B5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23DD003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Hot Food Holding Cabinets</w:t>
            </w:r>
          </w:p>
        </w:tc>
        <w:tc>
          <w:tcPr>
            <w:tcW w:w="646" w:type="pct"/>
          </w:tcPr>
          <w:p w14:paraId="705F27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0D870F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116AC9D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6680C09" w14:textId="77777777" w:rsidTr="00110120">
        <w:tc>
          <w:tcPr>
            <w:tcW w:w="599" w:type="pct"/>
          </w:tcPr>
          <w:p w14:paraId="48A91C9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1ABAF0C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External Power Supplies, Tier 1 </w:t>
            </w:r>
          </w:p>
        </w:tc>
        <w:tc>
          <w:tcPr>
            <w:tcW w:w="646" w:type="pct"/>
          </w:tcPr>
          <w:p w14:paraId="10B4AC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7E47EE7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1/1/2007</w:t>
            </w:r>
          </w:p>
        </w:tc>
        <w:tc>
          <w:tcPr>
            <w:tcW w:w="962" w:type="pct"/>
          </w:tcPr>
          <w:p w14:paraId="2895659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3931AF2" w14:textId="77777777" w:rsidTr="00110120">
        <w:tc>
          <w:tcPr>
            <w:tcW w:w="599" w:type="pct"/>
          </w:tcPr>
          <w:p w14:paraId="60A25A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4F68B24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External Power Supplies, Tier 2</w:t>
            </w:r>
          </w:p>
        </w:tc>
        <w:tc>
          <w:tcPr>
            <w:tcW w:w="646" w:type="pct"/>
          </w:tcPr>
          <w:p w14:paraId="7E8C252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99%</w:t>
            </w:r>
          </w:p>
        </w:tc>
        <w:tc>
          <w:tcPr>
            <w:tcW w:w="685" w:type="pct"/>
          </w:tcPr>
          <w:p w14:paraId="617A67C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7/1/2008</w:t>
            </w:r>
          </w:p>
        </w:tc>
        <w:tc>
          <w:tcPr>
            <w:tcW w:w="962" w:type="pct"/>
          </w:tcPr>
          <w:p w14:paraId="2FEC9EC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B463003" w14:textId="77777777" w:rsidTr="00110120">
        <w:tc>
          <w:tcPr>
            <w:tcW w:w="599" w:type="pct"/>
          </w:tcPr>
          <w:p w14:paraId="5D7D7EA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32714E4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Consumer Electronics - Audio Players</w:t>
            </w:r>
          </w:p>
        </w:tc>
        <w:tc>
          <w:tcPr>
            <w:tcW w:w="646" w:type="pct"/>
          </w:tcPr>
          <w:p w14:paraId="3FD4995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5A0B642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1/1/2007</w:t>
            </w:r>
          </w:p>
        </w:tc>
        <w:tc>
          <w:tcPr>
            <w:tcW w:w="962" w:type="pct"/>
          </w:tcPr>
          <w:p w14:paraId="020D822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30EB731" w14:textId="77777777" w:rsidTr="00110120">
        <w:tc>
          <w:tcPr>
            <w:tcW w:w="599" w:type="pct"/>
          </w:tcPr>
          <w:p w14:paraId="2EACBEE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34239BC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Consumer Electronics - TVs</w:t>
            </w:r>
          </w:p>
        </w:tc>
        <w:tc>
          <w:tcPr>
            <w:tcW w:w="646" w:type="pct"/>
          </w:tcPr>
          <w:p w14:paraId="551BD3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96%</w:t>
            </w:r>
          </w:p>
        </w:tc>
        <w:tc>
          <w:tcPr>
            <w:tcW w:w="685" w:type="pct"/>
          </w:tcPr>
          <w:p w14:paraId="2781FDF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40F85CD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7396AE2" w14:textId="77777777" w:rsidTr="00110120">
        <w:tc>
          <w:tcPr>
            <w:tcW w:w="599" w:type="pct"/>
          </w:tcPr>
          <w:p w14:paraId="36969BC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4AE31E5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Consumer Electronics - DVDs</w:t>
            </w:r>
          </w:p>
        </w:tc>
        <w:tc>
          <w:tcPr>
            <w:tcW w:w="646" w:type="pct"/>
          </w:tcPr>
          <w:p w14:paraId="06101C3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31%</w:t>
            </w:r>
          </w:p>
        </w:tc>
        <w:tc>
          <w:tcPr>
            <w:tcW w:w="685" w:type="pct"/>
          </w:tcPr>
          <w:p w14:paraId="33183D2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43EFF29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1FCE73" w14:textId="77777777" w:rsidTr="00110120">
        <w:tc>
          <w:tcPr>
            <w:tcW w:w="599" w:type="pct"/>
          </w:tcPr>
          <w:p w14:paraId="20C6418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70CBF72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Water Dispensers</w:t>
            </w:r>
          </w:p>
        </w:tc>
        <w:tc>
          <w:tcPr>
            <w:tcW w:w="646" w:type="pct"/>
          </w:tcPr>
          <w:p w14:paraId="5BD5BF0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320F49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0F944B7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F11FA9B" w14:textId="77777777" w:rsidTr="00110120">
        <w:tc>
          <w:tcPr>
            <w:tcW w:w="599" w:type="pct"/>
          </w:tcPr>
          <w:p w14:paraId="2A3FF0C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7205352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Unit Heaters and Duct Furnaces</w:t>
            </w:r>
          </w:p>
        </w:tc>
        <w:tc>
          <w:tcPr>
            <w:tcW w:w="646" w:type="pct"/>
          </w:tcPr>
          <w:p w14:paraId="4CD4BC6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184BE3D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327008E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7558575" w14:textId="77777777" w:rsidTr="00110120">
        <w:tc>
          <w:tcPr>
            <w:tcW w:w="599" w:type="pct"/>
          </w:tcPr>
          <w:p w14:paraId="3FC7D5B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2108" w:type="pct"/>
          </w:tcPr>
          <w:p w14:paraId="705F8DC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Dishwasher Pre-Rinse Spray Valves</w:t>
            </w:r>
          </w:p>
        </w:tc>
        <w:tc>
          <w:tcPr>
            <w:tcW w:w="646" w:type="pct"/>
          </w:tcPr>
          <w:p w14:paraId="1CCFB8A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67EBCE1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5C4DFF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8AC03F4" w14:textId="77777777" w:rsidTr="00110120">
        <w:tc>
          <w:tcPr>
            <w:tcW w:w="599" w:type="pct"/>
          </w:tcPr>
          <w:p w14:paraId="66EDA08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2108" w:type="pct"/>
          </w:tcPr>
          <w:p w14:paraId="4534891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Pool Pumps, 2-speed Motors, Tier 2</w:t>
            </w:r>
          </w:p>
        </w:tc>
        <w:tc>
          <w:tcPr>
            <w:tcW w:w="646" w:type="pct"/>
          </w:tcPr>
          <w:p w14:paraId="0B7C826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86%</w:t>
            </w:r>
          </w:p>
        </w:tc>
        <w:tc>
          <w:tcPr>
            <w:tcW w:w="685" w:type="pct"/>
          </w:tcPr>
          <w:p w14:paraId="42A3D96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962" w:type="pct"/>
          </w:tcPr>
          <w:p w14:paraId="22D8F7E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F704B60" w14:textId="77777777" w:rsidTr="00110120">
        <w:tc>
          <w:tcPr>
            <w:tcW w:w="599" w:type="pct"/>
          </w:tcPr>
          <w:p w14:paraId="7A20A51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2108" w:type="pct"/>
          </w:tcPr>
          <w:p w14:paraId="5169801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2 #1</w:t>
            </w:r>
          </w:p>
        </w:tc>
        <w:tc>
          <w:tcPr>
            <w:tcW w:w="646" w:type="pct"/>
          </w:tcPr>
          <w:p w14:paraId="57633F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87%</w:t>
            </w:r>
          </w:p>
        </w:tc>
        <w:tc>
          <w:tcPr>
            <w:tcW w:w="685" w:type="pct"/>
          </w:tcPr>
          <w:p w14:paraId="15815E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962" w:type="pct"/>
          </w:tcPr>
          <w:p w14:paraId="1F2527B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937F2B0" w14:textId="77777777" w:rsidTr="00110120">
        <w:tc>
          <w:tcPr>
            <w:tcW w:w="599" w:type="pct"/>
          </w:tcPr>
          <w:p w14:paraId="420883C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2108" w:type="pct"/>
          </w:tcPr>
          <w:p w14:paraId="5BB55F4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2 #2</w:t>
            </w:r>
          </w:p>
        </w:tc>
        <w:tc>
          <w:tcPr>
            <w:tcW w:w="646" w:type="pct"/>
          </w:tcPr>
          <w:p w14:paraId="5814569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87%</w:t>
            </w:r>
          </w:p>
        </w:tc>
        <w:tc>
          <w:tcPr>
            <w:tcW w:w="685" w:type="pct"/>
          </w:tcPr>
          <w:p w14:paraId="1F4BDDF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962" w:type="pct"/>
          </w:tcPr>
          <w:p w14:paraId="3C8F1C2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8128112" w14:textId="77777777" w:rsidTr="00110120">
        <w:tc>
          <w:tcPr>
            <w:tcW w:w="599" w:type="pct"/>
          </w:tcPr>
          <w:p w14:paraId="526620B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2108" w:type="pct"/>
          </w:tcPr>
          <w:p w14:paraId="3301804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2 #3</w:t>
            </w:r>
          </w:p>
        </w:tc>
        <w:tc>
          <w:tcPr>
            <w:tcW w:w="646" w:type="pct"/>
          </w:tcPr>
          <w:p w14:paraId="5BA2999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89%</w:t>
            </w:r>
          </w:p>
        </w:tc>
        <w:tc>
          <w:tcPr>
            <w:tcW w:w="685" w:type="pct"/>
          </w:tcPr>
          <w:p w14:paraId="07EB8E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962" w:type="pct"/>
          </w:tcPr>
          <w:p w14:paraId="72BA17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DF710C2" w14:textId="77777777" w:rsidTr="00110120">
        <w:tc>
          <w:tcPr>
            <w:tcW w:w="599" w:type="pct"/>
          </w:tcPr>
          <w:p w14:paraId="28EE706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2108" w:type="pct"/>
          </w:tcPr>
          <w:p w14:paraId="5E5BB3C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BR, ER and R20 Incandescent Reflector Lamps: Residential</w:t>
            </w:r>
          </w:p>
        </w:tc>
        <w:tc>
          <w:tcPr>
            <w:tcW w:w="646" w:type="pct"/>
          </w:tcPr>
          <w:p w14:paraId="7F0BC8C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82%</w:t>
            </w:r>
          </w:p>
        </w:tc>
        <w:tc>
          <w:tcPr>
            <w:tcW w:w="685" w:type="pct"/>
          </w:tcPr>
          <w:p w14:paraId="0221858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1/8/2008</w:t>
            </w:r>
          </w:p>
        </w:tc>
        <w:tc>
          <w:tcPr>
            <w:tcW w:w="962" w:type="pct"/>
          </w:tcPr>
          <w:p w14:paraId="5B0D72B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60D3343" w14:textId="77777777" w:rsidTr="00110120">
        <w:tc>
          <w:tcPr>
            <w:tcW w:w="599" w:type="pct"/>
          </w:tcPr>
          <w:p w14:paraId="7A4A9C0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2006 T-20</w:t>
            </w:r>
          </w:p>
        </w:tc>
        <w:tc>
          <w:tcPr>
            <w:tcW w:w="2108" w:type="pct"/>
          </w:tcPr>
          <w:p w14:paraId="1B5058D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BR, ER and R20 Incandescent Reflector Lamps: Commercial</w:t>
            </w:r>
          </w:p>
        </w:tc>
        <w:tc>
          <w:tcPr>
            <w:tcW w:w="646" w:type="pct"/>
          </w:tcPr>
          <w:p w14:paraId="746CEEA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82%</w:t>
            </w:r>
          </w:p>
        </w:tc>
        <w:tc>
          <w:tcPr>
            <w:tcW w:w="685" w:type="pct"/>
          </w:tcPr>
          <w:p w14:paraId="120D09A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1/8/2008</w:t>
            </w:r>
          </w:p>
        </w:tc>
        <w:tc>
          <w:tcPr>
            <w:tcW w:w="962" w:type="pct"/>
          </w:tcPr>
          <w:p w14:paraId="193875D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734F4EF" w14:textId="77777777" w:rsidTr="00110120">
        <w:tc>
          <w:tcPr>
            <w:tcW w:w="599" w:type="pct"/>
          </w:tcPr>
          <w:p w14:paraId="637464B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2108" w:type="pct"/>
          </w:tcPr>
          <w:p w14:paraId="0349608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Metal Halide Fixtures</w:t>
            </w:r>
          </w:p>
        </w:tc>
        <w:tc>
          <w:tcPr>
            <w:tcW w:w="646" w:type="pct"/>
          </w:tcPr>
          <w:p w14:paraId="3108176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685" w:type="pct"/>
          </w:tcPr>
          <w:p w14:paraId="1E76521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1/1/2010</w:t>
            </w:r>
          </w:p>
        </w:tc>
        <w:tc>
          <w:tcPr>
            <w:tcW w:w="962" w:type="pct"/>
          </w:tcPr>
          <w:p w14:paraId="3C370E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7E9691B" w14:textId="77777777" w:rsidTr="00110120">
        <w:tc>
          <w:tcPr>
            <w:tcW w:w="599" w:type="pct"/>
          </w:tcPr>
          <w:p w14:paraId="35A54EE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2108" w:type="pct"/>
          </w:tcPr>
          <w:p w14:paraId="21D0410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Portable Lighting Fixtures</w:t>
            </w:r>
          </w:p>
        </w:tc>
        <w:tc>
          <w:tcPr>
            <w:tcW w:w="646" w:type="pct"/>
          </w:tcPr>
          <w:p w14:paraId="4D5C10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93%</w:t>
            </w:r>
          </w:p>
        </w:tc>
        <w:tc>
          <w:tcPr>
            <w:tcW w:w="685" w:type="pct"/>
          </w:tcPr>
          <w:p w14:paraId="5FDF85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1/1/2010</w:t>
            </w:r>
          </w:p>
        </w:tc>
        <w:tc>
          <w:tcPr>
            <w:tcW w:w="962" w:type="pct"/>
          </w:tcPr>
          <w:p w14:paraId="1D12739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451D206" w14:textId="77777777" w:rsidTr="00110120">
        <w:tc>
          <w:tcPr>
            <w:tcW w:w="599" w:type="pct"/>
          </w:tcPr>
          <w:p w14:paraId="0072175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2108" w:type="pct"/>
          </w:tcPr>
          <w:p w14:paraId="33F51E1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Purpose Lighting -- 100 watt</w:t>
            </w:r>
          </w:p>
        </w:tc>
        <w:tc>
          <w:tcPr>
            <w:tcW w:w="646" w:type="pct"/>
          </w:tcPr>
          <w:p w14:paraId="5D915EB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88%</w:t>
            </w:r>
          </w:p>
        </w:tc>
        <w:tc>
          <w:tcPr>
            <w:tcW w:w="685" w:type="pct"/>
          </w:tcPr>
          <w:p w14:paraId="2CEC1E9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1/1/2011</w:t>
            </w:r>
          </w:p>
        </w:tc>
        <w:tc>
          <w:tcPr>
            <w:tcW w:w="962" w:type="pct"/>
          </w:tcPr>
          <w:p w14:paraId="795F33C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969214D" w14:textId="77777777" w:rsidTr="00110120">
        <w:tc>
          <w:tcPr>
            <w:tcW w:w="599" w:type="pct"/>
          </w:tcPr>
          <w:p w14:paraId="61F318B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2108" w:type="pct"/>
          </w:tcPr>
          <w:p w14:paraId="46079A2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Purpose Lighting -- 75 watt</w:t>
            </w:r>
          </w:p>
        </w:tc>
        <w:tc>
          <w:tcPr>
            <w:tcW w:w="646" w:type="pct"/>
          </w:tcPr>
          <w:p w14:paraId="2CB12E5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40%</w:t>
            </w:r>
          </w:p>
        </w:tc>
        <w:tc>
          <w:tcPr>
            <w:tcW w:w="685" w:type="pct"/>
          </w:tcPr>
          <w:p w14:paraId="244CBD7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1/1/2012</w:t>
            </w:r>
          </w:p>
        </w:tc>
        <w:tc>
          <w:tcPr>
            <w:tcW w:w="962" w:type="pct"/>
          </w:tcPr>
          <w:p w14:paraId="2F0C64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FD69743" w14:textId="77777777" w:rsidTr="00110120">
        <w:tc>
          <w:tcPr>
            <w:tcW w:w="599" w:type="pct"/>
          </w:tcPr>
          <w:p w14:paraId="212F310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2108" w:type="pct"/>
          </w:tcPr>
          <w:p w14:paraId="2A77EFB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Purpose Lighting -- 60 and 40 watt</w:t>
            </w:r>
          </w:p>
        </w:tc>
        <w:tc>
          <w:tcPr>
            <w:tcW w:w="646" w:type="pct"/>
          </w:tcPr>
          <w:p w14:paraId="563539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52FCBE4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1/1/2013</w:t>
            </w:r>
          </w:p>
        </w:tc>
        <w:tc>
          <w:tcPr>
            <w:tcW w:w="962" w:type="pct"/>
          </w:tcPr>
          <w:p w14:paraId="451D4B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9E61900" w14:textId="77777777" w:rsidTr="00110120">
        <w:tc>
          <w:tcPr>
            <w:tcW w:w="599" w:type="pct"/>
          </w:tcPr>
          <w:p w14:paraId="36759A0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2009 T-20</w:t>
            </w:r>
          </w:p>
        </w:tc>
        <w:tc>
          <w:tcPr>
            <w:tcW w:w="2108" w:type="pct"/>
          </w:tcPr>
          <w:p w14:paraId="58A2598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Televisions - Tier 1</w:t>
            </w:r>
          </w:p>
        </w:tc>
        <w:tc>
          <w:tcPr>
            <w:tcW w:w="646" w:type="pct"/>
          </w:tcPr>
          <w:p w14:paraId="6751743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98%</w:t>
            </w:r>
          </w:p>
        </w:tc>
        <w:tc>
          <w:tcPr>
            <w:tcW w:w="685" w:type="pct"/>
          </w:tcPr>
          <w:p w14:paraId="3AE482E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1/1/2011</w:t>
            </w:r>
          </w:p>
        </w:tc>
        <w:tc>
          <w:tcPr>
            <w:tcW w:w="962" w:type="pct"/>
          </w:tcPr>
          <w:p w14:paraId="6B7F9E3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53BF773" w14:textId="77777777" w:rsidTr="00110120">
        <w:tc>
          <w:tcPr>
            <w:tcW w:w="599" w:type="pct"/>
          </w:tcPr>
          <w:p w14:paraId="2B59C74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2009 T-20</w:t>
            </w:r>
          </w:p>
        </w:tc>
        <w:tc>
          <w:tcPr>
            <w:tcW w:w="2108" w:type="pct"/>
          </w:tcPr>
          <w:p w14:paraId="2E3EC41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Televisions - Tier 2</w:t>
            </w:r>
          </w:p>
        </w:tc>
        <w:tc>
          <w:tcPr>
            <w:tcW w:w="646" w:type="pct"/>
          </w:tcPr>
          <w:p w14:paraId="38F4686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99%</w:t>
            </w:r>
          </w:p>
        </w:tc>
        <w:tc>
          <w:tcPr>
            <w:tcW w:w="685" w:type="pct"/>
          </w:tcPr>
          <w:p w14:paraId="135672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1/1/2013</w:t>
            </w:r>
          </w:p>
        </w:tc>
        <w:tc>
          <w:tcPr>
            <w:tcW w:w="962" w:type="pct"/>
          </w:tcPr>
          <w:p w14:paraId="767C9A6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495ABB9" w14:textId="77777777" w:rsidTr="00110120">
        <w:tc>
          <w:tcPr>
            <w:tcW w:w="599" w:type="pct"/>
          </w:tcPr>
          <w:p w14:paraId="0890B9D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2108" w:type="pct"/>
          </w:tcPr>
          <w:p w14:paraId="3336366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Battery Chargers – Tier 1 (consumer with no USB charger or USB charger &lt;20 watt-hours)</w:t>
            </w:r>
          </w:p>
        </w:tc>
        <w:tc>
          <w:tcPr>
            <w:tcW w:w="646" w:type="pct"/>
          </w:tcPr>
          <w:p w14:paraId="41D1402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90%</w:t>
            </w:r>
          </w:p>
        </w:tc>
        <w:tc>
          <w:tcPr>
            <w:tcW w:w="685" w:type="pct"/>
          </w:tcPr>
          <w:p w14:paraId="1397810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2/1/2013</w:t>
            </w:r>
          </w:p>
        </w:tc>
        <w:tc>
          <w:tcPr>
            <w:tcW w:w="962" w:type="pct"/>
          </w:tcPr>
          <w:p w14:paraId="363E718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99A43BD" w14:textId="77777777" w:rsidTr="00110120">
        <w:tc>
          <w:tcPr>
            <w:tcW w:w="599" w:type="pct"/>
          </w:tcPr>
          <w:p w14:paraId="4CE998B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2108" w:type="pct"/>
          </w:tcPr>
          <w:p w14:paraId="3894B3B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Battery Chargers – Tier 2 (consumer with USB charger ≥20 watt-hours)</w:t>
            </w:r>
          </w:p>
        </w:tc>
        <w:tc>
          <w:tcPr>
            <w:tcW w:w="646" w:type="pct"/>
          </w:tcPr>
          <w:p w14:paraId="3BC0654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88%</w:t>
            </w:r>
          </w:p>
        </w:tc>
        <w:tc>
          <w:tcPr>
            <w:tcW w:w="685" w:type="pct"/>
          </w:tcPr>
          <w:p w14:paraId="5EF9314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1/1/2014</w:t>
            </w:r>
          </w:p>
        </w:tc>
        <w:tc>
          <w:tcPr>
            <w:tcW w:w="962" w:type="pct"/>
          </w:tcPr>
          <w:p w14:paraId="18E523C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225D5D9" w14:textId="77777777" w:rsidTr="00110120">
        <w:tc>
          <w:tcPr>
            <w:tcW w:w="599" w:type="pct"/>
          </w:tcPr>
          <w:p w14:paraId="1E25773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2108" w:type="pct"/>
          </w:tcPr>
          <w:p w14:paraId="1E5B2C6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Battery Chargers – Tier 3 (non-consumer)</w:t>
            </w:r>
          </w:p>
        </w:tc>
        <w:tc>
          <w:tcPr>
            <w:tcW w:w="646" w:type="pct"/>
          </w:tcPr>
          <w:p w14:paraId="2AC2764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01416BD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1/1/2017</w:t>
            </w:r>
          </w:p>
        </w:tc>
        <w:tc>
          <w:tcPr>
            <w:tcW w:w="962" w:type="pct"/>
          </w:tcPr>
          <w:p w14:paraId="45D331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19E39A8" w14:textId="77777777" w:rsidTr="00110120">
        <w:tc>
          <w:tcPr>
            <w:tcW w:w="599" w:type="pct"/>
          </w:tcPr>
          <w:p w14:paraId="1089D1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2108" w:type="pct"/>
          </w:tcPr>
          <w:p w14:paraId="12457BB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Battery Chargers (≥2kW rated input)</w:t>
            </w:r>
          </w:p>
        </w:tc>
        <w:tc>
          <w:tcPr>
            <w:tcW w:w="646" w:type="pct"/>
          </w:tcPr>
          <w:p w14:paraId="0EA88A5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78%</w:t>
            </w:r>
          </w:p>
        </w:tc>
        <w:tc>
          <w:tcPr>
            <w:tcW w:w="685" w:type="pct"/>
          </w:tcPr>
          <w:p w14:paraId="72D07B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1/1/2014</w:t>
            </w:r>
          </w:p>
        </w:tc>
        <w:tc>
          <w:tcPr>
            <w:tcW w:w="962" w:type="pct"/>
          </w:tcPr>
          <w:p w14:paraId="43146C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DD3DDDE" w14:textId="77777777" w:rsidTr="00110120">
        <w:tc>
          <w:tcPr>
            <w:tcW w:w="599" w:type="pct"/>
          </w:tcPr>
          <w:p w14:paraId="2E16A55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2015 T-20</w:t>
            </w:r>
          </w:p>
        </w:tc>
        <w:tc>
          <w:tcPr>
            <w:tcW w:w="2108" w:type="pct"/>
          </w:tcPr>
          <w:p w14:paraId="35D0F29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Natural Gas Water Heating  - Tier 1  (2.2 –1.5 gpm)</w:t>
            </w:r>
          </w:p>
        </w:tc>
        <w:tc>
          <w:tcPr>
            <w:tcW w:w="646" w:type="pct"/>
          </w:tcPr>
          <w:p w14:paraId="2BF83C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D310E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9/1/2015</w:t>
            </w:r>
          </w:p>
        </w:tc>
        <w:tc>
          <w:tcPr>
            <w:tcW w:w="962" w:type="pct"/>
          </w:tcPr>
          <w:p w14:paraId="0DF43C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A053342" w14:textId="77777777" w:rsidTr="00110120">
        <w:tc>
          <w:tcPr>
            <w:tcW w:w="599" w:type="pct"/>
          </w:tcPr>
          <w:p w14:paraId="73F37D7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2015 T-20</w:t>
            </w:r>
          </w:p>
        </w:tc>
        <w:tc>
          <w:tcPr>
            <w:tcW w:w="2108" w:type="pct"/>
          </w:tcPr>
          <w:p w14:paraId="5F20323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Electric Water Heating   - Tier 1  (2.2 –1.5 gpm)</w:t>
            </w:r>
          </w:p>
        </w:tc>
        <w:tc>
          <w:tcPr>
            <w:tcW w:w="646" w:type="pct"/>
          </w:tcPr>
          <w:p w14:paraId="7132490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129945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9/1/2015</w:t>
            </w:r>
          </w:p>
        </w:tc>
        <w:tc>
          <w:tcPr>
            <w:tcW w:w="962" w:type="pct"/>
          </w:tcPr>
          <w:p w14:paraId="232BFFE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0A22197" w14:textId="77777777" w:rsidTr="00110120">
        <w:tc>
          <w:tcPr>
            <w:tcW w:w="599" w:type="pct"/>
          </w:tcPr>
          <w:p w14:paraId="648C4BD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75470B7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Air Filter Labeling</w:t>
            </w:r>
          </w:p>
        </w:tc>
        <w:tc>
          <w:tcPr>
            <w:tcW w:w="646" w:type="pct"/>
          </w:tcPr>
          <w:p w14:paraId="418EC3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CF64ED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962" w:type="pct"/>
          </w:tcPr>
          <w:p w14:paraId="303A88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0EB8A21" w14:textId="77777777" w:rsidTr="00110120">
        <w:tc>
          <w:tcPr>
            <w:tcW w:w="599" w:type="pct"/>
          </w:tcPr>
          <w:p w14:paraId="76EF6F6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5A90A7B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Dimming Ballasts</w:t>
            </w:r>
          </w:p>
        </w:tc>
        <w:tc>
          <w:tcPr>
            <w:tcW w:w="646" w:type="pct"/>
          </w:tcPr>
          <w:p w14:paraId="7A7E07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FFFBB7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962" w:type="pct"/>
          </w:tcPr>
          <w:p w14:paraId="20C6AD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2C74935" w14:textId="77777777" w:rsidTr="00110120">
        <w:tc>
          <w:tcPr>
            <w:tcW w:w="599" w:type="pct"/>
          </w:tcPr>
          <w:p w14:paraId="671EB2A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1FB7D5D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Kitchen w/ Natural Gas Water Heating (1.8 gpm)</w:t>
            </w:r>
          </w:p>
        </w:tc>
        <w:tc>
          <w:tcPr>
            <w:tcW w:w="646" w:type="pct"/>
          </w:tcPr>
          <w:p w14:paraId="6A94122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D89CCC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962" w:type="pct"/>
          </w:tcPr>
          <w:p w14:paraId="3A81708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2346F86" w14:textId="77777777" w:rsidTr="00110120">
        <w:tc>
          <w:tcPr>
            <w:tcW w:w="599" w:type="pct"/>
          </w:tcPr>
          <w:p w14:paraId="02503F6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5B9C773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Kitchen w/ Electric Water Heating (1.8 gpm)</w:t>
            </w:r>
          </w:p>
        </w:tc>
        <w:tc>
          <w:tcPr>
            <w:tcW w:w="646" w:type="pct"/>
          </w:tcPr>
          <w:p w14:paraId="1C96EA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49FC5D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962" w:type="pct"/>
          </w:tcPr>
          <w:p w14:paraId="6076374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91CBB63" w14:textId="77777777" w:rsidTr="00110120">
        <w:tc>
          <w:tcPr>
            <w:tcW w:w="599" w:type="pct"/>
          </w:tcPr>
          <w:p w14:paraId="20A7266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4778CBC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Public Lavatory Faucets (.5 gpm)</w:t>
            </w:r>
          </w:p>
        </w:tc>
        <w:tc>
          <w:tcPr>
            <w:tcW w:w="646" w:type="pct"/>
          </w:tcPr>
          <w:p w14:paraId="002F72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75701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962" w:type="pct"/>
          </w:tcPr>
          <w:p w14:paraId="1FECC3B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8267B61" w14:textId="77777777" w:rsidTr="00110120">
        <w:tc>
          <w:tcPr>
            <w:tcW w:w="599" w:type="pct"/>
          </w:tcPr>
          <w:p w14:paraId="3E4DAD7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45057D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Natural Gas Water Heating   - Tier 2  (1.5 –1.2 gpm)</w:t>
            </w:r>
          </w:p>
        </w:tc>
        <w:tc>
          <w:tcPr>
            <w:tcW w:w="646" w:type="pct"/>
          </w:tcPr>
          <w:p w14:paraId="7E9F652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3F9AD5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962" w:type="pct"/>
          </w:tcPr>
          <w:p w14:paraId="5C7CBB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26E7363" w14:textId="77777777" w:rsidTr="00110120">
        <w:tc>
          <w:tcPr>
            <w:tcW w:w="599" w:type="pct"/>
          </w:tcPr>
          <w:p w14:paraId="375808A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47502B3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Electric Water Heating - Tier 2  (1.5 –1.2 gpm)</w:t>
            </w:r>
          </w:p>
        </w:tc>
        <w:tc>
          <w:tcPr>
            <w:tcW w:w="646" w:type="pct"/>
          </w:tcPr>
          <w:p w14:paraId="6997645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FF1BC7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962" w:type="pct"/>
          </w:tcPr>
          <w:p w14:paraId="27D71C8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BDF14AB" w14:textId="77777777" w:rsidTr="00110120">
        <w:tc>
          <w:tcPr>
            <w:tcW w:w="599" w:type="pct"/>
          </w:tcPr>
          <w:p w14:paraId="624D589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4C4D22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Showerheads w/ Natural Gas Water Heaters  - Tier 1  (2..5 to 2.0 gpm)</w:t>
            </w:r>
          </w:p>
        </w:tc>
        <w:tc>
          <w:tcPr>
            <w:tcW w:w="646" w:type="pct"/>
          </w:tcPr>
          <w:p w14:paraId="46364F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2C9BB43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962" w:type="pct"/>
          </w:tcPr>
          <w:p w14:paraId="6C5D219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CE46208" w14:textId="77777777" w:rsidTr="00110120">
        <w:tc>
          <w:tcPr>
            <w:tcW w:w="599" w:type="pct"/>
          </w:tcPr>
          <w:p w14:paraId="4828CA8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5FEF425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Showerheads w/ Electric Water Heaters  - Tier 1 (2..5 to 2.0 gpm)</w:t>
            </w:r>
          </w:p>
        </w:tc>
        <w:tc>
          <w:tcPr>
            <w:tcW w:w="646" w:type="pct"/>
          </w:tcPr>
          <w:p w14:paraId="78CFCE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5737C37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962" w:type="pct"/>
          </w:tcPr>
          <w:p w14:paraId="1152B4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051FC99" w14:textId="77777777" w:rsidTr="00110120">
        <w:tc>
          <w:tcPr>
            <w:tcW w:w="599" w:type="pct"/>
          </w:tcPr>
          <w:p w14:paraId="50918F3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7B3027A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Toilets - Commercial (1.28 gpf)</w:t>
            </w:r>
          </w:p>
        </w:tc>
        <w:tc>
          <w:tcPr>
            <w:tcW w:w="646" w:type="pct"/>
          </w:tcPr>
          <w:p w14:paraId="016E9A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0B1D55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962" w:type="pct"/>
          </w:tcPr>
          <w:p w14:paraId="7F6EFFA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CB3D83E" w14:textId="77777777" w:rsidTr="00110120">
        <w:tc>
          <w:tcPr>
            <w:tcW w:w="599" w:type="pct"/>
          </w:tcPr>
          <w:p w14:paraId="44545C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737B579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Toilets - Residential (1.28 gpf)</w:t>
            </w:r>
          </w:p>
        </w:tc>
        <w:tc>
          <w:tcPr>
            <w:tcW w:w="646" w:type="pct"/>
          </w:tcPr>
          <w:p w14:paraId="5DDCE6E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E92B6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962" w:type="pct"/>
          </w:tcPr>
          <w:p w14:paraId="5D69BE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953F1FD" w14:textId="77777777" w:rsidTr="00110120">
        <w:tc>
          <w:tcPr>
            <w:tcW w:w="599" w:type="pct"/>
          </w:tcPr>
          <w:p w14:paraId="5A7B913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2108" w:type="pct"/>
          </w:tcPr>
          <w:p w14:paraId="517E20B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Urinals (.125 gpf)</w:t>
            </w:r>
          </w:p>
        </w:tc>
        <w:tc>
          <w:tcPr>
            <w:tcW w:w="646" w:type="pct"/>
          </w:tcPr>
          <w:p w14:paraId="6EBA592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DFC43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962" w:type="pct"/>
          </w:tcPr>
          <w:p w14:paraId="51AB07B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6065C9A" w14:textId="77777777" w:rsidTr="00110120">
        <w:tc>
          <w:tcPr>
            <w:tcW w:w="599" w:type="pct"/>
          </w:tcPr>
          <w:p w14:paraId="1477501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4047C89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Clothes Dryers</w:t>
            </w:r>
          </w:p>
        </w:tc>
        <w:tc>
          <w:tcPr>
            <w:tcW w:w="646" w:type="pct"/>
          </w:tcPr>
          <w:p w14:paraId="1CE6FA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428FD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962" w:type="pct"/>
          </w:tcPr>
          <w:p w14:paraId="1392E9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3C64831E" w14:textId="77777777" w:rsidTr="00110120">
        <w:tc>
          <w:tcPr>
            <w:tcW w:w="599" w:type="pct"/>
          </w:tcPr>
          <w:p w14:paraId="3D1B299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5617F8D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Workstations</w:t>
            </w:r>
          </w:p>
        </w:tc>
        <w:tc>
          <w:tcPr>
            <w:tcW w:w="646" w:type="pct"/>
          </w:tcPr>
          <w:p w14:paraId="70B278F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09D8922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546B889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3B6276CD" w14:textId="77777777" w:rsidTr="00110120">
        <w:tc>
          <w:tcPr>
            <w:tcW w:w="599" w:type="pct"/>
          </w:tcPr>
          <w:p w14:paraId="7706E37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5E508C8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Small Scale Servers</w:t>
            </w:r>
          </w:p>
        </w:tc>
        <w:tc>
          <w:tcPr>
            <w:tcW w:w="646" w:type="pct"/>
          </w:tcPr>
          <w:p w14:paraId="532C7B5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C84F0C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4315EE4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0C8FF1BE" w14:textId="77777777" w:rsidTr="00110120">
        <w:tc>
          <w:tcPr>
            <w:tcW w:w="599" w:type="pct"/>
          </w:tcPr>
          <w:p w14:paraId="4B7476F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Future Title 20</w:t>
            </w:r>
          </w:p>
        </w:tc>
        <w:tc>
          <w:tcPr>
            <w:tcW w:w="2108" w:type="pct"/>
          </w:tcPr>
          <w:p w14:paraId="4E05533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Notebooks</w:t>
            </w:r>
          </w:p>
        </w:tc>
        <w:tc>
          <w:tcPr>
            <w:tcW w:w="646" w:type="pct"/>
          </w:tcPr>
          <w:p w14:paraId="3D569BF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EA9CF3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962" w:type="pct"/>
          </w:tcPr>
          <w:p w14:paraId="137F0FD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0547844E" w14:textId="77777777" w:rsidTr="00110120">
        <w:tc>
          <w:tcPr>
            <w:tcW w:w="599" w:type="pct"/>
          </w:tcPr>
          <w:p w14:paraId="0939CDC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0999322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Desktops - Tier 1</w:t>
            </w:r>
          </w:p>
        </w:tc>
        <w:tc>
          <w:tcPr>
            <w:tcW w:w="646" w:type="pct"/>
          </w:tcPr>
          <w:p w14:paraId="5524CA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F82C20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962" w:type="pct"/>
          </w:tcPr>
          <w:p w14:paraId="565B3D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41B57824" w14:textId="77777777" w:rsidTr="00110120">
        <w:tc>
          <w:tcPr>
            <w:tcW w:w="599" w:type="pct"/>
          </w:tcPr>
          <w:p w14:paraId="23AB4F5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7E0FC6D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Desktops - Tier 2</w:t>
            </w:r>
          </w:p>
        </w:tc>
        <w:tc>
          <w:tcPr>
            <w:tcW w:w="646" w:type="pct"/>
          </w:tcPr>
          <w:p w14:paraId="3E4C518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0E10BC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7/1/2021</w:t>
            </w:r>
          </w:p>
        </w:tc>
        <w:tc>
          <w:tcPr>
            <w:tcW w:w="962" w:type="pct"/>
          </w:tcPr>
          <w:p w14:paraId="248C9ED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1A18CF91" w14:textId="77777777" w:rsidTr="00110120">
        <w:tc>
          <w:tcPr>
            <w:tcW w:w="599" w:type="pct"/>
          </w:tcPr>
          <w:p w14:paraId="69CECA1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3D2C3D2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Displays - Monitors</w:t>
            </w:r>
          </w:p>
        </w:tc>
        <w:tc>
          <w:tcPr>
            <w:tcW w:w="646" w:type="pct"/>
          </w:tcPr>
          <w:p w14:paraId="65330F1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2D6738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7/1/2019</w:t>
            </w:r>
          </w:p>
        </w:tc>
        <w:tc>
          <w:tcPr>
            <w:tcW w:w="962" w:type="pct"/>
          </w:tcPr>
          <w:p w14:paraId="281A75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404A9336" w14:textId="77777777" w:rsidTr="00110120">
        <w:tc>
          <w:tcPr>
            <w:tcW w:w="599" w:type="pct"/>
          </w:tcPr>
          <w:p w14:paraId="44DF9AC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5141D1D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Game Consoles (Tier 1)</w:t>
            </w:r>
          </w:p>
        </w:tc>
        <w:tc>
          <w:tcPr>
            <w:tcW w:w="646" w:type="pct"/>
          </w:tcPr>
          <w:p w14:paraId="651BB6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340382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1/1/2021</w:t>
            </w:r>
          </w:p>
        </w:tc>
        <w:tc>
          <w:tcPr>
            <w:tcW w:w="962" w:type="pct"/>
          </w:tcPr>
          <w:p w14:paraId="01B60E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3D4919B0" w14:textId="77777777" w:rsidTr="00110120">
        <w:tc>
          <w:tcPr>
            <w:tcW w:w="599" w:type="pct"/>
          </w:tcPr>
          <w:p w14:paraId="07FE67A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45DBEE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Game Consoles (Tier 2)</w:t>
            </w:r>
          </w:p>
        </w:tc>
        <w:tc>
          <w:tcPr>
            <w:tcW w:w="646" w:type="pct"/>
          </w:tcPr>
          <w:p w14:paraId="2169D1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3A3F3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1/1/2024</w:t>
            </w:r>
          </w:p>
        </w:tc>
        <w:tc>
          <w:tcPr>
            <w:tcW w:w="962" w:type="pct"/>
          </w:tcPr>
          <w:p w14:paraId="73C08F5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2B61F6B0" w14:textId="77777777" w:rsidTr="00110120">
        <w:tc>
          <w:tcPr>
            <w:tcW w:w="599" w:type="pct"/>
          </w:tcPr>
          <w:p w14:paraId="386B374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0433629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Pool Pumps &amp; Spas</w:t>
            </w:r>
          </w:p>
        </w:tc>
        <w:tc>
          <w:tcPr>
            <w:tcW w:w="646" w:type="pct"/>
          </w:tcPr>
          <w:p w14:paraId="4259707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C3BDDD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1FB9864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0C980DA6" w14:textId="77777777" w:rsidTr="00110120">
        <w:tc>
          <w:tcPr>
            <w:tcW w:w="599" w:type="pct"/>
          </w:tcPr>
          <w:p w14:paraId="6841990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37995CC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Set Top Boxes (Tier 1)</w:t>
            </w:r>
          </w:p>
        </w:tc>
        <w:tc>
          <w:tcPr>
            <w:tcW w:w="646" w:type="pct"/>
          </w:tcPr>
          <w:p w14:paraId="1188AB4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31EFDE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962" w:type="pct"/>
          </w:tcPr>
          <w:p w14:paraId="170096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52D1BE81" w14:textId="77777777" w:rsidTr="00110120">
        <w:tc>
          <w:tcPr>
            <w:tcW w:w="599" w:type="pct"/>
          </w:tcPr>
          <w:p w14:paraId="40504D4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63B2856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Diameter Directional Lamps (Tier 1)</w:t>
            </w:r>
          </w:p>
        </w:tc>
        <w:tc>
          <w:tcPr>
            <w:tcW w:w="646" w:type="pct"/>
          </w:tcPr>
          <w:p w14:paraId="52B563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3A92CE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5C2D599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591B3D7A" w14:textId="77777777" w:rsidTr="00110120">
        <w:tc>
          <w:tcPr>
            <w:tcW w:w="599" w:type="pct"/>
          </w:tcPr>
          <w:p w14:paraId="538648D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61A5EC4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Network Equipment</w:t>
            </w:r>
          </w:p>
        </w:tc>
        <w:tc>
          <w:tcPr>
            <w:tcW w:w="646" w:type="pct"/>
          </w:tcPr>
          <w:p w14:paraId="356616C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288529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1/1/2023</w:t>
            </w:r>
          </w:p>
        </w:tc>
        <w:tc>
          <w:tcPr>
            <w:tcW w:w="962" w:type="pct"/>
          </w:tcPr>
          <w:p w14:paraId="179C0FE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16783FB7" w14:textId="77777777" w:rsidTr="00110120">
        <w:tc>
          <w:tcPr>
            <w:tcW w:w="599" w:type="pct"/>
          </w:tcPr>
          <w:p w14:paraId="0512576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2BAEC07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Water Meters</w:t>
            </w:r>
          </w:p>
        </w:tc>
        <w:tc>
          <w:tcPr>
            <w:tcW w:w="646" w:type="pct"/>
          </w:tcPr>
          <w:p w14:paraId="6A1B413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2A2CC7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962" w:type="pct"/>
          </w:tcPr>
          <w:p w14:paraId="2A8A4B5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2B96B1FE" w14:textId="77777777" w:rsidTr="00110120">
        <w:tc>
          <w:tcPr>
            <w:tcW w:w="599" w:type="pct"/>
          </w:tcPr>
          <w:p w14:paraId="1E3108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5A1D193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Metal Halide Lamp Fixtures</w:t>
            </w:r>
          </w:p>
        </w:tc>
        <w:tc>
          <w:tcPr>
            <w:tcW w:w="646" w:type="pct"/>
          </w:tcPr>
          <w:p w14:paraId="295DF24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423913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2/10/2017</w:t>
            </w:r>
          </w:p>
        </w:tc>
        <w:tc>
          <w:tcPr>
            <w:tcW w:w="962" w:type="pct"/>
          </w:tcPr>
          <w:p w14:paraId="3385B5A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7218FED" w14:textId="77777777" w:rsidTr="00110120">
        <w:tc>
          <w:tcPr>
            <w:tcW w:w="599" w:type="pct"/>
          </w:tcPr>
          <w:p w14:paraId="4F372D7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2108" w:type="pct"/>
          </w:tcPr>
          <w:p w14:paraId="12D755E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State-Regulated General Service Lamps – Tier II</w:t>
            </w:r>
          </w:p>
        </w:tc>
        <w:tc>
          <w:tcPr>
            <w:tcW w:w="646" w:type="pct"/>
          </w:tcPr>
          <w:p w14:paraId="6A06DFBF" w14:textId="77777777" w:rsidR="006B44D0" w:rsidRPr="00483510" w:rsidRDefault="00ED04DD" w:rsidP="006B44D0">
            <w:pPr>
              <w:rPr>
                <w:rFonts w:ascii="Arial Narrow" w:hAnsi="Arial Narrow"/>
                <w:sz w:val="18"/>
                <w:szCs w:val="18"/>
              </w:rPr>
            </w:pPr>
            <w:r>
              <w:rPr>
                <w:rFonts w:ascii="Arial Narrow" w:hAnsi="Arial Narrow"/>
                <w:sz w:val="18"/>
                <w:szCs w:val="18"/>
              </w:rPr>
              <w:t>85%</w:t>
            </w:r>
          </w:p>
        </w:tc>
        <w:tc>
          <w:tcPr>
            <w:tcW w:w="685" w:type="pct"/>
          </w:tcPr>
          <w:p w14:paraId="24C28D0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56A871C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FEB37D2" w14:textId="77777777" w:rsidTr="00110120">
        <w:tc>
          <w:tcPr>
            <w:tcW w:w="599" w:type="pct"/>
          </w:tcPr>
          <w:p w14:paraId="7D9B262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441382B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Electric Motors 1-200HP</w:t>
            </w:r>
          </w:p>
        </w:tc>
        <w:tc>
          <w:tcPr>
            <w:tcW w:w="646" w:type="pct"/>
          </w:tcPr>
          <w:p w14:paraId="3B8A19D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w:t>
            </w:r>
          </w:p>
        </w:tc>
        <w:tc>
          <w:tcPr>
            <w:tcW w:w="685" w:type="pct"/>
          </w:tcPr>
          <w:p w14:paraId="3C0D4C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12/1/2010</w:t>
            </w:r>
          </w:p>
        </w:tc>
        <w:tc>
          <w:tcPr>
            <w:tcW w:w="962" w:type="pct"/>
          </w:tcPr>
          <w:p w14:paraId="6537FCD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801A2C2" w14:textId="77777777" w:rsidTr="00110120">
        <w:tc>
          <w:tcPr>
            <w:tcW w:w="599" w:type="pct"/>
          </w:tcPr>
          <w:p w14:paraId="6DC92ED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A1770E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Refrigerated Beverage Vending Machines</w:t>
            </w:r>
          </w:p>
        </w:tc>
        <w:tc>
          <w:tcPr>
            <w:tcW w:w="646" w:type="pct"/>
          </w:tcPr>
          <w:p w14:paraId="50535D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37%</w:t>
            </w:r>
          </w:p>
        </w:tc>
        <w:tc>
          <w:tcPr>
            <w:tcW w:w="685" w:type="pct"/>
          </w:tcPr>
          <w:p w14:paraId="2927B31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8/31/2011</w:t>
            </w:r>
          </w:p>
        </w:tc>
        <w:tc>
          <w:tcPr>
            <w:tcW w:w="962" w:type="pct"/>
          </w:tcPr>
          <w:p w14:paraId="730D80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8C10AC9" w14:textId="77777777" w:rsidTr="00110120">
        <w:tc>
          <w:tcPr>
            <w:tcW w:w="599" w:type="pct"/>
          </w:tcPr>
          <w:p w14:paraId="21CDD0C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6FD050F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w:t>
            </w:r>
          </w:p>
        </w:tc>
        <w:tc>
          <w:tcPr>
            <w:tcW w:w="646" w:type="pct"/>
          </w:tcPr>
          <w:p w14:paraId="25BFF82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685" w:type="pct"/>
          </w:tcPr>
          <w:p w14:paraId="50A03FA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1/1/2012</w:t>
            </w:r>
          </w:p>
        </w:tc>
        <w:tc>
          <w:tcPr>
            <w:tcW w:w="962" w:type="pct"/>
          </w:tcPr>
          <w:p w14:paraId="2EB6755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765CE46" w14:textId="77777777" w:rsidTr="00110120">
        <w:tc>
          <w:tcPr>
            <w:tcW w:w="599" w:type="pct"/>
          </w:tcPr>
          <w:p w14:paraId="10C79BF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4B7D9A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Electric &amp; Gas Ranges</w:t>
            </w:r>
          </w:p>
        </w:tc>
        <w:tc>
          <w:tcPr>
            <w:tcW w:w="646" w:type="pct"/>
          </w:tcPr>
          <w:p w14:paraId="2C25C3F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3FDBD4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4/9/2012</w:t>
            </w:r>
          </w:p>
        </w:tc>
        <w:tc>
          <w:tcPr>
            <w:tcW w:w="962" w:type="pct"/>
          </w:tcPr>
          <w:p w14:paraId="6F84DE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17E8FD0" w14:textId="77777777" w:rsidTr="00110120">
        <w:tc>
          <w:tcPr>
            <w:tcW w:w="599" w:type="pct"/>
          </w:tcPr>
          <w:p w14:paraId="77A72A1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6307C7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Fluorescent Lamps #1</w:t>
            </w:r>
          </w:p>
        </w:tc>
        <w:tc>
          <w:tcPr>
            <w:tcW w:w="646" w:type="pct"/>
          </w:tcPr>
          <w:p w14:paraId="3C70A9A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685" w:type="pct"/>
          </w:tcPr>
          <w:p w14:paraId="4928DD6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7/14/2012</w:t>
            </w:r>
          </w:p>
        </w:tc>
        <w:tc>
          <w:tcPr>
            <w:tcW w:w="962" w:type="pct"/>
          </w:tcPr>
          <w:p w14:paraId="3FC3B18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264F668" w14:textId="77777777" w:rsidTr="00110120">
        <w:tc>
          <w:tcPr>
            <w:tcW w:w="599" w:type="pct"/>
          </w:tcPr>
          <w:p w14:paraId="7F5FFD7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208CD0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Incandescent Reflector Lamps </w:t>
            </w:r>
          </w:p>
        </w:tc>
        <w:tc>
          <w:tcPr>
            <w:tcW w:w="646" w:type="pct"/>
          </w:tcPr>
          <w:p w14:paraId="551FC1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w:t>
            </w:r>
          </w:p>
        </w:tc>
        <w:tc>
          <w:tcPr>
            <w:tcW w:w="685" w:type="pct"/>
          </w:tcPr>
          <w:p w14:paraId="3E4D9B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7/14/2012</w:t>
            </w:r>
          </w:p>
        </w:tc>
        <w:tc>
          <w:tcPr>
            <w:tcW w:w="962" w:type="pct"/>
          </w:tcPr>
          <w:p w14:paraId="424594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443A037" w14:textId="77777777" w:rsidTr="00110120">
        <w:tc>
          <w:tcPr>
            <w:tcW w:w="599" w:type="pct"/>
          </w:tcPr>
          <w:p w14:paraId="764DB38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1DEDCB7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Clothes Washers #1</w:t>
            </w:r>
          </w:p>
        </w:tc>
        <w:tc>
          <w:tcPr>
            <w:tcW w:w="646" w:type="pct"/>
          </w:tcPr>
          <w:p w14:paraId="46A286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89%</w:t>
            </w:r>
          </w:p>
        </w:tc>
        <w:tc>
          <w:tcPr>
            <w:tcW w:w="685" w:type="pct"/>
          </w:tcPr>
          <w:p w14:paraId="641BC94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1/8/2013</w:t>
            </w:r>
          </w:p>
        </w:tc>
        <w:tc>
          <w:tcPr>
            <w:tcW w:w="962" w:type="pct"/>
          </w:tcPr>
          <w:p w14:paraId="1906C8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BF0E059" w14:textId="77777777" w:rsidTr="00110120">
        <w:tc>
          <w:tcPr>
            <w:tcW w:w="599" w:type="pct"/>
          </w:tcPr>
          <w:p w14:paraId="216634A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68FF8A6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Pool Heaters</w:t>
            </w:r>
          </w:p>
        </w:tc>
        <w:tc>
          <w:tcPr>
            <w:tcW w:w="646" w:type="pct"/>
          </w:tcPr>
          <w:p w14:paraId="2E6D0B5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685" w:type="pct"/>
          </w:tcPr>
          <w:p w14:paraId="28593A3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4/16/2013</w:t>
            </w:r>
          </w:p>
        </w:tc>
        <w:tc>
          <w:tcPr>
            <w:tcW w:w="962" w:type="pct"/>
          </w:tcPr>
          <w:p w14:paraId="021A09A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874C9A9" w14:textId="77777777" w:rsidTr="00110120">
        <w:tc>
          <w:tcPr>
            <w:tcW w:w="599" w:type="pct"/>
          </w:tcPr>
          <w:p w14:paraId="22DB954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CFA47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Direct Heating Equipment</w:t>
            </w:r>
          </w:p>
        </w:tc>
        <w:tc>
          <w:tcPr>
            <w:tcW w:w="646" w:type="pct"/>
          </w:tcPr>
          <w:p w14:paraId="08A3D44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685" w:type="pct"/>
          </w:tcPr>
          <w:p w14:paraId="1013B6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4/16/2013</w:t>
            </w:r>
          </w:p>
        </w:tc>
        <w:tc>
          <w:tcPr>
            <w:tcW w:w="962" w:type="pct"/>
          </w:tcPr>
          <w:p w14:paraId="5F5419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339D473" w14:textId="77777777" w:rsidTr="00110120">
        <w:tc>
          <w:tcPr>
            <w:tcW w:w="599" w:type="pct"/>
          </w:tcPr>
          <w:p w14:paraId="7369235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237CF33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Refrigerators &amp; Freezers</w:t>
            </w:r>
          </w:p>
        </w:tc>
        <w:tc>
          <w:tcPr>
            <w:tcW w:w="646" w:type="pct"/>
          </w:tcPr>
          <w:p w14:paraId="0B8AF9D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685" w:type="pct"/>
          </w:tcPr>
          <w:p w14:paraId="6D9E9E4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9/15/2014</w:t>
            </w:r>
          </w:p>
        </w:tc>
        <w:tc>
          <w:tcPr>
            <w:tcW w:w="962" w:type="pct"/>
          </w:tcPr>
          <w:p w14:paraId="792B75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61E6329" w14:textId="77777777" w:rsidTr="00110120">
        <w:tc>
          <w:tcPr>
            <w:tcW w:w="599" w:type="pct"/>
          </w:tcPr>
          <w:p w14:paraId="2C9808A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F91F1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Room AC</w:t>
            </w:r>
          </w:p>
        </w:tc>
        <w:tc>
          <w:tcPr>
            <w:tcW w:w="646" w:type="pct"/>
          </w:tcPr>
          <w:p w14:paraId="7CE2D4A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w:t>
            </w:r>
          </w:p>
        </w:tc>
        <w:tc>
          <w:tcPr>
            <w:tcW w:w="685" w:type="pct"/>
          </w:tcPr>
          <w:p w14:paraId="25045DD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6/1/2014</w:t>
            </w:r>
          </w:p>
        </w:tc>
        <w:tc>
          <w:tcPr>
            <w:tcW w:w="962" w:type="pct"/>
          </w:tcPr>
          <w:p w14:paraId="3391A97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EC548B4" w14:textId="77777777" w:rsidTr="00110120">
        <w:tc>
          <w:tcPr>
            <w:tcW w:w="599" w:type="pct"/>
          </w:tcPr>
          <w:p w14:paraId="06CF198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214013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Fluorescent Ballasts</w:t>
            </w:r>
          </w:p>
        </w:tc>
        <w:tc>
          <w:tcPr>
            <w:tcW w:w="646" w:type="pct"/>
          </w:tcPr>
          <w:p w14:paraId="647FE1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80%</w:t>
            </w:r>
          </w:p>
        </w:tc>
        <w:tc>
          <w:tcPr>
            <w:tcW w:w="685" w:type="pct"/>
          </w:tcPr>
          <w:p w14:paraId="18EB131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11/14/2014</w:t>
            </w:r>
          </w:p>
        </w:tc>
        <w:tc>
          <w:tcPr>
            <w:tcW w:w="962" w:type="pct"/>
          </w:tcPr>
          <w:p w14:paraId="0D4803C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9E63A2F" w14:textId="77777777" w:rsidTr="00110120">
        <w:tc>
          <w:tcPr>
            <w:tcW w:w="599" w:type="pct"/>
          </w:tcPr>
          <w:p w14:paraId="1182D45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6318FB3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Commercial Package Air-Conditioners ≥65 and &lt;135 kBtu/h</w:t>
            </w:r>
          </w:p>
        </w:tc>
        <w:tc>
          <w:tcPr>
            <w:tcW w:w="646" w:type="pct"/>
          </w:tcPr>
          <w:p w14:paraId="506AAF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27ECA28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6/1/2013</w:t>
            </w:r>
          </w:p>
        </w:tc>
        <w:tc>
          <w:tcPr>
            <w:tcW w:w="962" w:type="pct"/>
          </w:tcPr>
          <w:p w14:paraId="3C23865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C2F3836" w14:textId="77777777" w:rsidTr="00110120">
        <w:tc>
          <w:tcPr>
            <w:tcW w:w="599" w:type="pct"/>
          </w:tcPr>
          <w:p w14:paraId="5052F0D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18EE6B2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and Very Large Commercial Package Air-Conditioners ≥135 kBtu/h</w:t>
            </w:r>
          </w:p>
        </w:tc>
        <w:tc>
          <w:tcPr>
            <w:tcW w:w="646" w:type="pct"/>
          </w:tcPr>
          <w:p w14:paraId="0D91AB7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286B7DC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6/1/2014</w:t>
            </w:r>
          </w:p>
        </w:tc>
        <w:tc>
          <w:tcPr>
            <w:tcW w:w="962" w:type="pct"/>
          </w:tcPr>
          <w:p w14:paraId="3EC3E4D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CF6467A" w14:textId="77777777" w:rsidTr="00110120">
        <w:tc>
          <w:tcPr>
            <w:tcW w:w="599" w:type="pct"/>
          </w:tcPr>
          <w:p w14:paraId="3A8C789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Federal</w:t>
            </w:r>
          </w:p>
        </w:tc>
        <w:tc>
          <w:tcPr>
            <w:tcW w:w="2108" w:type="pct"/>
          </w:tcPr>
          <w:p w14:paraId="39FAEDD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 Room Acs &gt;=65,000 Btu/h and &lt; 760,000 Btu/h</w:t>
            </w:r>
          </w:p>
        </w:tc>
        <w:tc>
          <w:tcPr>
            <w:tcW w:w="646" w:type="pct"/>
          </w:tcPr>
          <w:p w14:paraId="6A82C7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363E226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10/29/2013</w:t>
            </w:r>
          </w:p>
        </w:tc>
        <w:tc>
          <w:tcPr>
            <w:tcW w:w="962" w:type="pct"/>
          </w:tcPr>
          <w:p w14:paraId="08BB855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85DDCF8" w14:textId="77777777" w:rsidTr="00110120">
        <w:tc>
          <w:tcPr>
            <w:tcW w:w="599" w:type="pct"/>
          </w:tcPr>
          <w:p w14:paraId="2EFA65D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7212FA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Dishwashers</w:t>
            </w:r>
          </w:p>
        </w:tc>
        <w:tc>
          <w:tcPr>
            <w:tcW w:w="646" w:type="pct"/>
          </w:tcPr>
          <w:p w14:paraId="2F2D4DD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99%</w:t>
            </w:r>
          </w:p>
        </w:tc>
        <w:tc>
          <w:tcPr>
            <w:tcW w:w="685" w:type="pct"/>
          </w:tcPr>
          <w:p w14:paraId="781011D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5/30/2013</w:t>
            </w:r>
          </w:p>
        </w:tc>
        <w:tc>
          <w:tcPr>
            <w:tcW w:w="962" w:type="pct"/>
          </w:tcPr>
          <w:p w14:paraId="1B892BB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A4D9B11" w14:textId="77777777" w:rsidTr="00110120">
        <w:tc>
          <w:tcPr>
            <w:tcW w:w="599" w:type="pct"/>
          </w:tcPr>
          <w:p w14:paraId="43F314B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F6ED62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Clothes Dryers</w:t>
            </w:r>
          </w:p>
        </w:tc>
        <w:tc>
          <w:tcPr>
            <w:tcW w:w="646" w:type="pct"/>
          </w:tcPr>
          <w:p w14:paraId="3A1A3A9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B464A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1/15/2015</w:t>
            </w:r>
          </w:p>
        </w:tc>
        <w:tc>
          <w:tcPr>
            <w:tcW w:w="962" w:type="pct"/>
          </w:tcPr>
          <w:p w14:paraId="72A90C6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2F099FE" w14:textId="77777777" w:rsidTr="00110120">
        <w:tc>
          <w:tcPr>
            <w:tcW w:w="599" w:type="pct"/>
          </w:tcPr>
          <w:p w14:paraId="6E42B84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10A5A67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Gas-fired water heater</w:t>
            </w:r>
          </w:p>
        </w:tc>
        <w:tc>
          <w:tcPr>
            <w:tcW w:w="646" w:type="pct"/>
          </w:tcPr>
          <w:p w14:paraId="3DEED45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0E556D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4/15/2015</w:t>
            </w:r>
          </w:p>
        </w:tc>
        <w:tc>
          <w:tcPr>
            <w:tcW w:w="962" w:type="pct"/>
          </w:tcPr>
          <w:p w14:paraId="7E508AF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0737335" w14:textId="77777777" w:rsidTr="00110120">
        <w:tc>
          <w:tcPr>
            <w:tcW w:w="599" w:type="pct"/>
          </w:tcPr>
          <w:p w14:paraId="1350AB2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18C3813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Electric storage water heater</w:t>
            </w:r>
          </w:p>
        </w:tc>
        <w:tc>
          <w:tcPr>
            <w:tcW w:w="646" w:type="pct"/>
          </w:tcPr>
          <w:p w14:paraId="1F41DB3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C84004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4/15/2015</w:t>
            </w:r>
          </w:p>
        </w:tc>
        <w:tc>
          <w:tcPr>
            <w:tcW w:w="962" w:type="pct"/>
          </w:tcPr>
          <w:p w14:paraId="2F0BBD8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D2637C9" w14:textId="77777777" w:rsidTr="00110120">
        <w:tc>
          <w:tcPr>
            <w:tcW w:w="599" w:type="pct"/>
          </w:tcPr>
          <w:p w14:paraId="18179FC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D5A7CD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Gas-fired instantaneous water heater</w:t>
            </w:r>
          </w:p>
        </w:tc>
        <w:tc>
          <w:tcPr>
            <w:tcW w:w="646" w:type="pct"/>
          </w:tcPr>
          <w:p w14:paraId="73756B7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AA7FEF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4/15/2015</w:t>
            </w:r>
          </w:p>
        </w:tc>
        <w:tc>
          <w:tcPr>
            <w:tcW w:w="962" w:type="pct"/>
          </w:tcPr>
          <w:p w14:paraId="19ECD14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D3738F8" w14:textId="77777777" w:rsidTr="00110120">
        <w:tc>
          <w:tcPr>
            <w:tcW w:w="599" w:type="pct"/>
          </w:tcPr>
          <w:p w14:paraId="2E36F8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0DE568B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Oil-fired storage water heater</w:t>
            </w:r>
          </w:p>
        </w:tc>
        <w:tc>
          <w:tcPr>
            <w:tcW w:w="646" w:type="pct"/>
          </w:tcPr>
          <w:p w14:paraId="34EEAB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346FB4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4/15/2015</w:t>
            </w:r>
          </w:p>
        </w:tc>
        <w:tc>
          <w:tcPr>
            <w:tcW w:w="962" w:type="pct"/>
          </w:tcPr>
          <w:p w14:paraId="15223AD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A0B4681" w14:textId="77777777" w:rsidTr="00110120">
        <w:tc>
          <w:tcPr>
            <w:tcW w:w="599" w:type="pct"/>
          </w:tcPr>
          <w:p w14:paraId="2A91622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266F46C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Electric Motors</w:t>
            </w:r>
          </w:p>
        </w:tc>
        <w:tc>
          <w:tcPr>
            <w:tcW w:w="646" w:type="pct"/>
          </w:tcPr>
          <w:p w14:paraId="15FA837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691C01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3/15/2015</w:t>
            </w:r>
          </w:p>
        </w:tc>
        <w:tc>
          <w:tcPr>
            <w:tcW w:w="962" w:type="pct"/>
          </w:tcPr>
          <w:p w14:paraId="6083597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C95073B" w14:textId="77777777" w:rsidTr="00110120">
        <w:tc>
          <w:tcPr>
            <w:tcW w:w="599" w:type="pct"/>
          </w:tcPr>
          <w:p w14:paraId="0D9C7F6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47D089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Clothes Washers (Front Loading)</w:t>
            </w:r>
          </w:p>
        </w:tc>
        <w:tc>
          <w:tcPr>
            <w:tcW w:w="646" w:type="pct"/>
          </w:tcPr>
          <w:p w14:paraId="263CBEF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03766B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3/15/2015</w:t>
            </w:r>
          </w:p>
        </w:tc>
        <w:tc>
          <w:tcPr>
            <w:tcW w:w="962" w:type="pct"/>
          </w:tcPr>
          <w:p w14:paraId="7113B85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C18E538" w14:textId="77777777" w:rsidTr="00110120">
        <w:tc>
          <w:tcPr>
            <w:tcW w:w="599" w:type="pct"/>
          </w:tcPr>
          <w:p w14:paraId="1C43198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536571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Residential Clothes Washers (Top Loading) Tier I </w:t>
            </w:r>
          </w:p>
        </w:tc>
        <w:tc>
          <w:tcPr>
            <w:tcW w:w="646" w:type="pct"/>
          </w:tcPr>
          <w:p w14:paraId="20B8A09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5F4BA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3/15/2015</w:t>
            </w:r>
          </w:p>
        </w:tc>
        <w:tc>
          <w:tcPr>
            <w:tcW w:w="962" w:type="pct"/>
          </w:tcPr>
          <w:p w14:paraId="78B252A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169556F" w14:textId="77777777" w:rsidTr="00110120">
        <w:tc>
          <w:tcPr>
            <w:tcW w:w="599" w:type="pct"/>
          </w:tcPr>
          <w:p w14:paraId="121E839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37AA0CA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Clothes Washers (Top Loading) Tier II</w:t>
            </w:r>
          </w:p>
        </w:tc>
        <w:tc>
          <w:tcPr>
            <w:tcW w:w="646" w:type="pct"/>
          </w:tcPr>
          <w:p w14:paraId="11B3EDE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685" w:type="pct"/>
          </w:tcPr>
          <w:p w14:paraId="3EBAC09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1D7A21A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5083063" w14:textId="77777777" w:rsidTr="00110120">
        <w:tc>
          <w:tcPr>
            <w:tcW w:w="599" w:type="pct"/>
          </w:tcPr>
          <w:p w14:paraId="70FF80C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14FB48A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Central AC, Heat Pumps and Furnaces</w:t>
            </w:r>
          </w:p>
        </w:tc>
        <w:tc>
          <w:tcPr>
            <w:tcW w:w="646" w:type="pct"/>
          </w:tcPr>
          <w:p w14:paraId="071EEEB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8B961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1/15/2015</w:t>
            </w:r>
          </w:p>
        </w:tc>
        <w:tc>
          <w:tcPr>
            <w:tcW w:w="962" w:type="pct"/>
          </w:tcPr>
          <w:p w14:paraId="0AD9EA8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70DE89D" w14:textId="77777777" w:rsidTr="00110120">
        <w:tc>
          <w:tcPr>
            <w:tcW w:w="599" w:type="pct"/>
          </w:tcPr>
          <w:p w14:paraId="063527E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4048658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External Power Supplies</w:t>
            </w:r>
          </w:p>
        </w:tc>
        <w:tc>
          <w:tcPr>
            <w:tcW w:w="646" w:type="pct"/>
          </w:tcPr>
          <w:p w14:paraId="346C47C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90BA0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2/10/2016</w:t>
            </w:r>
          </w:p>
        </w:tc>
        <w:tc>
          <w:tcPr>
            <w:tcW w:w="962" w:type="pct"/>
          </w:tcPr>
          <w:p w14:paraId="0E1A03B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342E434" w14:textId="77777777" w:rsidTr="00110120">
        <w:tc>
          <w:tcPr>
            <w:tcW w:w="599" w:type="pct"/>
          </w:tcPr>
          <w:p w14:paraId="0BA1940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0B94F0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Battery Chargers</w:t>
            </w:r>
          </w:p>
        </w:tc>
        <w:tc>
          <w:tcPr>
            <w:tcW w:w="646" w:type="pct"/>
          </w:tcPr>
          <w:p w14:paraId="701887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8056F9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6/13/2018</w:t>
            </w:r>
          </w:p>
        </w:tc>
        <w:tc>
          <w:tcPr>
            <w:tcW w:w="962" w:type="pct"/>
          </w:tcPr>
          <w:p w14:paraId="03976D2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72B2786" w14:textId="77777777" w:rsidTr="00110120">
        <w:tc>
          <w:tcPr>
            <w:tcW w:w="599" w:type="pct"/>
          </w:tcPr>
          <w:p w14:paraId="18398ED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7329697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Walk-in Coolers and Freezers (Door)</w:t>
            </w:r>
          </w:p>
        </w:tc>
        <w:tc>
          <w:tcPr>
            <w:tcW w:w="646" w:type="pct"/>
          </w:tcPr>
          <w:p w14:paraId="16BF6C7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8B01B1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6/5/2017</w:t>
            </w:r>
          </w:p>
        </w:tc>
        <w:tc>
          <w:tcPr>
            <w:tcW w:w="962" w:type="pct"/>
          </w:tcPr>
          <w:p w14:paraId="270B4A3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38BEBF9" w14:textId="77777777" w:rsidTr="00110120">
        <w:tc>
          <w:tcPr>
            <w:tcW w:w="599" w:type="pct"/>
          </w:tcPr>
          <w:p w14:paraId="4D98301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62790E0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Walk-in Coolers and Freezers (Systems)</w:t>
            </w:r>
          </w:p>
        </w:tc>
        <w:tc>
          <w:tcPr>
            <w:tcW w:w="646" w:type="pct"/>
          </w:tcPr>
          <w:p w14:paraId="591D48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536EF0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6/5/2017</w:t>
            </w:r>
          </w:p>
        </w:tc>
        <w:tc>
          <w:tcPr>
            <w:tcW w:w="962" w:type="pct"/>
          </w:tcPr>
          <w:p w14:paraId="6202E15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BC0EF12" w14:textId="77777777" w:rsidTr="00110120">
        <w:tc>
          <w:tcPr>
            <w:tcW w:w="599" w:type="pct"/>
          </w:tcPr>
          <w:p w14:paraId="49E884B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7838A2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Distribution Transformers</w:t>
            </w:r>
          </w:p>
        </w:tc>
        <w:tc>
          <w:tcPr>
            <w:tcW w:w="646" w:type="pct"/>
          </w:tcPr>
          <w:p w14:paraId="2FB23A3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3702DB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962" w:type="pct"/>
          </w:tcPr>
          <w:p w14:paraId="6196A83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5BEEEFC" w14:textId="77777777" w:rsidTr="00110120">
        <w:tc>
          <w:tcPr>
            <w:tcW w:w="599" w:type="pct"/>
          </w:tcPr>
          <w:p w14:paraId="63A0673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1BA5B05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 Equipment</w:t>
            </w:r>
          </w:p>
        </w:tc>
        <w:tc>
          <w:tcPr>
            <w:tcW w:w="646" w:type="pct"/>
          </w:tcPr>
          <w:p w14:paraId="3E6A7B8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612C5C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3/27/2017</w:t>
            </w:r>
          </w:p>
        </w:tc>
        <w:tc>
          <w:tcPr>
            <w:tcW w:w="962" w:type="pct"/>
          </w:tcPr>
          <w:p w14:paraId="693A89A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51959D5" w14:textId="77777777" w:rsidTr="00110120">
        <w:tc>
          <w:tcPr>
            <w:tcW w:w="599" w:type="pct"/>
          </w:tcPr>
          <w:p w14:paraId="08E2F8F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0674DC4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Metal Halide Lamp Fixtures</w:t>
            </w:r>
          </w:p>
        </w:tc>
        <w:tc>
          <w:tcPr>
            <w:tcW w:w="646" w:type="pct"/>
          </w:tcPr>
          <w:p w14:paraId="4C33D9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C205CF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2/10/2017</w:t>
            </w:r>
          </w:p>
        </w:tc>
        <w:tc>
          <w:tcPr>
            <w:tcW w:w="962" w:type="pct"/>
          </w:tcPr>
          <w:p w14:paraId="009AFE4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D21A06E" w14:textId="77777777" w:rsidTr="00110120">
        <w:tc>
          <w:tcPr>
            <w:tcW w:w="599" w:type="pct"/>
          </w:tcPr>
          <w:p w14:paraId="489826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0FFBBEE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Fluorescent Lamps #2</w:t>
            </w:r>
          </w:p>
        </w:tc>
        <w:tc>
          <w:tcPr>
            <w:tcW w:w="646" w:type="pct"/>
          </w:tcPr>
          <w:p w14:paraId="47D80BA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644983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1/26/2018</w:t>
            </w:r>
          </w:p>
        </w:tc>
        <w:tc>
          <w:tcPr>
            <w:tcW w:w="962" w:type="pct"/>
          </w:tcPr>
          <w:p w14:paraId="508FF11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DBA850A" w14:textId="77777777" w:rsidTr="00110120">
        <w:tc>
          <w:tcPr>
            <w:tcW w:w="599" w:type="pct"/>
          </w:tcPr>
          <w:p w14:paraId="4E146CF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00A4DA6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ASHRAE Products (Commercial boilers)</w:t>
            </w:r>
          </w:p>
        </w:tc>
        <w:tc>
          <w:tcPr>
            <w:tcW w:w="646" w:type="pct"/>
          </w:tcPr>
          <w:p w14:paraId="4F5B94B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685" w:type="pct"/>
          </w:tcPr>
          <w:p w14:paraId="0765B8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3/2/2012</w:t>
            </w:r>
          </w:p>
        </w:tc>
        <w:tc>
          <w:tcPr>
            <w:tcW w:w="962" w:type="pct"/>
          </w:tcPr>
          <w:p w14:paraId="646ABBF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A989EC7" w14:textId="77777777" w:rsidTr="00110120">
        <w:tc>
          <w:tcPr>
            <w:tcW w:w="599" w:type="pct"/>
          </w:tcPr>
          <w:p w14:paraId="278ED05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2CDA545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Air-Cooled Commercial Package ACs and HPs - Tier 1</w:t>
            </w:r>
          </w:p>
        </w:tc>
        <w:tc>
          <w:tcPr>
            <w:tcW w:w="646" w:type="pct"/>
          </w:tcPr>
          <w:p w14:paraId="4EE19D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06A4E5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494D03D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24E8B0F" w14:textId="77777777" w:rsidTr="00110120">
        <w:tc>
          <w:tcPr>
            <w:tcW w:w="599" w:type="pct"/>
          </w:tcPr>
          <w:p w14:paraId="3C100C1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4EAB9E8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Clothes Washers #2</w:t>
            </w:r>
          </w:p>
        </w:tc>
        <w:tc>
          <w:tcPr>
            <w:tcW w:w="646" w:type="pct"/>
          </w:tcPr>
          <w:p w14:paraId="28EC626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0F88C5D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962" w:type="pct"/>
          </w:tcPr>
          <w:p w14:paraId="0D1AA59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01C9139" w14:textId="77777777" w:rsidTr="00110120">
        <w:tc>
          <w:tcPr>
            <w:tcW w:w="599" w:type="pct"/>
          </w:tcPr>
          <w:p w14:paraId="2A39A10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7FE4716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Automatic Commercial Ice Makers</w:t>
            </w:r>
          </w:p>
        </w:tc>
        <w:tc>
          <w:tcPr>
            <w:tcW w:w="646" w:type="pct"/>
          </w:tcPr>
          <w:p w14:paraId="79E0262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2725ACE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1/28/2018</w:t>
            </w:r>
          </w:p>
        </w:tc>
        <w:tc>
          <w:tcPr>
            <w:tcW w:w="962" w:type="pct"/>
          </w:tcPr>
          <w:p w14:paraId="6B67971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B66AD53" w14:textId="77777777" w:rsidTr="00110120">
        <w:tc>
          <w:tcPr>
            <w:tcW w:w="599" w:type="pct"/>
          </w:tcPr>
          <w:p w14:paraId="62FBE3F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746648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Ceiling Fan Light Kits</w:t>
            </w:r>
          </w:p>
        </w:tc>
        <w:tc>
          <w:tcPr>
            <w:tcW w:w="646" w:type="pct"/>
          </w:tcPr>
          <w:p w14:paraId="12EB40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61C5F4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1/7/2019</w:t>
            </w:r>
          </w:p>
        </w:tc>
        <w:tc>
          <w:tcPr>
            <w:tcW w:w="962" w:type="pct"/>
          </w:tcPr>
          <w:p w14:paraId="6980C08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331E943" w14:textId="77777777" w:rsidTr="00110120">
        <w:tc>
          <w:tcPr>
            <w:tcW w:w="599" w:type="pct"/>
          </w:tcPr>
          <w:p w14:paraId="7D13F80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0220260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Beverage Vending Machines </w:t>
            </w:r>
          </w:p>
        </w:tc>
        <w:tc>
          <w:tcPr>
            <w:tcW w:w="646" w:type="pct"/>
          </w:tcPr>
          <w:p w14:paraId="266089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6075B63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1/8/2019</w:t>
            </w:r>
          </w:p>
        </w:tc>
        <w:tc>
          <w:tcPr>
            <w:tcW w:w="962" w:type="pct"/>
          </w:tcPr>
          <w:p w14:paraId="1EDD84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422C523" w14:textId="77777777" w:rsidTr="00110120">
        <w:tc>
          <w:tcPr>
            <w:tcW w:w="599" w:type="pct"/>
          </w:tcPr>
          <w:p w14:paraId="1CCE8E5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3B37D27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Pre-Rinse Spray Valves</w:t>
            </w:r>
          </w:p>
        </w:tc>
        <w:tc>
          <w:tcPr>
            <w:tcW w:w="646" w:type="pct"/>
          </w:tcPr>
          <w:p w14:paraId="6791C27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5DDD777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1/28/2019</w:t>
            </w:r>
          </w:p>
        </w:tc>
        <w:tc>
          <w:tcPr>
            <w:tcW w:w="962" w:type="pct"/>
          </w:tcPr>
          <w:p w14:paraId="143DDBB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2A45BE4" w14:textId="77777777" w:rsidTr="00110120">
        <w:tc>
          <w:tcPr>
            <w:tcW w:w="599" w:type="pct"/>
          </w:tcPr>
          <w:p w14:paraId="64F1986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23703BE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Furnace Fans</w:t>
            </w:r>
          </w:p>
        </w:tc>
        <w:tc>
          <w:tcPr>
            <w:tcW w:w="646" w:type="pct"/>
          </w:tcPr>
          <w:p w14:paraId="23B5CA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022BC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7/3/2019</w:t>
            </w:r>
          </w:p>
        </w:tc>
        <w:tc>
          <w:tcPr>
            <w:tcW w:w="962" w:type="pct"/>
          </w:tcPr>
          <w:p w14:paraId="1FB736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1EE0138" w14:textId="77777777" w:rsidTr="00110120">
        <w:tc>
          <w:tcPr>
            <w:tcW w:w="599" w:type="pct"/>
          </w:tcPr>
          <w:p w14:paraId="066613B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151038A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Dehumidifiers</w:t>
            </w:r>
          </w:p>
        </w:tc>
        <w:tc>
          <w:tcPr>
            <w:tcW w:w="646" w:type="pct"/>
          </w:tcPr>
          <w:p w14:paraId="2A5AA70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72C686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6/13/2019</w:t>
            </w:r>
          </w:p>
        </w:tc>
        <w:tc>
          <w:tcPr>
            <w:tcW w:w="962" w:type="pct"/>
          </w:tcPr>
          <w:p w14:paraId="451501A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A3A3D62" w14:textId="77777777" w:rsidTr="00110120">
        <w:tc>
          <w:tcPr>
            <w:tcW w:w="599" w:type="pct"/>
          </w:tcPr>
          <w:p w14:paraId="32B1A41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63F13C5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Single-Package Vertical ACs and HPs</w:t>
            </w:r>
          </w:p>
        </w:tc>
        <w:tc>
          <w:tcPr>
            <w:tcW w:w="646" w:type="pct"/>
          </w:tcPr>
          <w:p w14:paraId="38A550C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91843A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9/23/2019</w:t>
            </w:r>
          </w:p>
        </w:tc>
        <w:tc>
          <w:tcPr>
            <w:tcW w:w="962" w:type="pct"/>
          </w:tcPr>
          <w:p w14:paraId="72E805F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C0A9DCD" w14:textId="77777777" w:rsidTr="00110120">
        <w:tc>
          <w:tcPr>
            <w:tcW w:w="599" w:type="pct"/>
          </w:tcPr>
          <w:p w14:paraId="3751B24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431AAF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and Industrial Pumps</w:t>
            </w:r>
          </w:p>
        </w:tc>
        <w:tc>
          <w:tcPr>
            <w:tcW w:w="646" w:type="pct"/>
          </w:tcPr>
          <w:p w14:paraId="107940D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16B85F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1/27/2020</w:t>
            </w:r>
          </w:p>
        </w:tc>
        <w:tc>
          <w:tcPr>
            <w:tcW w:w="962" w:type="pct"/>
          </w:tcPr>
          <w:p w14:paraId="3A30C53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8D8A56B" w14:textId="77777777" w:rsidTr="00110120">
        <w:tc>
          <w:tcPr>
            <w:tcW w:w="599" w:type="pct"/>
          </w:tcPr>
          <w:p w14:paraId="3E54C4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51555E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Boilers</w:t>
            </w:r>
          </w:p>
        </w:tc>
        <w:tc>
          <w:tcPr>
            <w:tcW w:w="646" w:type="pct"/>
          </w:tcPr>
          <w:p w14:paraId="2E8D69C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021F5E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1/15/2021</w:t>
            </w:r>
          </w:p>
        </w:tc>
        <w:tc>
          <w:tcPr>
            <w:tcW w:w="962" w:type="pct"/>
          </w:tcPr>
          <w:p w14:paraId="08845C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CAB4E79" w14:textId="77777777" w:rsidTr="00110120">
        <w:tc>
          <w:tcPr>
            <w:tcW w:w="599" w:type="pct"/>
          </w:tcPr>
          <w:p w14:paraId="0A4EE2D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0F6108A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Furnaces</w:t>
            </w:r>
          </w:p>
        </w:tc>
        <w:tc>
          <w:tcPr>
            <w:tcW w:w="646" w:type="pct"/>
          </w:tcPr>
          <w:p w14:paraId="1895D18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692E5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1/1/2023</w:t>
            </w:r>
          </w:p>
        </w:tc>
        <w:tc>
          <w:tcPr>
            <w:tcW w:w="962" w:type="pct"/>
          </w:tcPr>
          <w:p w14:paraId="0C7697D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E6C4533" w14:textId="77777777" w:rsidTr="00110120">
        <w:tc>
          <w:tcPr>
            <w:tcW w:w="599" w:type="pct"/>
          </w:tcPr>
          <w:p w14:paraId="12EE431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59916A2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Air-Cooled Commercial Package ACs and HPs - Tier 2 (incremental to Tier 1)</w:t>
            </w:r>
          </w:p>
        </w:tc>
        <w:tc>
          <w:tcPr>
            <w:tcW w:w="646" w:type="pct"/>
          </w:tcPr>
          <w:p w14:paraId="3AA14F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5972CC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1/1/2023</w:t>
            </w:r>
          </w:p>
        </w:tc>
        <w:tc>
          <w:tcPr>
            <w:tcW w:w="962" w:type="pct"/>
          </w:tcPr>
          <w:p w14:paraId="242945E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516C7A7" w14:textId="77777777" w:rsidTr="00110120">
        <w:tc>
          <w:tcPr>
            <w:tcW w:w="599" w:type="pct"/>
          </w:tcPr>
          <w:p w14:paraId="7AA7A6E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0CBA723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Electric Motors</w:t>
            </w:r>
          </w:p>
        </w:tc>
        <w:tc>
          <w:tcPr>
            <w:tcW w:w="646" w:type="pct"/>
          </w:tcPr>
          <w:p w14:paraId="67BC65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4188D8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6/1/2016</w:t>
            </w:r>
          </w:p>
        </w:tc>
        <w:tc>
          <w:tcPr>
            <w:tcW w:w="962" w:type="pct"/>
          </w:tcPr>
          <w:p w14:paraId="39D7564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9C74D74" w14:textId="77777777" w:rsidTr="00110120">
        <w:tc>
          <w:tcPr>
            <w:tcW w:w="599" w:type="pct"/>
          </w:tcPr>
          <w:p w14:paraId="25F618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2108" w:type="pct"/>
          </w:tcPr>
          <w:p w14:paraId="6D270BF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Microwaves</w:t>
            </w:r>
          </w:p>
        </w:tc>
        <w:tc>
          <w:tcPr>
            <w:tcW w:w="646" w:type="pct"/>
          </w:tcPr>
          <w:p w14:paraId="0E031B1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2831F2E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6/17/2016</w:t>
            </w:r>
          </w:p>
        </w:tc>
        <w:tc>
          <w:tcPr>
            <w:tcW w:w="962" w:type="pct"/>
          </w:tcPr>
          <w:p w14:paraId="1F415E3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CADC242" w14:textId="77777777" w:rsidTr="00110120">
        <w:tc>
          <w:tcPr>
            <w:tcW w:w="599" w:type="pct"/>
          </w:tcPr>
          <w:p w14:paraId="5DF311D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51002F8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Time dependent valuation, Residential</w:t>
            </w:r>
          </w:p>
        </w:tc>
        <w:tc>
          <w:tcPr>
            <w:tcW w:w="646" w:type="pct"/>
          </w:tcPr>
          <w:p w14:paraId="0F2B76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685" w:type="pct"/>
          </w:tcPr>
          <w:p w14:paraId="11636D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2E68FC8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BF07C1B" w14:textId="77777777" w:rsidTr="00110120">
        <w:tc>
          <w:tcPr>
            <w:tcW w:w="599" w:type="pct"/>
          </w:tcPr>
          <w:p w14:paraId="01021C5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2005 T-24</w:t>
            </w:r>
          </w:p>
        </w:tc>
        <w:tc>
          <w:tcPr>
            <w:tcW w:w="2108" w:type="pct"/>
          </w:tcPr>
          <w:p w14:paraId="49052E0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Time dependent valuation, Nonresidential</w:t>
            </w:r>
          </w:p>
        </w:tc>
        <w:tc>
          <w:tcPr>
            <w:tcW w:w="646" w:type="pct"/>
          </w:tcPr>
          <w:p w14:paraId="66C4DF1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685" w:type="pct"/>
          </w:tcPr>
          <w:p w14:paraId="29AFABB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535C031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EA85B44" w14:textId="77777777" w:rsidTr="00110120">
        <w:tc>
          <w:tcPr>
            <w:tcW w:w="599" w:type="pct"/>
          </w:tcPr>
          <w:p w14:paraId="23D5C1F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5A80113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 Hardwired lighting</w:t>
            </w:r>
          </w:p>
        </w:tc>
        <w:tc>
          <w:tcPr>
            <w:tcW w:w="646" w:type="pct"/>
          </w:tcPr>
          <w:p w14:paraId="7E21C3B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113%</w:t>
            </w:r>
          </w:p>
        </w:tc>
        <w:tc>
          <w:tcPr>
            <w:tcW w:w="685" w:type="pct"/>
          </w:tcPr>
          <w:p w14:paraId="705F62E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1661528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D476CB8" w14:textId="77777777" w:rsidTr="00110120">
        <w:tc>
          <w:tcPr>
            <w:tcW w:w="599" w:type="pct"/>
          </w:tcPr>
          <w:p w14:paraId="0BC1FF1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2C6408D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Duct improvement</w:t>
            </w:r>
          </w:p>
        </w:tc>
        <w:tc>
          <w:tcPr>
            <w:tcW w:w="646" w:type="pct"/>
          </w:tcPr>
          <w:p w14:paraId="14B336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59%</w:t>
            </w:r>
          </w:p>
        </w:tc>
        <w:tc>
          <w:tcPr>
            <w:tcW w:w="685" w:type="pct"/>
          </w:tcPr>
          <w:p w14:paraId="3A42BBB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2D291CE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FF5C473" w14:textId="77777777" w:rsidTr="00110120">
        <w:tc>
          <w:tcPr>
            <w:tcW w:w="599" w:type="pct"/>
          </w:tcPr>
          <w:p w14:paraId="582280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3EA0B8F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Window replacement</w:t>
            </w:r>
          </w:p>
        </w:tc>
        <w:tc>
          <w:tcPr>
            <w:tcW w:w="646" w:type="pct"/>
          </w:tcPr>
          <w:p w14:paraId="36E43E3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80%</w:t>
            </w:r>
          </w:p>
        </w:tc>
        <w:tc>
          <w:tcPr>
            <w:tcW w:w="685" w:type="pct"/>
          </w:tcPr>
          <w:p w14:paraId="6D3361B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6738FAA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1A44BA3" w14:textId="77777777" w:rsidTr="00110120">
        <w:tc>
          <w:tcPr>
            <w:tcW w:w="599" w:type="pct"/>
          </w:tcPr>
          <w:p w14:paraId="627E1E1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1B54EF3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Lighting controls under skylights</w:t>
            </w:r>
          </w:p>
        </w:tc>
        <w:tc>
          <w:tcPr>
            <w:tcW w:w="646" w:type="pct"/>
          </w:tcPr>
          <w:p w14:paraId="2469AD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w:t>
            </w:r>
          </w:p>
        </w:tc>
        <w:tc>
          <w:tcPr>
            <w:tcW w:w="685" w:type="pct"/>
          </w:tcPr>
          <w:p w14:paraId="053015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20C4314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79983DB" w14:textId="77777777" w:rsidTr="00110120">
        <w:tc>
          <w:tcPr>
            <w:tcW w:w="599" w:type="pct"/>
          </w:tcPr>
          <w:p w14:paraId="36F67EF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2970850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Ducts in existing commercial buildings</w:t>
            </w:r>
          </w:p>
        </w:tc>
        <w:tc>
          <w:tcPr>
            <w:tcW w:w="646" w:type="pct"/>
          </w:tcPr>
          <w:p w14:paraId="5CACD84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75%</w:t>
            </w:r>
          </w:p>
        </w:tc>
        <w:tc>
          <w:tcPr>
            <w:tcW w:w="685" w:type="pct"/>
          </w:tcPr>
          <w:p w14:paraId="6DF106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5297761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B7DC070" w14:textId="77777777" w:rsidTr="00110120">
        <w:tc>
          <w:tcPr>
            <w:tcW w:w="599" w:type="pct"/>
          </w:tcPr>
          <w:p w14:paraId="776430F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59B652D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Cool roofs</w:t>
            </w:r>
          </w:p>
        </w:tc>
        <w:tc>
          <w:tcPr>
            <w:tcW w:w="646" w:type="pct"/>
          </w:tcPr>
          <w:p w14:paraId="42959C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75%</w:t>
            </w:r>
          </w:p>
        </w:tc>
        <w:tc>
          <w:tcPr>
            <w:tcW w:w="685" w:type="pct"/>
          </w:tcPr>
          <w:p w14:paraId="00A2183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6587F2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FFC247B" w14:textId="77777777" w:rsidTr="00110120">
        <w:tc>
          <w:tcPr>
            <w:tcW w:w="599" w:type="pct"/>
          </w:tcPr>
          <w:p w14:paraId="124C630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1780C5D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Relocatable classrooms</w:t>
            </w:r>
          </w:p>
        </w:tc>
        <w:tc>
          <w:tcPr>
            <w:tcW w:w="646" w:type="pct"/>
          </w:tcPr>
          <w:p w14:paraId="423179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685" w:type="pct"/>
          </w:tcPr>
          <w:p w14:paraId="7EFFD1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371AF37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5C31F64" w14:textId="77777777" w:rsidTr="00110120">
        <w:tc>
          <w:tcPr>
            <w:tcW w:w="599" w:type="pct"/>
          </w:tcPr>
          <w:p w14:paraId="2710584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391679B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Bi-level lighting control credits</w:t>
            </w:r>
          </w:p>
        </w:tc>
        <w:tc>
          <w:tcPr>
            <w:tcW w:w="646" w:type="pct"/>
          </w:tcPr>
          <w:p w14:paraId="2E488C5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79%</w:t>
            </w:r>
          </w:p>
        </w:tc>
        <w:tc>
          <w:tcPr>
            <w:tcW w:w="685" w:type="pct"/>
          </w:tcPr>
          <w:p w14:paraId="303BDE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03D9CE1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1C469A2" w14:textId="77777777" w:rsidTr="00110120">
        <w:tc>
          <w:tcPr>
            <w:tcW w:w="599" w:type="pct"/>
          </w:tcPr>
          <w:p w14:paraId="3998288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1D579DC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Duct testing/sealing in new commercial buildings</w:t>
            </w:r>
          </w:p>
        </w:tc>
        <w:tc>
          <w:tcPr>
            <w:tcW w:w="646" w:type="pct"/>
          </w:tcPr>
          <w:p w14:paraId="454CDA3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82%</w:t>
            </w:r>
          </w:p>
        </w:tc>
        <w:tc>
          <w:tcPr>
            <w:tcW w:w="685" w:type="pct"/>
          </w:tcPr>
          <w:p w14:paraId="305C8B0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694D9E7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A18357B" w14:textId="77777777" w:rsidTr="00110120">
        <w:tc>
          <w:tcPr>
            <w:tcW w:w="599" w:type="pct"/>
          </w:tcPr>
          <w:p w14:paraId="47154D1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173BFC2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Cooling tower applications</w:t>
            </w:r>
          </w:p>
        </w:tc>
        <w:tc>
          <w:tcPr>
            <w:tcW w:w="646" w:type="pct"/>
          </w:tcPr>
          <w:p w14:paraId="7345E50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88%</w:t>
            </w:r>
          </w:p>
        </w:tc>
        <w:tc>
          <w:tcPr>
            <w:tcW w:w="685" w:type="pct"/>
          </w:tcPr>
          <w:p w14:paraId="5B6FE4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6E8FB4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442C7F8" w14:textId="77777777" w:rsidTr="00110120">
        <w:tc>
          <w:tcPr>
            <w:tcW w:w="599" w:type="pct"/>
          </w:tcPr>
          <w:p w14:paraId="2DC85F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7B12734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Multifamily Water Heating</w:t>
            </w:r>
          </w:p>
        </w:tc>
        <w:tc>
          <w:tcPr>
            <w:tcW w:w="646" w:type="pct"/>
          </w:tcPr>
          <w:p w14:paraId="0DDC79E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78%</w:t>
            </w:r>
          </w:p>
        </w:tc>
        <w:tc>
          <w:tcPr>
            <w:tcW w:w="685" w:type="pct"/>
          </w:tcPr>
          <w:p w14:paraId="5E3C6A8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4ED09D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979D863" w14:textId="77777777" w:rsidTr="00110120">
        <w:tc>
          <w:tcPr>
            <w:tcW w:w="599" w:type="pct"/>
          </w:tcPr>
          <w:p w14:paraId="00FE50A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3769158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Composite for Remainder - Res</w:t>
            </w:r>
          </w:p>
        </w:tc>
        <w:tc>
          <w:tcPr>
            <w:tcW w:w="646" w:type="pct"/>
          </w:tcPr>
          <w:p w14:paraId="556B7D0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120%</w:t>
            </w:r>
          </w:p>
        </w:tc>
        <w:tc>
          <w:tcPr>
            <w:tcW w:w="685" w:type="pct"/>
          </w:tcPr>
          <w:p w14:paraId="17A7BE6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19400E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2CA2E01" w14:textId="77777777" w:rsidTr="00110120">
        <w:tc>
          <w:tcPr>
            <w:tcW w:w="599" w:type="pct"/>
          </w:tcPr>
          <w:p w14:paraId="626F20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5C31A8B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Composite for Remainder - Non-Res</w:t>
            </w:r>
          </w:p>
        </w:tc>
        <w:tc>
          <w:tcPr>
            <w:tcW w:w="646" w:type="pct"/>
          </w:tcPr>
          <w:p w14:paraId="7821B2C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685" w:type="pct"/>
          </w:tcPr>
          <w:p w14:paraId="3FD3FD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42C1E06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E1671AF" w14:textId="77777777" w:rsidTr="00110120">
        <w:tc>
          <w:tcPr>
            <w:tcW w:w="599" w:type="pct"/>
          </w:tcPr>
          <w:p w14:paraId="41538F6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3DB0BD8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Res New Construction (Electric)</w:t>
            </w:r>
          </w:p>
        </w:tc>
        <w:tc>
          <w:tcPr>
            <w:tcW w:w="646" w:type="pct"/>
          </w:tcPr>
          <w:p w14:paraId="4064BC5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120%</w:t>
            </w:r>
          </w:p>
        </w:tc>
        <w:tc>
          <w:tcPr>
            <w:tcW w:w="685" w:type="pct"/>
          </w:tcPr>
          <w:p w14:paraId="739A219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7B07320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F0B7D53" w14:textId="77777777" w:rsidTr="00110120">
        <w:tc>
          <w:tcPr>
            <w:tcW w:w="599" w:type="pct"/>
          </w:tcPr>
          <w:p w14:paraId="1E14234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05998F4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Non-Res New Construction (Electric)</w:t>
            </w:r>
          </w:p>
        </w:tc>
        <w:tc>
          <w:tcPr>
            <w:tcW w:w="646" w:type="pct"/>
          </w:tcPr>
          <w:p w14:paraId="6F19F9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685" w:type="pct"/>
          </w:tcPr>
          <w:p w14:paraId="5296956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75ED63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A483263" w14:textId="77777777" w:rsidTr="00110120">
        <w:tc>
          <w:tcPr>
            <w:tcW w:w="599" w:type="pct"/>
          </w:tcPr>
          <w:p w14:paraId="66D3AC6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6189975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Res New Construction (Gas)</w:t>
            </w:r>
          </w:p>
        </w:tc>
        <w:tc>
          <w:tcPr>
            <w:tcW w:w="646" w:type="pct"/>
          </w:tcPr>
          <w:p w14:paraId="767F35E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235%</w:t>
            </w:r>
          </w:p>
        </w:tc>
        <w:tc>
          <w:tcPr>
            <w:tcW w:w="685" w:type="pct"/>
          </w:tcPr>
          <w:p w14:paraId="094498B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27A3999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1E52209" w14:textId="77777777" w:rsidTr="00110120">
        <w:tc>
          <w:tcPr>
            <w:tcW w:w="599" w:type="pct"/>
          </w:tcPr>
          <w:p w14:paraId="4EC1D57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2108" w:type="pct"/>
          </w:tcPr>
          <w:p w14:paraId="7D26CD0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Non-Res New Construction (Gas)</w:t>
            </w:r>
          </w:p>
        </w:tc>
        <w:tc>
          <w:tcPr>
            <w:tcW w:w="646" w:type="pct"/>
          </w:tcPr>
          <w:p w14:paraId="5493A7F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685" w:type="pct"/>
          </w:tcPr>
          <w:p w14:paraId="3F9F40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962" w:type="pct"/>
          </w:tcPr>
          <w:p w14:paraId="5B8B16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EF6DFC5" w14:textId="77777777" w:rsidTr="00110120">
        <w:tc>
          <w:tcPr>
            <w:tcW w:w="599" w:type="pct"/>
          </w:tcPr>
          <w:p w14:paraId="4E57749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0C21472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Envelope insulation</w:t>
            </w:r>
          </w:p>
        </w:tc>
        <w:tc>
          <w:tcPr>
            <w:tcW w:w="646" w:type="pct"/>
          </w:tcPr>
          <w:p w14:paraId="73B2D89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123%</w:t>
            </w:r>
          </w:p>
        </w:tc>
        <w:tc>
          <w:tcPr>
            <w:tcW w:w="685" w:type="pct"/>
          </w:tcPr>
          <w:p w14:paraId="2F2CE3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6812A9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FD331FC" w14:textId="77777777" w:rsidTr="00110120">
        <w:tc>
          <w:tcPr>
            <w:tcW w:w="599" w:type="pct"/>
          </w:tcPr>
          <w:p w14:paraId="4FF363C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4746BF2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Overall Envelope Tradeoff</w:t>
            </w:r>
          </w:p>
        </w:tc>
        <w:tc>
          <w:tcPr>
            <w:tcW w:w="646" w:type="pct"/>
          </w:tcPr>
          <w:p w14:paraId="001F0A9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685" w:type="pct"/>
          </w:tcPr>
          <w:p w14:paraId="41E50B4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0AEEA24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1E4711F" w14:textId="77777777" w:rsidTr="00110120">
        <w:tc>
          <w:tcPr>
            <w:tcW w:w="599" w:type="pct"/>
          </w:tcPr>
          <w:p w14:paraId="64318E5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5C2EEBA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Skylighting</w:t>
            </w:r>
          </w:p>
        </w:tc>
        <w:tc>
          <w:tcPr>
            <w:tcW w:w="646" w:type="pct"/>
          </w:tcPr>
          <w:p w14:paraId="0F1296F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685" w:type="pct"/>
          </w:tcPr>
          <w:p w14:paraId="573772C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053A1FD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0582DF4" w14:textId="77777777" w:rsidTr="00110120">
        <w:tc>
          <w:tcPr>
            <w:tcW w:w="599" w:type="pct"/>
          </w:tcPr>
          <w:p w14:paraId="53D468F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16CB6FC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Sidelighting</w:t>
            </w:r>
          </w:p>
        </w:tc>
        <w:tc>
          <w:tcPr>
            <w:tcW w:w="646" w:type="pct"/>
          </w:tcPr>
          <w:p w14:paraId="158BC09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685" w:type="pct"/>
          </w:tcPr>
          <w:p w14:paraId="2D67590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70CE95D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7666A38" w14:textId="77777777" w:rsidTr="00110120">
        <w:tc>
          <w:tcPr>
            <w:tcW w:w="599" w:type="pct"/>
          </w:tcPr>
          <w:p w14:paraId="11E7CE6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04E6C47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Tailored Indoor lighting</w:t>
            </w:r>
          </w:p>
        </w:tc>
        <w:tc>
          <w:tcPr>
            <w:tcW w:w="646" w:type="pct"/>
          </w:tcPr>
          <w:p w14:paraId="240C3B7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573%</w:t>
            </w:r>
          </w:p>
        </w:tc>
        <w:tc>
          <w:tcPr>
            <w:tcW w:w="685" w:type="pct"/>
          </w:tcPr>
          <w:p w14:paraId="0452E2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7ACC36F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7C5C599" w14:textId="77777777" w:rsidTr="00110120">
        <w:tc>
          <w:tcPr>
            <w:tcW w:w="599" w:type="pct"/>
          </w:tcPr>
          <w:p w14:paraId="7F05A5C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16B6CA4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TDV Lighting Controls</w:t>
            </w:r>
          </w:p>
        </w:tc>
        <w:tc>
          <w:tcPr>
            <w:tcW w:w="646" w:type="pct"/>
          </w:tcPr>
          <w:p w14:paraId="7D7A8B6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685" w:type="pct"/>
          </w:tcPr>
          <w:p w14:paraId="61432C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691DD01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46D4A42" w14:textId="77777777" w:rsidTr="00110120">
        <w:tc>
          <w:tcPr>
            <w:tcW w:w="599" w:type="pct"/>
          </w:tcPr>
          <w:p w14:paraId="393A48F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0C0ED38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DR Indoor Lighting</w:t>
            </w:r>
          </w:p>
        </w:tc>
        <w:tc>
          <w:tcPr>
            <w:tcW w:w="646" w:type="pct"/>
          </w:tcPr>
          <w:p w14:paraId="2FD680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685" w:type="pct"/>
          </w:tcPr>
          <w:p w14:paraId="5300CB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609CA4D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360C6F9" w14:textId="77777777" w:rsidTr="00110120">
        <w:tc>
          <w:tcPr>
            <w:tcW w:w="599" w:type="pct"/>
          </w:tcPr>
          <w:p w14:paraId="1FC6CAF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28659C2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Outdoor Lighting</w:t>
            </w:r>
          </w:p>
        </w:tc>
        <w:tc>
          <w:tcPr>
            <w:tcW w:w="646" w:type="pct"/>
          </w:tcPr>
          <w:p w14:paraId="5D2575D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127815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639AC41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944C4B3" w14:textId="77777777" w:rsidTr="00110120">
        <w:tc>
          <w:tcPr>
            <w:tcW w:w="599" w:type="pct"/>
          </w:tcPr>
          <w:p w14:paraId="72BE1AF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021E68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Outdoor Signs</w:t>
            </w:r>
          </w:p>
        </w:tc>
        <w:tc>
          <w:tcPr>
            <w:tcW w:w="646" w:type="pct"/>
          </w:tcPr>
          <w:p w14:paraId="63A0A0C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4441C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63F7ECD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6C481F8" w14:textId="77777777" w:rsidTr="00110120">
        <w:tc>
          <w:tcPr>
            <w:tcW w:w="599" w:type="pct"/>
          </w:tcPr>
          <w:p w14:paraId="1E3AD86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528CA4E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Refrigerated warehouses</w:t>
            </w:r>
          </w:p>
        </w:tc>
        <w:tc>
          <w:tcPr>
            <w:tcW w:w="646" w:type="pct"/>
          </w:tcPr>
          <w:p w14:paraId="78A0438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74BA9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6CA025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B0AFB52" w14:textId="77777777" w:rsidTr="00110120">
        <w:tc>
          <w:tcPr>
            <w:tcW w:w="599" w:type="pct"/>
          </w:tcPr>
          <w:p w14:paraId="4BBAF68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5E8FDD4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DDC to Zone</w:t>
            </w:r>
          </w:p>
        </w:tc>
        <w:tc>
          <w:tcPr>
            <w:tcW w:w="646" w:type="pct"/>
          </w:tcPr>
          <w:p w14:paraId="5027BC0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685" w:type="pct"/>
          </w:tcPr>
          <w:p w14:paraId="1F6592A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16B8651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9D80829" w14:textId="77777777" w:rsidTr="00110120">
        <w:tc>
          <w:tcPr>
            <w:tcW w:w="599" w:type="pct"/>
          </w:tcPr>
          <w:p w14:paraId="2F585C1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6BD0EB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Swimming pool</w:t>
            </w:r>
          </w:p>
        </w:tc>
        <w:tc>
          <w:tcPr>
            <w:tcW w:w="646" w:type="pct"/>
          </w:tcPr>
          <w:p w14:paraId="48F5688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9B71A5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7/1/2010</w:t>
            </w:r>
          </w:p>
        </w:tc>
        <w:tc>
          <w:tcPr>
            <w:tcW w:w="962" w:type="pct"/>
          </w:tcPr>
          <w:p w14:paraId="507B6B8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931365" w14:textId="77777777" w:rsidTr="00110120">
        <w:tc>
          <w:tcPr>
            <w:tcW w:w="599" w:type="pct"/>
          </w:tcPr>
          <w:p w14:paraId="5FBDCDA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0F8697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Site Built Fenestration</w:t>
            </w:r>
          </w:p>
        </w:tc>
        <w:tc>
          <w:tcPr>
            <w:tcW w:w="646" w:type="pct"/>
          </w:tcPr>
          <w:p w14:paraId="3966F11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D3CA95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5B397D9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3B48770" w14:textId="77777777" w:rsidTr="00110120">
        <w:tc>
          <w:tcPr>
            <w:tcW w:w="599" w:type="pct"/>
          </w:tcPr>
          <w:p w14:paraId="705BDCD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0F34D59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Fenestration</w:t>
            </w:r>
          </w:p>
        </w:tc>
        <w:tc>
          <w:tcPr>
            <w:tcW w:w="646" w:type="pct"/>
          </w:tcPr>
          <w:p w14:paraId="78F2CA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54DEB1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7/1/2010</w:t>
            </w:r>
          </w:p>
        </w:tc>
        <w:tc>
          <w:tcPr>
            <w:tcW w:w="962" w:type="pct"/>
          </w:tcPr>
          <w:p w14:paraId="694052C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FD19540" w14:textId="77777777" w:rsidTr="00110120">
        <w:tc>
          <w:tcPr>
            <w:tcW w:w="599" w:type="pct"/>
          </w:tcPr>
          <w:p w14:paraId="1FBCCA2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28A3F45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Cool Roof Expansion</w:t>
            </w:r>
          </w:p>
        </w:tc>
        <w:tc>
          <w:tcPr>
            <w:tcW w:w="646" w:type="pct"/>
          </w:tcPr>
          <w:p w14:paraId="34E079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153%</w:t>
            </w:r>
          </w:p>
        </w:tc>
        <w:tc>
          <w:tcPr>
            <w:tcW w:w="685" w:type="pct"/>
          </w:tcPr>
          <w:p w14:paraId="2292C4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962" w:type="pct"/>
          </w:tcPr>
          <w:p w14:paraId="7390A9D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6DDF477" w14:textId="77777777" w:rsidTr="00110120">
        <w:tc>
          <w:tcPr>
            <w:tcW w:w="599" w:type="pct"/>
          </w:tcPr>
          <w:p w14:paraId="765765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11DB1B1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MF Water heating control</w:t>
            </w:r>
          </w:p>
        </w:tc>
        <w:tc>
          <w:tcPr>
            <w:tcW w:w="646" w:type="pct"/>
          </w:tcPr>
          <w:p w14:paraId="1DABB54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685" w:type="pct"/>
          </w:tcPr>
          <w:p w14:paraId="5F5514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962" w:type="pct"/>
          </w:tcPr>
          <w:p w14:paraId="5E1140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2B87D88" w14:textId="77777777" w:rsidTr="00110120">
        <w:tc>
          <w:tcPr>
            <w:tcW w:w="599" w:type="pct"/>
          </w:tcPr>
          <w:p w14:paraId="1BF84F2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200231F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IL Complete Building Method</w:t>
            </w:r>
          </w:p>
        </w:tc>
        <w:tc>
          <w:tcPr>
            <w:tcW w:w="646" w:type="pct"/>
          </w:tcPr>
          <w:p w14:paraId="0F428D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571%</w:t>
            </w:r>
          </w:p>
        </w:tc>
        <w:tc>
          <w:tcPr>
            <w:tcW w:w="685" w:type="pct"/>
          </w:tcPr>
          <w:p w14:paraId="0742A06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962" w:type="pct"/>
          </w:tcPr>
          <w:p w14:paraId="22109F3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B7B5DD4" w14:textId="77777777" w:rsidTr="00110120">
        <w:tc>
          <w:tcPr>
            <w:tcW w:w="599" w:type="pct"/>
          </w:tcPr>
          <w:p w14:paraId="2AB4BC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72C26BF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IL Area Category Method</w:t>
            </w:r>
          </w:p>
        </w:tc>
        <w:tc>
          <w:tcPr>
            <w:tcW w:w="646" w:type="pct"/>
          </w:tcPr>
          <w:p w14:paraId="27B465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569%</w:t>
            </w:r>
          </w:p>
        </w:tc>
        <w:tc>
          <w:tcPr>
            <w:tcW w:w="685" w:type="pct"/>
          </w:tcPr>
          <w:p w14:paraId="4E9875A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962" w:type="pct"/>
          </w:tcPr>
          <w:p w14:paraId="49E5AF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421F928" w14:textId="77777777" w:rsidTr="00110120">
        <w:tc>
          <w:tcPr>
            <w:tcW w:w="599" w:type="pct"/>
          </w:tcPr>
          <w:p w14:paraId="16CB384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0D3AC05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IL Egress Control</w:t>
            </w:r>
          </w:p>
        </w:tc>
        <w:tc>
          <w:tcPr>
            <w:tcW w:w="646" w:type="pct"/>
          </w:tcPr>
          <w:p w14:paraId="21F21E4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685" w:type="pct"/>
          </w:tcPr>
          <w:p w14:paraId="607F6A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962" w:type="pct"/>
          </w:tcPr>
          <w:p w14:paraId="1316FE2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908A146" w14:textId="77777777" w:rsidTr="00110120">
        <w:tc>
          <w:tcPr>
            <w:tcW w:w="599" w:type="pct"/>
          </w:tcPr>
          <w:p w14:paraId="56607A8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4E4A595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HVAC Efficiency</w:t>
            </w:r>
          </w:p>
        </w:tc>
        <w:tc>
          <w:tcPr>
            <w:tcW w:w="646" w:type="pct"/>
          </w:tcPr>
          <w:p w14:paraId="15529B4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685" w:type="pct"/>
          </w:tcPr>
          <w:p w14:paraId="1D1BB48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962" w:type="pct"/>
          </w:tcPr>
          <w:p w14:paraId="4AE89E2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EA81B68" w14:textId="77777777" w:rsidTr="00110120">
        <w:tc>
          <w:tcPr>
            <w:tcW w:w="599" w:type="pct"/>
          </w:tcPr>
          <w:p w14:paraId="3B1FE97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2108" w:type="pct"/>
          </w:tcPr>
          <w:p w14:paraId="524CA82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Res Cool Roofs</w:t>
            </w:r>
          </w:p>
        </w:tc>
        <w:tc>
          <w:tcPr>
            <w:tcW w:w="646" w:type="pct"/>
          </w:tcPr>
          <w:p w14:paraId="61DB37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1DDF2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962" w:type="pct"/>
          </w:tcPr>
          <w:p w14:paraId="2AA673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97AF51D" w14:textId="77777777" w:rsidTr="00110120">
        <w:tc>
          <w:tcPr>
            <w:tcW w:w="599" w:type="pct"/>
          </w:tcPr>
          <w:p w14:paraId="22303EB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2008 T-24</w:t>
            </w:r>
          </w:p>
        </w:tc>
        <w:tc>
          <w:tcPr>
            <w:tcW w:w="2108" w:type="pct"/>
          </w:tcPr>
          <w:p w14:paraId="2FE20B4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Res Central Fan WL</w:t>
            </w:r>
          </w:p>
        </w:tc>
        <w:tc>
          <w:tcPr>
            <w:tcW w:w="646" w:type="pct"/>
          </w:tcPr>
          <w:p w14:paraId="0DD884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663FCE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962" w:type="pct"/>
          </w:tcPr>
          <w:p w14:paraId="04EA3EE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5E79EDA" w14:textId="77777777" w:rsidTr="00110120">
        <w:tc>
          <w:tcPr>
            <w:tcW w:w="599" w:type="pct"/>
          </w:tcPr>
          <w:p w14:paraId="6D1A15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1CC80E6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NRA-Lighting-Alterations-New Measures</w:t>
            </w:r>
          </w:p>
        </w:tc>
        <w:tc>
          <w:tcPr>
            <w:tcW w:w="646" w:type="pct"/>
          </w:tcPr>
          <w:p w14:paraId="41DC344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7CEFC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1ABFA9F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17DFE30" w14:textId="77777777" w:rsidTr="00110120">
        <w:tc>
          <w:tcPr>
            <w:tcW w:w="599" w:type="pct"/>
          </w:tcPr>
          <w:p w14:paraId="61C5E74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046D06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NRA-Lighting-Alterations-Existing Measures</w:t>
            </w:r>
          </w:p>
        </w:tc>
        <w:tc>
          <w:tcPr>
            <w:tcW w:w="646" w:type="pct"/>
          </w:tcPr>
          <w:p w14:paraId="37B60D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5E2D30A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06AFCDF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432962C" w14:textId="77777777" w:rsidTr="00110120">
        <w:tc>
          <w:tcPr>
            <w:tcW w:w="599" w:type="pct"/>
          </w:tcPr>
          <w:p w14:paraId="798D2F6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38609CE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NRA-Lighting-Egress Lighting Control</w:t>
            </w:r>
          </w:p>
        </w:tc>
        <w:tc>
          <w:tcPr>
            <w:tcW w:w="646" w:type="pct"/>
          </w:tcPr>
          <w:p w14:paraId="6D70D23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C3C6E1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5557CBC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E967316" w14:textId="77777777" w:rsidTr="00110120">
        <w:tc>
          <w:tcPr>
            <w:tcW w:w="599" w:type="pct"/>
          </w:tcPr>
          <w:p w14:paraId="43B7E4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0D4963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NRA-Lighting-MF Building Corridors</w:t>
            </w:r>
          </w:p>
        </w:tc>
        <w:tc>
          <w:tcPr>
            <w:tcW w:w="646" w:type="pct"/>
          </w:tcPr>
          <w:p w14:paraId="76933C8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98505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4F2236A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B47F30D" w14:textId="77777777" w:rsidTr="00110120">
        <w:tc>
          <w:tcPr>
            <w:tcW w:w="599" w:type="pct"/>
          </w:tcPr>
          <w:p w14:paraId="1CCA007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C80973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NRA-Lighting-Hotel Corridors</w:t>
            </w:r>
          </w:p>
        </w:tc>
        <w:tc>
          <w:tcPr>
            <w:tcW w:w="646" w:type="pct"/>
          </w:tcPr>
          <w:p w14:paraId="3C37005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514C2C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2881167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2809F44" w14:textId="77777777" w:rsidTr="00110120">
        <w:tc>
          <w:tcPr>
            <w:tcW w:w="599" w:type="pct"/>
          </w:tcPr>
          <w:p w14:paraId="1244246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5B360F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NRA-Lighting-Warehouses and Libraries</w:t>
            </w:r>
          </w:p>
        </w:tc>
        <w:tc>
          <w:tcPr>
            <w:tcW w:w="646" w:type="pct"/>
          </w:tcPr>
          <w:p w14:paraId="440C4A5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68C9B0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7B24814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0CF5274" w14:textId="77777777" w:rsidTr="00110120">
        <w:tc>
          <w:tcPr>
            <w:tcW w:w="599" w:type="pct"/>
          </w:tcPr>
          <w:p w14:paraId="5B6AD4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C5913C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NRA-Envelope-Cool Roofs</w:t>
            </w:r>
          </w:p>
        </w:tc>
        <w:tc>
          <w:tcPr>
            <w:tcW w:w="646" w:type="pct"/>
          </w:tcPr>
          <w:p w14:paraId="7058F4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FA469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016312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543D4D2" w14:textId="77777777" w:rsidTr="00110120">
        <w:tc>
          <w:tcPr>
            <w:tcW w:w="599" w:type="pct"/>
          </w:tcPr>
          <w:p w14:paraId="3C9B186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5046B8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NRA-HVAC-Equipment Efficiency</w:t>
            </w:r>
          </w:p>
        </w:tc>
        <w:tc>
          <w:tcPr>
            <w:tcW w:w="646" w:type="pct"/>
          </w:tcPr>
          <w:p w14:paraId="359D1B4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672BCC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1657116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814779D" w14:textId="77777777" w:rsidTr="00110120">
        <w:tc>
          <w:tcPr>
            <w:tcW w:w="599" w:type="pct"/>
          </w:tcPr>
          <w:p w14:paraId="3648307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A7722B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NRA-Process-Air Compressors</w:t>
            </w:r>
          </w:p>
        </w:tc>
        <w:tc>
          <w:tcPr>
            <w:tcW w:w="646" w:type="pct"/>
          </w:tcPr>
          <w:p w14:paraId="177B7A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7221C4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72A2BC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FD06FBC" w14:textId="77777777" w:rsidTr="00110120">
        <w:tc>
          <w:tcPr>
            <w:tcW w:w="599" w:type="pct"/>
          </w:tcPr>
          <w:p w14:paraId="743DB3D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E2988A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NRNC-Lighting-Daylighting</w:t>
            </w:r>
          </w:p>
        </w:tc>
        <w:tc>
          <w:tcPr>
            <w:tcW w:w="646" w:type="pct"/>
          </w:tcPr>
          <w:p w14:paraId="1A6CACE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563247A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61F49A4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F4C6F35" w14:textId="77777777" w:rsidTr="00110120">
        <w:tc>
          <w:tcPr>
            <w:tcW w:w="599" w:type="pct"/>
          </w:tcPr>
          <w:p w14:paraId="7A5B717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11D9B5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NRNC-Lighting-Indoor Lighting Controls</w:t>
            </w:r>
          </w:p>
        </w:tc>
        <w:tc>
          <w:tcPr>
            <w:tcW w:w="646" w:type="pct"/>
          </w:tcPr>
          <w:p w14:paraId="07DDCEE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6357030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1C1CFE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6356713" w14:textId="77777777" w:rsidTr="00110120">
        <w:tc>
          <w:tcPr>
            <w:tcW w:w="599" w:type="pct"/>
          </w:tcPr>
          <w:p w14:paraId="5252F63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53BD153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NRNC-Lighting-Retail</w:t>
            </w:r>
          </w:p>
        </w:tc>
        <w:tc>
          <w:tcPr>
            <w:tcW w:w="646" w:type="pct"/>
          </w:tcPr>
          <w:p w14:paraId="17E2D7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480E6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100BF7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A2B3856" w14:textId="77777777" w:rsidTr="00110120">
        <w:tc>
          <w:tcPr>
            <w:tcW w:w="599" w:type="pct"/>
          </w:tcPr>
          <w:p w14:paraId="39C0064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16BE1C2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NRNC-Lighting-Egress Lighting Control</w:t>
            </w:r>
          </w:p>
        </w:tc>
        <w:tc>
          <w:tcPr>
            <w:tcW w:w="646" w:type="pct"/>
          </w:tcPr>
          <w:p w14:paraId="164BB54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17630D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5E3CB6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5FA0DAF" w14:textId="77777777" w:rsidTr="00110120">
        <w:tc>
          <w:tcPr>
            <w:tcW w:w="599" w:type="pct"/>
          </w:tcPr>
          <w:p w14:paraId="471D1F3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4342A6D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NRNC-Lighting-MF Building Corridors</w:t>
            </w:r>
          </w:p>
        </w:tc>
        <w:tc>
          <w:tcPr>
            <w:tcW w:w="646" w:type="pct"/>
          </w:tcPr>
          <w:p w14:paraId="6F07729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BC458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67F8AB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8752CE1" w14:textId="77777777" w:rsidTr="00110120">
        <w:tc>
          <w:tcPr>
            <w:tcW w:w="599" w:type="pct"/>
          </w:tcPr>
          <w:p w14:paraId="44EBE60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8E4E3F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NRNC-Lighting-Hotel Corridors</w:t>
            </w:r>
          </w:p>
        </w:tc>
        <w:tc>
          <w:tcPr>
            <w:tcW w:w="646" w:type="pct"/>
          </w:tcPr>
          <w:p w14:paraId="7009C4B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1CC2F0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51348F9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CC81906" w14:textId="77777777" w:rsidTr="00110120">
        <w:tc>
          <w:tcPr>
            <w:tcW w:w="599" w:type="pct"/>
          </w:tcPr>
          <w:p w14:paraId="7247A73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41E64C3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NRNC-Lighting-Warehouses and Libraries</w:t>
            </w:r>
          </w:p>
        </w:tc>
        <w:tc>
          <w:tcPr>
            <w:tcW w:w="646" w:type="pct"/>
          </w:tcPr>
          <w:p w14:paraId="3B0670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11DC4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6E1528B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0E767D6" w14:textId="77777777" w:rsidTr="00110120">
        <w:tc>
          <w:tcPr>
            <w:tcW w:w="599" w:type="pct"/>
          </w:tcPr>
          <w:p w14:paraId="6374DC0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152B265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NRNC-Lighting-Parking Garage</w:t>
            </w:r>
          </w:p>
        </w:tc>
        <w:tc>
          <w:tcPr>
            <w:tcW w:w="646" w:type="pct"/>
          </w:tcPr>
          <w:p w14:paraId="336A60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305BFC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5E9A4F7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0F871C9" w14:textId="77777777" w:rsidTr="00110120">
        <w:tc>
          <w:tcPr>
            <w:tcW w:w="599" w:type="pct"/>
          </w:tcPr>
          <w:p w14:paraId="2887744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F83B09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NRNC-Lighting-Controllable Lighting</w:t>
            </w:r>
          </w:p>
        </w:tc>
        <w:tc>
          <w:tcPr>
            <w:tcW w:w="646" w:type="pct"/>
          </w:tcPr>
          <w:p w14:paraId="2A1A559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F5164E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097F75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7E27CC7" w14:textId="77777777" w:rsidTr="00110120">
        <w:tc>
          <w:tcPr>
            <w:tcW w:w="599" w:type="pct"/>
          </w:tcPr>
          <w:p w14:paraId="36321A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3B22A30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NRNC-Lighting-DR Lighting Controls</w:t>
            </w:r>
          </w:p>
        </w:tc>
        <w:tc>
          <w:tcPr>
            <w:tcW w:w="646" w:type="pct"/>
          </w:tcPr>
          <w:p w14:paraId="3AD4773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3ED69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45E687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042B11B" w14:textId="77777777" w:rsidTr="00110120">
        <w:tc>
          <w:tcPr>
            <w:tcW w:w="599" w:type="pct"/>
          </w:tcPr>
          <w:p w14:paraId="06D9C14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AD8723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NRNC-Lighting-Outdoor Lighting &amp; Controls</w:t>
            </w:r>
          </w:p>
        </w:tc>
        <w:tc>
          <w:tcPr>
            <w:tcW w:w="646" w:type="pct"/>
          </w:tcPr>
          <w:p w14:paraId="0CA3B03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EAC9D1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3F12D3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DDF5D05" w14:textId="77777777" w:rsidTr="00110120">
        <w:tc>
          <w:tcPr>
            <w:tcW w:w="599" w:type="pct"/>
          </w:tcPr>
          <w:p w14:paraId="2991465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4544D9F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NRNC-Lighting-Office Plug Load Control</w:t>
            </w:r>
          </w:p>
        </w:tc>
        <w:tc>
          <w:tcPr>
            <w:tcW w:w="646" w:type="pct"/>
          </w:tcPr>
          <w:p w14:paraId="7D6AA87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FCD4E2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23CB45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7C2EC83" w14:textId="77777777" w:rsidTr="00110120">
        <w:tc>
          <w:tcPr>
            <w:tcW w:w="599" w:type="pct"/>
          </w:tcPr>
          <w:p w14:paraId="2D008CD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92806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NRNC-Envelope-Cool Roofs</w:t>
            </w:r>
          </w:p>
        </w:tc>
        <w:tc>
          <w:tcPr>
            <w:tcW w:w="646" w:type="pct"/>
          </w:tcPr>
          <w:p w14:paraId="5FA0436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246315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79E0950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7F4FC0E" w14:textId="77777777" w:rsidTr="00110120">
        <w:tc>
          <w:tcPr>
            <w:tcW w:w="599" w:type="pct"/>
          </w:tcPr>
          <w:p w14:paraId="4BF840D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DDD785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NRNC-Envelope-Fenestration</w:t>
            </w:r>
          </w:p>
        </w:tc>
        <w:tc>
          <w:tcPr>
            <w:tcW w:w="646" w:type="pct"/>
          </w:tcPr>
          <w:p w14:paraId="045E667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48DBA4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3C30D1F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4D1101D" w14:textId="77777777" w:rsidTr="00110120">
        <w:tc>
          <w:tcPr>
            <w:tcW w:w="599" w:type="pct"/>
          </w:tcPr>
          <w:p w14:paraId="4C76657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51EC7B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NRNC-HVAC-HVAC Controls and Economizers</w:t>
            </w:r>
          </w:p>
        </w:tc>
        <w:tc>
          <w:tcPr>
            <w:tcW w:w="646" w:type="pct"/>
          </w:tcPr>
          <w:p w14:paraId="38E18B2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FA3595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78A81F9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7A68555" w14:textId="77777777" w:rsidTr="00110120">
        <w:tc>
          <w:tcPr>
            <w:tcW w:w="599" w:type="pct"/>
          </w:tcPr>
          <w:p w14:paraId="4364192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225C73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NRNC-HVAC-Fan Control &amp; Economizers</w:t>
            </w:r>
          </w:p>
        </w:tc>
        <w:tc>
          <w:tcPr>
            <w:tcW w:w="646" w:type="pct"/>
          </w:tcPr>
          <w:p w14:paraId="2E59090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8BB853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3CF17F1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F2FC179" w14:textId="77777777" w:rsidTr="00110120">
        <w:tc>
          <w:tcPr>
            <w:tcW w:w="599" w:type="pct"/>
          </w:tcPr>
          <w:p w14:paraId="6A55C2C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71E2F4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NRNC-HVAC-Reduced Reheat</w:t>
            </w:r>
          </w:p>
        </w:tc>
        <w:tc>
          <w:tcPr>
            <w:tcW w:w="646" w:type="pct"/>
          </w:tcPr>
          <w:p w14:paraId="5C08683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9940E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4FF2C30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6DB9F87" w14:textId="77777777" w:rsidTr="00110120">
        <w:tc>
          <w:tcPr>
            <w:tcW w:w="599" w:type="pct"/>
          </w:tcPr>
          <w:p w14:paraId="561E1D1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5C4DF46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NRNC-HVAC-Guest Room OC Controls</w:t>
            </w:r>
          </w:p>
        </w:tc>
        <w:tc>
          <w:tcPr>
            <w:tcW w:w="646" w:type="pct"/>
          </w:tcPr>
          <w:p w14:paraId="35A634D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444F3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2430954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91AAA70" w14:textId="77777777" w:rsidTr="00110120">
        <w:tc>
          <w:tcPr>
            <w:tcW w:w="599" w:type="pct"/>
          </w:tcPr>
          <w:p w14:paraId="6283FCF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C8CAAE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NRNC-HVAC-Kitchen Ventilation</w:t>
            </w:r>
          </w:p>
        </w:tc>
        <w:tc>
          <w:tcPr>
            <w:tcW w:w="646" w:type="pct"/>
          </w:tcPr>
          <w:p w14:paraId="3B8566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7CAEB5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EB24C0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EC126AB" w14:textId="77777777" w:rsidTr="00110120">
        <w:tc>
          <w:tcPr>
            <w:tcW w:w="599" w:type="pct"/>
          </w:tcPr>
          <w:p w14:paraId="3F096FF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81A2C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NRNC-HVAC-Commercial Boilers</w:t>
            </w:r>
          </w:p>
        </w:tc>
        <w:tc>
          <w:tcPr>
            <w:tcW w:w="646" w:type="pct"/>
          </w:tcPr>
          <w:p w14:paraId="4F3A6F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FC6994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50F2695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58F7824" w14:textId="77777777" w:rsidTr="00110120">
        <w:tc>
          <w:tcPr>
            <w:tcW w:w="599" w:type="pct"/>
          </w:tcPr>
          <w:p w14:paraId="52F5610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A996ED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NRNC-HVAC-Chiller Min Efficiency</w:t>
            </w:r>
          </w:p>
        </w:tc>
        <w:tc>
          <w:tcPr>
            <w:tcW w:w="646" w:type="pct"/>
          </w:tcPr>
          <w:p w14:paraId="5B3EFC2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A5B9B1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475A7D8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B6BA5F1" w14:textId="77777777" w:rsidTr="00110120">
        <w:tc>
          <w:tcPr>
            <w:tcW w:w="599" w:type="pct"/>
          </w:tcPr>
          <w:p w14:paraId="1C00E8D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9F0C84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NRNC-HVAC-Garage Exhaust</w:t>
            </w:r>
          </w:p>
        </w:tc>
        <w:tc>
          <w:tcPr>
            <w:tcW w:w="646" w:type="pct"/>
          </w:tcPr>
          <w:p w14:paraId="554065F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295BA6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651E032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412515C" w14:textId="77777777" w:rsidTr="00110120">
        <w:tc>
          <w:tcPr>
            <w:tcW w:w="599" w:type="pct"/>
          </w:tcPr>
          <w:p w14:paraId="7BC9DFE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AA0449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NRNC-HVAC-Laboratory Exhaust</w:t>
            </w:r>
          </w:p>
        </w:tc>
        <w:tc>
          <w:tcPr>
            <w:tcW w:w="646" w:type="pct"/>
          </w:tcPr>
          <w:p w14:paraId="417519D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46C5E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C729D8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4F93D6D" w14:textId="77777777" w:rsidTr="00110120">
        <w:tc>
          <w:tcPr>
            <w:tcW w:w="599" w:type="pct"/>
          </w:tcPr>
          <w:p w14:paraId="6DC7FF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CB2083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NRNC-HVAC-Small ECM Motor</w:t>
            </w:r>
          </w:p>
        </w:tc>
        <w:tc>
          <w:tcPr>
            <w:tcW w:w="646" w:type="pct"/>
          </w:tcPr>
          <w:p w14:paraId="44F19C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40698B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C1D23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816D747" w14:textId="77777777" w:rsidTr="00110120">
        <w:tc>
          <w:tcPr>
            <w:tcW w:w="599" w:type="pct"/>
          </w:tcPr>
          <w:p w14:paraId="78B66D1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984EEA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NRNC-HVAC-Water &amp; Space Heating ACM</w:t>
            </w:r>
          </w:p>
        </w:tc>
        <w:tc>
          <w:tcPr>
            <w:tcW w:w="646" w:type="pct"/>
          </w:tcPr>
          <w:p w14:paraId="4BC4D6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5970AD7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52BC97C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957300F" w14:textId="77777777" w:rsidTr="00110120">
        <w:tc>
          <w:tcPr>
            <w:tcW w:w="599" w:type="pct"/>
          </w:tcPr>
          <w:p w14:paraId="0F4D848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BE2F32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NRNC-HVAC-Cooling Towers Water</w:t>
            </w:r>
          </w:p>
        </w:tc>
        <w:tc>
          <w:tcPr>
            <w:tcW w:w="646" w:type="pct"/>
          </w:tcPr>
          <w:p w14:paraId="3C98235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391D06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7BF5A21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3F82D8D" w14:textId="77777777" w:rsidTr="00110120">
        <w:tc>
          <w:tcPr>
            <w:tcW w:w="599" w:type="pct"/>
          </w:tcPr>
          <w:p w14:paraId="40DB66D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3C04690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NRNC-HVAC-Occupant Controlled Smart Thermostats</w:t>
            </w:r>
          </w:p>
        </w:tc>
        <w:tc>
          <w:tcPr>
            <w:tcW w:w="646" w:type="pct"/>
          </w:tcPr>
          <w:p w14:paraId="103EB44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50969CC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3D092C6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5CB8659" w14:textId="77777777" w:rsidTr="00110120">
        <w:tc>
          <w:tcPr>
            <w:tcW w:w="599" w:type="pct"/>
          </w:tcPr>
          <w:p w14:paraId="02F8496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A258DD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NRNC-HVAC-Low-Temp Radiant Cooling</w:t>
            </w:r>
          </w:p>
        </w:tc>
        <w:tc>
          <w:tcPr>
            <w:tcW w:w="646" w:type="pct"/>
          </w:tcPr>
          <w:p w14:paraId="5DBFA0F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B8EFA1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571E05A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ECAB35C" w14:textId="77777777" w:rsidTr="00110120">
        <w:tc>
          <w:tcPr>
            <w:tcW w:w="599" w:type="pct"/>
          </w:tcPr>
          <w:p w14:paraId="5BEDE46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505FA4E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NRNC-HVAC-Evap Cooling Credit</w:t>
            </w:r>
          </w:p>
        </w:tc>
        <w:tc>
          <w:tcPr>
            <w:tcW w:w="646" w:type="pct"/>
          </w:tcPr>
          <w:p w14:paraId="0046CE5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766F34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390384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D01827B" w14:textId="77777777" w:rsidTr="00110120">
        <w:tc>
          <w:tcPr>
            <w:tcW w:w="599" w:type="pct"/>
          </w:tcPr>
          <w:p w14:paraId="514FAE8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2013 T-24</w:t>
            </w:r>
          </w:p>
        </w:tc>
        <w:tc>
          <w:tcPr>
            <w:tcW w:w="2108" w:type="pct"/>
          </w:tcPr>
          <w:p w14:paraId="78E776A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NRNC-HVAC-Outside Air</w:t>
            </w:r>
          </w:p>
        </w:tc>
        <w:tc>
          <w:tcPr>
            <w:tcW w:w="646" w:type="pct"/>
          </w:tcPr>
          <w:p w14:paraId="62BF463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5EF6C29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3B94F82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1A25EB7" w14:textId="77777777" w:rsidTr="00110120">
        <w:tc>
          <w:tcPr>
            <w:tcW w:w="599" w:type="pct"/>
          </w:tcPr>
          <w:p w14:paraId="1DF7820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3B43014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NRNC-HVAC-Acceptance Requirements</w:t>
            </w:r>
          </w:p>
        </w:tc>
        <w:tc>
          <w:tcPr>
            <w:tcW w:w="646" w:type="pct"/>
          </w:tcPr>
          <w:p w14:paraId="149410D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F5746C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2243E48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93199B3" w14:textId="77777777" w:rsidTr="00110120">
        <w:tc>
          <w:tcPr>
            <w:tcW w:w="599" w:type="pct"/>
          </w:tcPr>
          <w:p w14:paraId="6D18663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5C1781E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NRNC-Refrigeration-Warehouse</w:t>
            </w:r>
          </w:p>
        </w:tc>
        <w:tc>
          <w:tcPr>
            <w:tcW w:w="646" w:type="pct"/>
          </w:tcPr>
          <w:p w14:paraId="0CE0A23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0BAE8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3D7C00A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C0C59F9" w14:textId="77777777" w:rsidTr="00110120">
        <w:tc>
          <w:tcPr>
            <w:tcW w:w="599" w:type="pct"/>
          </w:tcPr>
          <w:p w14:paraId="5EE2471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9CEEA4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NRNC-Refrigeration-Supermarket</w:t>
            </w:r>
          </w:p>
        </w:tc>
        <w:tc>
          <w:tcPr>
            <w:tcW w:w="646" w:type="pct"/>
          </w:tcPr>
          <w:p w14:paraId="01FE1E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CE5E32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6A474AC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1420CE6" w14:textId="77777777" w:rsidTr="00110120">
        <w:tc>
          <w:tcPr>
            <w:tcW w:w="599" w:type="pct"/>
          </w:tcPr>
          <w:p w14:paraId="10E47E0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28C37A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NRNC-Process-Process Boilers</w:t>
            </w:r>
          </w:p>
        </w:tc>
        <w:tc>
          <w:tcPr>
            <w:tcW w:w="646" w:type="pct"/>
          </w:tcPr>
          <w:p w14:paraId="6E3E936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1A9C4A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18E9828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791343A" w14:textId="77777777" w:rsidTr="00110120">
        <w:tc>
          <w:tcPr>
            <w:tcW w:w="599" w:type="pct"/>
          </w:tcPr>
          <w:p w14:paraId="6DF5BDC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77F510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NRNC-Process-Air Compressors</w:t>
            </w:r>
          </w:p>
        </w:tc>
        <w:tc>
          <w:tcPr>
            <w:tcW w:w="646" w:type="pct"/>
          </w:tcPr>
          <w:p w14:paraId="3A54D84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63FB02D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2FA928D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8A62EE8" w14:textId="77777777" w:rsidTr="00110120">
        <w:tc>
          <w:tcPr>
            <w:tcW w:w="599" w:type="pct"/>
          </w:tcPr>
          <w:p w14:paraId="688D404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DE8C2C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NRNC-Process-Data Centers</w:t>
            </w:r>
          </w:p>
        </w:tc>
        <w:tc>
          <w:tcPr>
            <w:tcW w:w="646" w:type="pct"/>
          </w:tcPr>
          <w:p w14:paraId="35845ED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23690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7240526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429EC95" w14:textId="77777777" w:rsidTr="00110120">
        <w:tc>
          <w:tcPr>
            <w:tcW w:w="599" w:type="pct"/>
          </w:tcPr>
          <w:p w14:paraId="0A624CE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82E075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NRNC-DHW - Hotel DHW Control and Solar</w:t>
            </w:r>
          </w:p>
        </w:tc>
        <w:tc>
          <w:tcPr>
            <w:tcW w:w="646" w:type="pct"/>
          </w:tcPr>
          <w:p w14:paraId="18DCC6B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68C004D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298591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381C02C" w14:textId="77777777" w:rsidTr="00110120">
        <w:tc>
          <w:tcPr>
            <w:tcW w:w="599" w:type="pct"/>
          </w:tcPr>
          <w:p w14:paraId="5765B0A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336A3B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NRNC-DHW-Solar Water Heating</w:t>
            </w:r>
          </w:p>
        </w:tc>
        <w:tc>
          <w:tcPr>
            <w:tcW w:w="646" w:type="pct"/>
          </w:tcPr>
          <w:p w14:paraId="1232EA3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650E2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280784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F4B2C6E" w14:textId="77777777" w:rsidTr="00110120">
        <w:tc>
          <w:tcPr>
            <w:tcW w:w="599" w:type="pct"/>
          </w:tcPr>
          <w:p w14:paraId="63B62B4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5EA8289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NRNC-Solar-Solar Ready</w:t>
            </w:r>
          </w:p>
        </w:tc>
        <w:tc>
          <w:tcPr>
            <w:tcW w:w="646" w:type="pct"/>
          </w:tcPr>
          <w:p w14:paraId="7429760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5A2CB1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155AF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F144D47" w14:textId="77777777" w:rsidTr="00110120">
        <w:tc>
          <w:tcPr>
            <w:tcW w:w="599" w:type="pct"/>
          </w:tcPr>
          <w:p w14:paraId="11F4522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50161F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NRNC-Whole Building</w:t>
            </w:r>
          </w:p>
        </w:tc>
        <w:tc>
          <w:tcPr>
            <w:tcW w:w="646" w:type="pct"/>
          </w:tcPr>
          <w:p w14:paraId="0117FD8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064D6E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5/1/2015</w:t>
            </w:r>
          </w:p>
        </w:tc>
        <w:tc>
          <w:tcPr>
            <w:tcW w:w="962" w:type="pct"/>
          </w:tcPr>
          <w:p w14:paraId="0794B5E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B7CE079" w14:textId="77777777" w:rsidTr="00110120">
        <w:tc>
          <w:tcPr>
            <w:tcW w:w="599" w:type="pct"/>
          </w:tcPr>
          <w:p w14:paraId="78E58ED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19A6DCC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RNC-Lighting</w:t>
            </w:r>
          </w:p>
        </w:tc>
        <w:tc>
          <w:tcPr>
            <w:tcW w:w="646" w:type="pct"/>
          </w:tcPr>
          <w:p w14:paraId="31716B9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6738F51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0F1E61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8993CC7" w14:textId="77777777" w:rsidTr="00110120">
        <w:tc>
          <w:tcPr>
            <w:tcW w:w="599" w:type="pct"/>
          </w:tcPr>
          <w:p w14:paraId="20BC4BC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2B34E7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RNC-Envelope-Wall Insulation</w:t>
            </w:r>
          </w:p>
        </w:tc>
        <w:tc>
          <w:tcPr>
            <w:tcW w:w="646" w:type="pct"/>
          </w:tcPr>
          <w:p w14:paraId="63D5B77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8EB5B4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18192B2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637600A" w14:textId="77777777" w:rsidTr="00110120">
        <w:tc>
          <w:tcPr>
            <w:tcW w:w="599" w:type="pct"/>
          </w:tcPr>
          <w:p w14:paraId="49BD6E5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33DF2F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RNC-Envelope-Fenestration</w:t>
            </w:r>
          </w:p>
        </w:tc>
        <w:tc>
          <w:tcPr>
            <w:tcW w:w="646" w:type="pct"/>
          </w:tcPr>
          <w:p w14:paraId="7A9EC9E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8B419B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704AF21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16788CC" w14:textId="77777777" w:rsidTr="00110120">
        <w:tc>
          <w:tcPr>
            <w:tcW w:w="599" w:type="pct"/>
          </w:tcPr>
          <w:p w14:paraId="156C0BE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D11F74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RNC-Envelope-Roof Envelope</w:t>
            </w:r>
          </w:p>
        </w:tc>
        <w:tc>
          <w:tcPr>
            <w:tcW w:w="646" w:type="pct"/>
          </w:tcPr>
          <w:p w14:paraId="6547845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3AD67C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2E72490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053007A" w14:textId="77777777" w:rsidTr="00110120">
        <w:tc>
          <w:tcPr>
            <w:tcW w:w="599" w:type="pct"/>
          </w:tcPr>
          <w:p w14:paraId="2BF7E75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073619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RNC-Envelope-Advanced Envelope</w:t>
            </w:r>
          </w:p>
        </w:tc>
        <w:tc>
          <w:tcPr>
            <w:tcW w:w="646" w:type="pct"/>
          </w:tcPr>
          <w:p w14:paraId="45743F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7A52FA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3721A21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54F05CF" w14:textId="77777777" w:rsidTr="00110120">
        <w:tc>
          <w:tcPr>
            <w:tcW w:w="599" w:type="pct"/>
          </w:tcPr>
          <w:p w14:paraId="2B4618C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3B3200B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RNC-HVAC-Whole House Fans</w:t>
            </w:r>
          </w:p>
        </w:tc>
        <w:tc>
          <w:tcPr>
            <w:tcW w:w="646" w:type="pct"/>
          </w:tcPr>
          <w:p w14:paraId="0852EFB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0C3C50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216B880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7FC9ED" w14:textId="77777777" w:rsidTr="00110120">
        <w:tc>
          <w:tcPr>
            <w:tcW w:w="599" w:type="pct"/>
          </w:tcPr>
          <w:p w14:paraId="339E9AA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6A106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RNC-HVAC-Zoned AC</w:t>
            </w:r>
          </w:p>
        </w:tc>
        <w:tc>
          <w:tcPr>
            <w:tcW w:w="646" w:type="pct"/>
          </w:tcPr>
          <w:p w14:paraId="4A7643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617320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32E648B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1C39B60" w14:textId="77777777" w:rsidTr="00110120">
        <w:tc>
          <w:tcPr>
            <w:tcW w:w="599" w:type="pct"/>
          </w:tcPr>
          <w:p w14:paraId="0C726D3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1CD4312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RNC-HVAC-Duct</w:t>
            </w:r>
          </w:p>
        </w:tc>
        <w:tc>
          <w:tcPr>
            <w:tcW w:w="646" w:type="pct"/>
          </w:tcPr>
          <w:p w14:paraId="136E165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15B961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3198E63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69F66F6" w14:textId="77777777" w:rsidTr="00110120">
        <w:tc>
          <w:tcPr>
            <w:tcW w:w="599" w:type="pct"/>
          </w:tcPr>
          <w:p w14:paraId="582C925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40F721A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RNC-HVAC - Refrigerant Charge</w:t>
            </w:r>
          </w:p>
        </w:tc>
        <w:tc>
          <w:tcPr>
            <w:tcW w:w="646" w:type="pct"/>
          </w:tcPr>
          <w:p w14:paraId="63D385F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4C673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0C3D4C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811A3C5" w14:textId="77777777" w:rsidTr="00110120">
        <w:tc>
          <w:tcPr>
            <w:tcW w:w="599" w:type="pct"/>
          </w:tcPr>
          <w:p w14:paraId="4C3DA95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496040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RNC-DHW-SF DHW</w:t>
            </w:r>
          </w:p>
        </w:tc>
        <w:tc>
          <w:tcPr>
            <w:tcW w:w="646" w:type="pct"/>
          </w:tcPr>
          <w:p w14:paraId="3A25A5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513DF24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50848C9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0F7AEC9" w14:textId="77777777" w:rsidTr="00110120">
        <w:tc>
          <w:tcPr>
            <w:tcW w:w="599" w:type="pct"/>
          </w:tcPr>
          <w:p w14:paraId="27C471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363645B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RNC-DHW - MF DHW Control and Solar</w:t>
            </w:r>
          </w:p>
        </w:tc>
        <w:tc>
          <w:tcPr>
            <w:tcW w:w="646" w:type="pct"/>
          </w:tcPr>
          <w:p w14:paraId="5B1DD8D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315B6D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4/1/2015</w:t>
            </w:r>
          </w:p>
        </w:tc>
        <w:tc>
          <w:tcPr>
            <w:tcW w:w="962" w:type="pct"/>
          </w:tcPr>
          <w:p w14:paraId="1314D33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6D0A9B3" w14:textId="77777777" w:rsidTr="00110120">
        <w:tc>
          <w:tcPr>
            <w:tcW w:w="599" w:type="pct"/>
          </w:tcPr>
          <w:p w14:paraId="58F92BA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A0BE52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RNC-DHW - High Efficiency Water Heater Ready </w:t>
            </w:r>
          </w:p>
        </w:tc>
        <w:tc>
          <w:tcPr>
            <w:tcW w:w="646" w:type="pct"/>
          </w:tcPr>
          <w:p w14:paraId="6562FA4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1298D2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5219E77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ACEA460" w14:textId="77777777" w:rsidTr="00110120">
        <w:tc>
          <w:tcPr>
            <w:tcW w:w="599" w:type="pct"/>
          </w:tcPr>
          <w:p w14:paraId="4E0B151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1A34DDC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RNC-DHW - Solar for Electrically Heated Homes</w:t>
            </w:r>
          </w:p>
        </w:tc>
        <w:tc>
          <w:tcPr>
            <w:tcW w:w="646" w:type="pct"/>
          </w:tcPr>
          <w:p w14:paraId="792C437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2257DA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635263E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38DEF5F" w14:textId="77777777" w:rsidTr="00110120">
        <w:tc>
          <w:tcPr>
            <w:tcW w:w="599" w:type="pct"/>
          </w:tcPr>
          <w:p w14:paraId="1484D77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474A829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RNC-Solar - Solar Ready &amp; Oriented Homes</w:t>
            </w:r>
          </w:p>
        </w:tc>
        <w:tc>
          <w:tcPr>
            <w:tcW w:w="646" w:type="pct"/>
          </w:tcPr>
          <w:p w14:paraId="1080A19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1C3E3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42F45C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B78723B" w14:textId="77777777" w:rsidTr="00110120">
        <w:tc>
          <w:tcPr>
            <w:tcW w:w="599" w:type="pct"/>
          </w:tcPr>
          <w:p w14:paraId="6724EAE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E5550A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RNC-SF Whole Building</w:t>
            </w:r>
          </w:p>
        </w:tc>
        <w:tc>
          <w:tcPr>
            <w:tcW w:w="646" w:type="pct"/>
          </w:tcPr>
          <w:p w14:paraId="7A03E63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2A4AE9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962" w:type="pct"/>
          </w:tcPr>
          <w:p w14:paraId="02CBB20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5C7B771" w14:textId="77777777" w:rsidTr="00110120">
        <w:tc>
          <w:tcPr>
            <w:tcW w:w="599" w:type="pct"/>
          </w:tcPr>
          <w:p w14:paraId="36C336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7A01E1A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RNC-MF Whole Building</w:t>
            </w:r>
          </w:p>
        </w:tc>
        <w:tc>
          <w:tcPr>
            <w:tcW w:w="646" w:type="pct"/>
          </w:tcPr>
          <w:p w14:paraId="353B32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B1FF40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4/1/2015</w:t>
            </w:r>
          </w:p>
        </w:tc>
        <w:tc>
          <w:tcPr>
            <w:tcW w:w="962" w:type="pct"/>
          </w:tcPr>
          <w:p w14:paraId="53E2258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AB379B0" w14:textId="77777777" w:rsidTr="00110120">
        <w:tc>
          <w:tcPr>
            <w:tcW w:w="599" w:type="pct"/>
          </w:tcPr>
          <w:p w14:paraId="79D5316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02D4537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RA-SF Whole Building</w:t>
            </w:r>
          </w:p>
        </w:tc>
        <w:tc>
          <w:tcPr>
            <w:tcW w:w="646" w:type="pct"/>
          </w:tcPr>
          <w:p w14:paraId="269203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AAF2CD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3D582C9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F50C854" w14:textId="77777777" w:rsidTr="00110120">
        <w:tc>
          <w:tcPr>
            <w:tcW w:w="599" w:type="pct"/>
          </w:tcPr>
          <w:p w14:paraId="525057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2108" w:type="pct"/>
          </w:tcPr>
          <w:p w14:paraId="6F2CB46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RA-MF Whole Building</w:t>
            </w:r>
          </w:p>
        </w:tc>
        <w:tc>
          <w:tcPr>
            <w:tcW w:w="646" w:type="pct"/>
          </w:tcPr>
          <w:p w14:paraId="2111E4E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46884EB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962" w:type="pct"/>
          </w:tcPr>
          <w:p w14:paraId="764064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403A1A2" w14:textId="77777777" w:rsidTr="00110120">
        <w:tc>
          <w:tcPr>
            <w:tcW w:w="599" w:type="pct"/>
          </w:tcPr>
          <w:p w14:paraId="7922033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28E2913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NRA-Lighting-Alterations</w:t>
            </w:r>
          </w:p>
        </w:tc>
        <w:tc>
          <w:tcPr>
            <w:tcW w:w="646" w:type="pct"/>
          </w:tcPr>
          <w:p w14:paraId="16E936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BCF74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962" w:type="pct"/>
          </w:tcPr>
          <w:p w14:paraId="30A98FE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3862D67" w14:textId="77777777" w:rsidTr="00110120">
        <w:tc>
          <w:tcPr>
            <w:tcW w:w="599" w:type="pct"/>
          </w:tcPr>
          <w:p w14:paraId="4A5CAD9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607BC5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NRA-Lighting-Outdoor Lighting Controls</w:t>
            </w:r>
          </w:p>
        </w:tc>
        <w:tc>
          <w:tcPr>
            <w:tcW w:w="646" w:type="pct"/>
          </w:tcPr>
          <w:p w14:paraId="07599A8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38A6C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962" w:type="pct"/>
          </w:tcPr>
          <w:p w14:paraId="4081EDA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E786134" w14:textId="77777777" w:rsidTr="00110120">
        <w:tc>
          <w:tcPr>
            <w:tcW w:w="599" w:type="pct"/>
          </w:tcPr>
          <w:p w14:paraId="5D88A22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5DC2AFC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NRA-Lighting-ASHRAE Measure-Elevator Lighting &amp; Ventilation</w:t>
            </w:r>
          </w:p>
        </w:tc>
        <w:tc>
          <w:tcPr>
            <w:tcW w:w="646" w:type="pct"/>
          </w:tcPr>
          <w:p w14:paraId="10DE42C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9B5A6B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962" w:type="pct"/>
          </w:tcPr>
          <w:p w14:paraId="08C87D3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F277B92" w14:textId="77777777" w:rsidTr="00110120">
        <w:tc>
          <w:tcPr>
            <w:tcW w:w="599" w:type="pct"/>
          </w:tcPr>
          <w:p w14:paraId="3B35C08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18282DE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NRA-Envelope-Opaque Wall (Roof Alterations)</w:t>
            </w:r>
          </w:p>
        </w:tc>
        <w:tc>
          <w:tcPr>
            <w:tcW w:w="646" w:type="pct"/>
          </w:tcPr>
          <w:p w14:paraId="58759A2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32A6F26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962" w:type="pct"/>
          </w:tcPr>
          <w:p w14:paraId="49AF24E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2852CD3" w14:textId="77777777" w:rsidTr="00110120">
        <w:tc>
          <w:tcPr>
            <w:tcW w:w="599" w:type="pct"/>
          </w:tcPr>
          <w:p w14:paraId="08BC7F1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426429D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NRA-HVAC-ASHRAE Measure-DDC</w:t>
            </w:r>
          </w:p>
        </w:tc>
        <w:tc>
          <w:tcPr>
            <w:tcW w:w="646" w:type="pct"/>
          </w:tcPr>
          <w:p w14:paraId="17A4DA9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A62BE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962" w:type="pct"/>
          </w:tcPr>
          <w:p w14:paraId="292E5BD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8A1B8DC" w14:textId="77777777" w:rsidTr="00110120">
        <w:tc>
          <w:tcPr>
            <w:tcW w:w="599" w:type="pct"/>
          </w:tcPr>
          <w:p w14:paraId="7A159A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29E5751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NRA-HVAC-ASHRAE Equipment Efficiency</w:t>
            </w:r>
          </w:p>
        </w:tc>
        <w:tc>
          <w:tcPr>
            <w:tcW w:w="646" w:type="pct"/>
          </w:tcPr>
          <w:p w14:paraId="62CA3B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36489F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962" w:type="pct"/>
          </w:tcPr>
          <w:p w14:paraId="430D19C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46A23CB" w14:textId="77777777" w:rsidTr="00110120">
        <w:tc>
          <w:tcPr>
            <w:tcW w:w="599" w:type="pct"/>
          </w:tcPr>
          <w:p w14:paraId="1F3DAF2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1C75663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NRA-Process-ASHRAE Measure-Escalator Speed Control</w:t>
            </w:r>
          </w:p>
        </w:tc>
        <w:tc>
          <w:tcPr>
            <w:tcW w:w="646" w:type="pct"/>
          </w:tcPr>
          <w:p w14:paraId="5EDE96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C31730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962" w:type="pct"/>
          </w:tcPr>
          <w:p w14:paraId="3015EE7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6488461" w14:textId="77777777" w:rsidTr="00110120">
        <w:tc>
          <w:tcPr>
            <w:tcW w:w="599" w:type="pct"/>
          </w:tcPr>
          <w:p w14:paraId="06EC176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2A4AE9D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NRNC-Whole Building</w:t>
            </w:r>
          </w:p>
        </w:tc>
        <w:tc>
          <w:tcPr>
            <w:tcW w:w="646" w:type="pct"/>
          </w:tcPr>
          <w:p w14:paraId="16FAB18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2A7883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10/1/2017</w:t>
            </w:r>
          </w:p>
        </w:tc>
        <w:tc>
          <w:tcPr>
            <w:tcW w:w="962" w:type="pct"/>
          </w:tcPr>
          <w:p w14:paraId="6C4B0D4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C4FAEC3" w14:textId="77777777" w:rsidTr="00110120">
        <w:tc>
          <w:tcPr>
            <w:tcW w:w="599" w:type="pct"/>
          </w:tcPr>
          <w:p w14:paraId="770B4A3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 xml:space="preserve">2016 T-24 </w:t>
            </w:r>
          </w:p>
        </w:tc>
        <w:tc>
          <w:tcPr>
            <w:tcW w:w="2108" w:type="pct"/>
          </w:tcPr>
          <w:p w14:paraId="072A022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RNC-Single Family Whole Building</w:t>
            </w:r>
          </w:p>
        </w:tc>
        <w:tc>
          <w:tcPr>
            <w:tcW w:w="646" w:type="pct"/>
          </w:tcPr>
          <w:p w14:paraId="71A28A8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3A96BD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962" w:type="pct"/>
          </w:tcPr>
          <w:p w14:paraId="159B927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304F578" w14:textId="77777777" w:rsidTr="00110120">
        <w:tc>
          <w:tcPr>
            <w:tcW w:w="599" w:type="pct"/>
          </w:tcPr>
          <w:p w14:paraId="67F0312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049A757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RNC-Multifamily Whole Building</w:t>
            </w:r>
          </w:p>
        </w:tc>
        <w:tc>
          <w:tcPr>
            <w:tcW w:w="646" w:type="pct"/>
          </w:tcPr>
          <w:p w14:paraId="349A31D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A7637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962" w:type="pct"/>
          </w:tcPr>
          <w:p w14:paraId="44357C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0168BF7" w14:textId="77777777" w:rsidTr="00110120">
        <w:tc>
          <w:tcPr>
            <w:tcW w:w="599" w:type="pct"/>
          </w:tcPr>
          <w:p w14:paraId="0049D0B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2AD9BBD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RA-Single Family Whole Building</w:t>
            </w:r>
          </w:p>
        </w:tc>
        <w:tc>
          <w:tcPr>
            <w:tcW w:w="646" w:type="pct"/>
          </w:tcPr>
          <w:p w14:paraId="7E076D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7DFA62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962" w:type="pct"/>
          </w:tcPr>
          <w:p w14:paraId="09AAFF7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5652877" w14:textId="77777777" w:rsidTr="00110120">
        <w:tc>
          <w:tcPr>
            <w:tcW w:w="599" w:type="pct"/>
          </w:tcPr>
          <w:p w14:paraId="7C04242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2108" w:type="pct"/>
          </w:tcPr>
          <w:p w14:paraId="45EBA01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RA-Multifamily Whole Building</w:t>
            </w:r>
          </w:p>
        </w:tc>
        <w:tc>
          <w:tcPr>
            <w:tcW w:w="646" w:type="pct"/>
          </w:tcPr>
          <w:p w14:paraId="7B699B8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D813A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962" w:type="pct"/>
          </w:tcPr>
          <w:p w14:paraId="019ED52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95CB6DB" w14:textId="77777777" w:rsidTr="00110120">
        <w:tc>
          <w:tcPr>
            <w:tcW w:w="599" w:type="pct"/>
          </w:tcPr>
          <w:p w14:paraId="54CE468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2019 T-24 </w:t>
            </w:r>
          </w:p>
        </w:tc>
        <w:tc>
          <w:tcPr>
            <w:tcW w:w="2108" w:type="pct"/>
          </w:tcPr>
          <w:p w14:paraId="0873B00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Single family NC</w:t>
            </w:r>
          </w:p>
        </w:tc>
        <w:tc>
          <w:tcPr>
            <w:tcW w:w="646" w:type="pct"/>
          </w:tcPr>
          <w:p w14:paraId="593515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648E31F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7/1/2020</w:t>
            </w:r>
          </w:p>
        </w:tc>
        <w:tc>
          <w:tcPr>
            <w:tcW w:w="962" w:type="pct"/>
          </w:tcPr>
          <w:p w14:paraId="3E20BF6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4A6D2040" w14:textId="77777777" w:rsidTr="00110120">
        <w:tc>
          <w:tcPr>
            <w:tcW w:w="599" w:type="pct"/>
          </w:tcPr>
          <w:p w14:paraId="44DFA58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2019 T-24 </w:t>
            </w:r>
          </w:p>
        </w:tc>
        <w:tc>
          <w:tcPr>
            <w:tcW w:w="2108" w:type="pct"/>
          </w:tcPr>
          <w:p w14:paraId="52DD3DA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Multi-family NC</w:t>
            </w:r>
          </w:p>
        </w:tc>
        <w:tc>
          <w:tcPr>
            <w:tcW w:w="646" w:type="pct"/>
          </w:tcPr>
          <w:p w14:paraId="0C93DA5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1F2BC97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9/1/2020</w:t>
            </w:r>
          </w:p>
        </w:tc>
        <w:tc>
          <w:tcPr>
            <w:tcW w:w="962" w:type="pct"/>
          </w:tcPr>
          <w:p w14:paraId="6DDCCB3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45EE7D07" w14:textId="77777777" w:rsidTr="00110120">
        <w:tc>
          <w:tcPr>
            <w:tcW w:w="599" w:type="pct"/>
          </w:tcPr>
          <w:p w14:paraId="577B09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2019 T-24 </w:t>
            </w:r>
          </w:p>
        </w:tc>
        <w:tc>
          <w:tcPr>
            <w:tcW w:w="2108" w:type="pct"/>
          </w:tcPr>
          <w:p w14:paraId="26207E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Nonres NC</w:t>
            </w:r>
          </w:p>
        </w:tc>
        <w:tc>
          <w:tcPr>
            <w:tcW w:w="646" w:type="pct"/>
          </w:tcPr>
          <w:p w14:paraId="47A0EE4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685" w:type="pct"/>
          </w:tcPr>
          <w:p w14:paraId="03E2F3F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10/1/2020</w:t>
            </w:r>
          </w:p>
        </w:tc>
        <w:tc>
          <w:tcPr>
            <w:tcW w:w="962" w:type="pct"/>
          </w:tcPr>
          <w:p w14:paraId="34B605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bl>
    <w:p w14:paraId="693F536D" w14:textId="77777777" w:rsidR="00146A54" w:rsidRDefault="00146A54" w:rsidP="00146A54"/>
    <w:p w14:paraId="3D706D4A" w14:textId="77777777" w:rsidR="008D4574" w:rsidRDefault="00B5177D" w:rsidP="008D4574">
      <w:r>
        <w:t xml:space="preserve">Table D-2 </w:t>
      </w:r>
      <w:r w:rsidR="008D4574">
        <w:t>specifies all standards that are assumed to be superseded by other standards.</w:t>
      </w:r>
    </w:p>
    <w:p w14:paraId="1D1D90EB" w14:textId="77777777" w:rsidR="008D4574" w:rsidRDefault="008D4574" w:rsidP="008D4574"/>
    <w:p w14:paraId="124D4377" w14:textId="77777777" w:rsidR="008D4574" w:rsidRPr="00B00224" w:rsidRDefault="00B5177D" w:rsidP="008D4574">
      <w:pPr>
        <w:pStyle w:val="Caption"/>
      </w:pPr>
      <w:bookmarkStart w:id="1036" w:name="_Toc482634239"/>
      <w:bookmarkStart w:id="1037" w:name="_Toc484436980"/>
      <w:bookmarkStart w:id="1038" w:name="_Toc485125616"/>
      <w:r>
        <w:t xml:space="preserve">Table </w:t>
      </w:r>
      <w:r w:rsidR="00272F76">
        <w:fldChar w:fldCharType="begin"/>
      </w:r>
      <w:r w:rsidR="00272F76">
        <w:instrText xml:space="preserve"> STYLEREF 5 \s </w:instrText>
      </w:r>
      <w:r w:rsidR="00272F76">
        <w:fldChar w:fldCharType="separate"/>
      </w:r>
      <w:r w:rsidR="00C407F4">
        <w:rPr>
          <w:noProof/>
        </w:rPr>
        <w:t>D</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2</w:t>
      </w:r>
      <w:r w:rsidR="00272F76">
        <w:rPr>
          <w:noProof/>
        </w:rPr>
        <w:fldChar w:fldCharType="end"/>
      </w:r>
      <w:r>
        <w:t xml:space="preserve">. </w:t>
      </w:r>
      <w:r w:rsidR="008D4574">
        <w:t>C&amp;S Superseded Codes and Standards</w:t>
      </w:r>
      <w:bookmarkEnd w:id="1036"/>
      <w:bookmarkEnd w:id="1037"/>
      <w:bookmarkEnd w:id="1038"/>
    </w:p>
    <w:p w14:paraId="3921F9A2" w14:textId="77777777" w:rsidR="008D4574" w:rsidRDefault="008D4574" w:rsidP="008D4574">
      <w:pPr>
        <w:overflowPunct w:val="0"/>
        <w:autoSpaceDE w:val="0"/>
        <w:autoSpaceDN w:val="0"/>
        <w:spacing w:before="4"/>
        <w:rPr>
          <w:b/>
          <w:bCs/>
          <w:sz w:val="3"/>
          <w:szCs w:val="3"/>
        </w:rPr>
      </w:pPr>
    </w:p>
    <w:tbl>
      <w:tblPr>
        <w:tblStyle w:val="EnergyTable1"/>
        <w:tblW w:w="9088" w:type="dxa"/>
        <w:tblLook w:val="04A0" w:firstRow="1" w:lastRow="0" w:firstColumn="1" w:lastColumn="0" w:noHBand="0" w:noVBand="1"/>
      </w:tblPr>
      <w:tblGrid>
        <w:gridCol w:w="3258"/>
        <w:gridCol w:w="3858"/>
        <w:gridCol w:w="1972"/>
      </w:tblGrid>
      <w:tr w:rsidR="008D4574" w:rsidRPr="00B00224" w14:paraId="2480DA24" w14:textId="77777777" w:rsidTr="00110120">
        <w:trPr>
          <w:cnfStyle w:val="100000000000" w:firstRow="1" w:lastRow="0" w:firstColumn="0" w:lastColumn="0" w:oddVBand="0" w:evenVBand="0" w:oddHBand="0"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3258" w:type="dxa"/>
            <w:hideMark/>
          </w:tcPr>
          <w:p w14:paraId="677287AD" w14:textId="77777777" w:rsidR="008D4574" w:rsidRPr="00483510" w:rsidRDefault="008D4574" w:rsidP="0069560C">
            <w:pPr>
              <w:overflowPunct w:val="0"/>
              <w:autoSpaceDE w:val="0"/>
              <w:autoSpaceDN w:val="0"/>
              <w:spacing w:before="25"/>
              <w:rPr>
                <w:rFonts w:ascii="Arial Narrow" w:hAnsi="Arial Narrow"/>
                <w:sz w:val="18"/>
                <w:szCs w:val="18"/>
              </w:rPr>
            </w:pPr>
            <w:r w:rsidRPr="00483510">
              <w:rPr>
                <w:rFonts w:ascii="Arial Narrow" w:hAnsi="Arial Narrow"/>
                <w:bCs/>
                <w:sz w:val="18"/>
                <w:szCs w:val="18"/>
              </w:rPr>
              <w:t>Superseded Code or Standard</w:t>
            </w:r>
          </w:p>
        </w:tc>
        <w:tc>
          <w:tcPr>
            <w:tcW w:w="3858" w:type="dxa"/>
            <w:hideMark/>
          </w:tcPr>
          <w:p w14:paraId="2FCBF128" w14:textId="77777777" w:rsidR="008D4574" w:rsidRPr="00483510" w:rsidRDefault="008D4574" w:rsidP="0069560C">
            <w:pPr>
              <w:overflowPunct w:val="0"/>
              <w:autoSpaceDE w:val="0"/>
              <w:autoSpaceDN w:val="0"/>
              <w:spacing w:before="2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83510">
              <w:rPr>
                <w:rFonts w:ascii="Arial Narrow" w:hAnsi="Arial Narrow"/>
                <w:bCs/>
                <w:sz w:val="18"/>
                <w:szCs w:val="18"/>
              </w:rPr>
              <w:t>Superseding Code or Standard</w:t>
            </w:r>
          </w:p>
        </w:tc>
        <w:tc>
          <w:tcPr>
            <w:tcW w:w="1972" w:type="dxa"/>
          </w:tcPr>
          <w:p w14:paraId="3DEF684B" w14:textId="77777777" w:rsidR="008D4574" w:rsidRPr="00483510" w:rsidRDefault="008D4574" w:rsidP="0069560C">
            <w:pPr>
              <w:overflowPunct w:val="0"/>
              <w:autoSpaceDE w:val="0"/>
              <w:autoSpaceDN w:val="0"/>
              <w:spacing w:before="25"/>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Source</w:t>
            </w:r>
          </w:p>
        </w:tc>
      </w:tr>
      <w:tr w:rsidR="008D4574" w:rsidRPr="00B00224" w14:paraId="0F97A32E" w14:textId="77777777" w:rsidTr="00110120">
        <w:trPr>
          <w:cnfStyle w:val="000000100000" w:firstRow="0" w:lastRow="0" w:firstColumn="0" w:lastColumn="0" w:oddVBand="0" w:evenVBand="0" w:oddHBand="1" w:evenHBand="0"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3258" w:type="dxa"/>
            <w:hideMark/>
          </w:tcPr>
          <w:p w14:paraId="7E3D6932"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Ice Maker Equipment</w:t>
            </w:r>
          </w:p>
        </w:tc>
        <w:tc>
          <w:tcPr>
            <w:tcW w:w="3858" w:type="dxa"/>
            <w:vAlign w:val="top"/>
            <w:hideMark/>
          </w:tcPr>
          <w:p w14:paraId="14F9A65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Automatic Commercial Ice Makers</w:t>
            </w:r>
          </w:p>
        </w:tc>
        <w:tc>
          <w:tcPr>
            <w:tcW w:w="1972" w:type="dxa"/>
            <w:vAlign w:val="top"/>
          </w:tcPr>
          <w:p w14:paraId="487019B9"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586AA582"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hideMark/>
          </w:tcPr>
          <w:p w14:paraId="475BCE70"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Dishwasher Pre-Rinse Spray Valves</w:t>
            </w:r>
          </w:p>
        </w:tc>
        <w:tc>
          <w:tcPr>
            <w:tcW w:w="3858" w:type="dxa"/>
            <w:vAlign w:val="top"/>
            <w:hideMark/>
          </w:tcPr>
          <w:p w14:paraId="280B7768"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Pre-Rinse Spray Valves</w:t>
            </w:r>
          </w:p>
        </w:tc>
        <w:tc>
          <w:tcPr>
            <w:tcW w:w="1972" w:type="dxa"/>
            <w:vAlign w:val="top"/>
          </w:tcPr>
          <w:p w14:paraId="5AF086A7"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62CB3B1C" w14:textId="77777777" w:rsidTr="00110120">
        <w:trPr>
          <w:cnfStyle w:val="000000100000" w:firstRow="0" w:lastRow="0" w:firstColumn="0" w:lastColumn="0" w:oddVBand="0" w:evenVBand="0" w:oddHBand="1" w:evenHBand="0"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3258" w:type="dxa"/>
            <w:vAlign w:val="top"/>
          </w:tcPr>
          <w:p w14:paraId="0E5C5B33"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Consumer Electronics - TVs</w:t>
            </w:r>
          </w:p>
        </w:tc>
        <w:tc>
          <w:tcPr>
            <w:tcW w:w="3858" w:type="dxa"/>
            <w:vAlign w:val="top"/>
          </w:tcPr>
          <w:p w14:paraId="08236762"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2009 T-20: Televisions - Tier 1</w:t>
            </w:r>
          </w:p>
        </w:tc>
        <w:tc>
          <w:tcPr>
            <w:tcW w:w="1972" w:type="dxa"/>
            <w:vAlign w:val="top"/>
          </w:tcPr>
          <w:p w14:paraId="5141C263"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71E5A81D"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29A797A3"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Refrigeration Equipment, Solid Door</w:t>
            </w:r>
          </w:p>
        </w:tc>
        <w:tc>
          <w:tcPr>
            <w:tcW w:w="3858" w:type="dxa"/>
            <w:vAlign w:val="top"/>
          </w:tcPr>
          <w:p w14:paraId="1D71025D"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1972" w:type="dxa"/>
            <w:vAlign w:val="top"/>
          </w:tcPr>
          <w:p w14:paraId="13745B77"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5FCDA42B"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126F501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Refrigeration Equipment, Transparent Door</w:t>
            </w:r>
          </w:p>
        </w:tc>
        <w:tc>
          <w:tcPr>
            <w:tcW w:w="3858" w:type="dxa"/>
            <w:vAlign w:val="top"/>
          </w:tcPr>
          <w:p w14:paraId="5360E11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1972" w:type="dxa"/>
            <w:vAlign w:val="top"/>
          </w:tcPr>
          <w:p w14:paraId="46A91669"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42ED1B02"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6F1FE048"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Ice Maker Equipment</w:t>
            </w:r>
          </w:p>
        </w:tc>
        <w:tc>
          <w:tcPr>
            <w:tcW w:w="3858" w:type="dxa"/>
            <w:vAlign w:val="top"/>
          </w:tcPr>
          <w:p w14:paraId="34EC221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1972" w:type="dxa"/>
            <w:vAlign w:val="top"/>
          </w:tcPr>
          <w:p w14:paraId="61E5AB65"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70959D25"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1D31E2FC"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Refrigerated Beverage Vending Machines</w:t>
            </w:r>
          </w:p>
        </w:tc>
        <w:tc>
          <w:tcPr>
            <w:tcW w:w="3858" w:type="dxa"/>
            <w:vAlign w:val="top"/>
          </w:tcPr>
          <w:p w14:paraId="1DDDAD6C"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Refrigerated Beverage Vending Machines</w:t>
            </w:r>
          </w:p>
        </w:tc>
        <w:tc>
          <w:tcPr>
            <w:tcW w:w="1972" w:type="dxa"/>
            <w:vAlign w:val="top"/>
          </w:tcPr>
          <w:p w14:paraId="5C52D3D6"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6267F642"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36BA7D91"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BR, ER and R20 Incandescent Reflector Lamps: Residential</w:t>
            </w:r>
          </w:p>
        </w:tc>
        <w:tc>
          <w:tcPr>
            <w:tcW w:w="3858" w:type="dxa"/>
            <w:vAlign w:val="top"/>
          </w:tcPr>
          <w:p w14:paraId="2B6FF786"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 xml:space="preserve">Fed Appliance: Incandescent Reflector Lamps </w:t>
            </w:r>
          </w:p>
        </w:tc>
        <w:tc>
          <w:tcPr>
            <w:tcW w:w="1972" w:type="dxa"/>
            <w:vAlign w:val="top"/>
          </w:tcPr>
          <w:p w14:paraId="01778CFA"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3EEB470D"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495F3EF5"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BR, ER and R20 Incandescent Reflector Lamps: Commercial</w:t>
            </w:r>
          </w:p>
        </w:tc>
        <w:tc>
          <w:tcPr>
            <w:tcW w:w="3858" w:type="dxa"/>
            <w:vAlign w:val="top"/>
          </w:tcPr>
          <w:p w14:paraId="65FF2168"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 xml:space="preserve">Fed Appliance: Incandescent Reflector Lamps </w:t>
            </w:r>
          </w:p>
        </w:tc>
        <w:tc>
          <w:tcPr>
            <w:tcW w:w="1972" w:type="dxa"/>
            <w:vAlign w:val="top"/>
          </w:tcPr>
          <w:p w14:paraId="07B17BE9"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2CF1991F"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63119A68"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#1</w:t>
            </w:r>
          </w:p>
        </w:tc>
        <w:tc>
          <w:tcPr>
            <w:tcW w:w="3858" w:type="dxa"/>
            <w:vAlign w:val="top"/>
          </w:tcPr>
          <w:p w14:paraId="355D7C12"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2008 T-20: General Purpose Lighting -- 100 watt</w:t>
            </w:r>
          </w:p>
        </w:tc>
        <w:tc>
          <w:tcPr>
            <w:tcW w:w="1972" w:type="dxa"/>
            <w:vAlign w:val="top"/>
          </w:tcPr>
          <w:p w14:paraId="5E6D94C8"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647AB74B"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4B8BF348"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#2</w:t>
            </w:r>
          </w:p>
        </w:tc>
        <w:tc>
          <w:tcPr>
            <w:tcW w:w="3858" w:type="dxa"/>
            <w:vAlign w:val="top"/>
          </w:tcPr>
          <w:p w14:paraId="5300F3C3"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2008 T-20: General Purpose Lighting -- 75 watt</w:t>
            </w:r>
          </w:p>
        </w:tc>
        <w:tc>
          <w:tcPr>
            <w:tcW w:w="1972" w:type="dxa"/>
            <w:vAlign w:val="top"/>
          </w:tcPr>
          <w:p w14:paraId="66945B2D"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10CFFD39"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52D6B24E"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#3</w:t>
            </w:r>
          </w:p>
        </w:tc>
        <w:tc>
          <w:tcPr>
            <w:tcW w:w="3858" w:type="dxa"/>
            <w:vAlign w:val="top"/>
          </w:tcPr>
          <w:p w14:paraId="1183300F"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2008 T-20: General Purpose Lighting -- 60 and 40 watt</w:t>
            </w:r>
          </w:p>
        </w:tc>
        <w:tc>
          <w:tcPr>
            <w:tcW w:w="1972" w:type="dxa"/>
            <w:vAlign w:val="top"/>
          </w:tcPr>
          <w:p w14:paraId="70D75B21"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088C088E"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16322D7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#1</w:t>
            </w:r>
          </w:p>
        </w:tc>
        <w:tc>
          <w:tcPr>
            <w:tcW w:w="3858" w:type="dxa"/>
            <w:vAlign w:val="top"/>
          </w:tcPr>
          <w:p w14:paraId="1E077CE3"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1972" w:type="dxa"/>
            <w:vAlign w:val="top"/>
          </w:tcPr>
          <w:p w14:paraId="204EC298"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65CF628B"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7F30E010"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#2</w:t>
            </w:r>
          </w:p>
        </w:tc>
        <w:tc>
          <w:tcPr>
            <w:tcW w:w="3858" w:type="dxa"/>
            <w:vAlign w:val="top"/>
          </w:tcPr>
          <w:p w14:paraId="1110B3A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1972" w:type="dxa"/>
            <w:vAlign w:val="top"/>
          </w:tcPr>
          <w:p w14:paraId="48C918F6"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4D5E3E9B"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60044BC8"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#3</w:t>
            </w:r>
          </w:p>
        </w:tc>
        <w:tc>
          <w:tcPr>
            <w:tcW w:w="3858" w:type="dxa"/>
            <w:vAlign w:val="top"/>
          </w:tcPr>
          <w:p w14:paraId="1FDC16F8"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1972" w:type="dxa"/>
            <w:vAlign w:val="top"/>
          </w:tcPr>
          <w:p w14:paraId="5969DD5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7A6DB8EC"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3394A9E2"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-- 100 watt</w:t>
            </w:r>
          </w:p>
        </w:tc>
        <w:tc>
          <w:tcPr>
            <w:tcW w:w="3858" w:type="dxa"/>
            <w:vAlign w:val="top"/>
          </w:tcPr>
          <w:p w14:paraId="69461A51"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1972" w:type="dxa"/>
            <w:vAlign w:val="top"/>
          </w:tcPr>
          <w:p w14:paraId="416C7FC0"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1AD4D045"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5E5C1D35"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-- 75 watt</w:t>
            </w:r>
          </w:p>
        </w:tc>
        <w:tc>
          <w:tcPr>
            <w:tcW w:w="3858" w:type="dxa"/>
            <w:vAlign w:val="top"/>
          </w:tcPr>
          <w:p w14:paraId="0ED9749D"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1972" w:type="dxa"/>
            <w:vAlign w:val="top"/>
          </w:tcPr>
          <w:p w14:paraId="475B7643"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2D08617F"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71469811"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-- 60 and 40 watt</w:t>
            </w:r>
          </w:p>
        </w:tc>
        <w:tc>
          <w:tcPr>
            <w:tcW w:w="3858" w:type="dxa"/>
            <w:vAlign w:val="top"/>
          </w:tcPr>
          <w:p w14:paraId="3C44BC70"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1972" w:type="dxa"/>
            <w:vAlign w:val="top"/>
          </w:tcPr>
          <w:p w14:paraId="33FDDCB2"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124CB841"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35910DE5"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lastRenderedPageBreak/>
              <w:t>2008 T-20: General Purpose Lighting -- 100 watt</w:t>
            </w:r>
          </w:p>
        </w:tc>
        <w:tc>
          <w:tcPr>
            <w:tcW w:w="3858" w:type="dxa"/>
            <w:vAlign w:val="top"/>
          </w:tcPr>
          <w:p w14:paraId="18CECBFB"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Future T-20: State-Regulated General Service Lamps – Tier II</w:t>
            </w:r>
          </w:p>
        </w:tc>
        <w:tc>
          <w:tcPr>
            <w:tcW w:w="1972" w:type="dxa"/>
            <w:vAlign w:val="top"/>
          </w:tcPr>
          <w:p w14:paraId="50742217"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3470DB72"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24455EAC"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-- 75 watt</w:t>
            </w:r>
          </w:p>
        </w:tc>
        <w:tc>
          <w:tcPr>
            <w:tcW w:w="3858" w:type="dxa"/>
            <w:vAlign w:val="top"/>
          </w:tcPr>
          <w:p w14:paraId="144DA3C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Future T-20: State-Regulated General Service Lamps – Tier II</w:t>
            </w:r>
          </w:p>
        </w:tc>
        <w:tc>
          <w:tcPr>
            <w:tcW w:w="1972" w:type="dxa"/>
            <w:vAlign w:val="top"/>
          </w:tcPr>
          <w:p w14:paraId="01910B73"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0086DD6F"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689F85BF"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-- 60 and 40 watt</w:t>
            </w:r>
          </w:p>
        </w:tc>
        <w:tc>
          <w:tcPr>
            <w:tcW w:w="3858" w:type="dxa"/>
            <w:vAlign w:val="top"/>
          </w:tcPr>
          <w:p w14:paraId="4ADAD3DB"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Future T-20: State-Regulated General Service Lamps – Tier II</w:t>
            </w:r>
          </w:p>
        </w:tc>
        <w:tc>
          <w:tcPr>
            <w:tcW w:w="1972" w:type="dxa"/>
            <w:vAlign w:val="top"/>
          </w:tcPr>
          <w:p w14:paraId="47FE4416"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2D110685" w14:textId="77777777" w:rsidTr="00110120">
        <w:trPr>
          <w:cnfStyle w:val="000000010000" w:firstRow="0" w:lastRow="0" w:firstColumn="0" w:lastColumn="0" w:oddVBand="0" w:evenVBand="0" w:oddHBand="0" w:evenHBand="1"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3258" w:type="dxa"/>
            <w:vAlign w:val="top"/>
          </w:tcPr>
          <w:p w14:paraId="50E98BD8"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Small Battery Chargers – Tier 1 (consumer with no USB charger or USB charger &lt;20 watt-hours)</w:t>
            </w:r>
          </w:p>
        </w:tc>
        <w:tc>
          <w:tcPr>
            <w:tcW w:w="3858" w:type="dxa"/>
            <w:vAlign w:val="top"/>
          </w:tcPr>
          <w:p w14:paraId="2AA6B0D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1972" w:type="dxa"/>
            <w:vAlign w:val="top"/>
          </w:tcPr>
          <w:p w14:paraId="57DBF9F5"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673B99D3"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0133DFF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Small Battery Chargers – Tier 2 (consumer with USB charger ≥20 watt-hours)</w:t>
            </w:r>
          </w:p>
        </w:tc>
        <w:tc>
          <w:tcPr>
            <w:tcW w:w="3858" w:type="dxa"/>
            <w:vAlign w:val="top"/>
          </w:tcPr>
          <w:p w14:paraId="3E24547C"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1972" w:type="dxa"/>
            <w:vAlign w:val="top"/>
          </w:tcPr>
          <w:p w14:paraId="12C9EAA6"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242D5CC7"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74892457"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Small Battery Chargers – Tier 3 (non-consumer)</w:t>
            </w:r>
          </w:p>
        </w:tc>
        <w:tc>
          <w:tcPr>
            <w:tcW w:w="3858" w:type="dxa"/>
            <w:vAlign w:val="top"/>
          </w:tcPr>
          <w:p w14:paraId="4C442500"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1972" w:type="dxa"/>
            <w:vAlign w:val="top"/>
          </w:tcPr>
          <w:p w14:paraId="6D4C5387"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5E09D357"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7B4D0625"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Large Battery Chargers (≥2kW rated input)</w:t>
            </w:r>
          </w:p>
        </w:tc>
        <w:tc>
          <w:tcPr>
            <w:tcW w:w="3858" w:type="dxa"/>
            <w:vAlign w:val="top"/>
          </w:tcPr>
          <w:p w14:paraId="54F1C110"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1972" w:type="dxa"/>
            <w:vAlign w:val="top"/>
          </w:tcPr>
          <w:p w14:paraId="598853F5"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76D00E76" w14:textId="77777777" w:rsidTr="00110120">
        <w:trPr>
          <w:cnfStyle w:val="000000010000" w:firstRow="0" w:lastRow="0" w:firstColumn="0" w:lastColumn="0" w:oddVBand="0" w:evenVBand="0" w:oddHBand="0" w:evenHBand="1"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3258" w:type="dxa"/>
            <w:vAlign w:val="top"/>
          </w:tcPr>
          <w:p w14:paraId="39FD9BAE"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2015 T-20: Residential Faucets &amp; Aerators - Lavatory w/ Natural Gas Water Heating  - Tier 1  (2.2 –1.5 gpm)</w:t>
            </w:r>
          </w:p>
        </w:tc>
        <w:tc>
          <w:tcPr>
            <w:tcW w:w="3858" w:type="dxa"/>
            <w:vAlign w:val="top"/>
          </w:tcPr>
          <w:p w14:paraId="514A2B57"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2016 T-20: Residential Faucets &amp; Aerators - Lavatory w/ Natural Gas Water Heating   - Tier 2  (1.5 –1.2 gpm)</w:t>
            </w:r>
          </w:p>
        </w:tc>
        <w:tc>
          <w:tcPr>
            <w:tcW w:w="1972" w:type="dxa"/>
            <w:vAlign w:val="top"/>
          </w:tcPr>
          <w:p w14:paraId="256D8D3C"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32D17CF7" w14:textId="77777777" w:rsidTr="0011012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3258" w:type="dxa"/>
            <w:vAlign w:val="top"/>
          </w:tcPr>
          <w:p w14:paraId="26C7B2A4"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2015 T-20: Residential Faucets &amp; Aerators - Lavatory w/ Electric Water Heating   - Tier 1  (2.2 –1.5 gpm)</w:t>
            </w:r>
          </w:p>
        </w:tc>
        <w:tc>
          <w:tcPr>
            <w:tcW w:w="3858" w:type="dxa"/>
            <w:vAlign w:val="top"/>
          </w:tcPr>
          <w:p w14:paraId="561CF519"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2016 T-20: Residential Faucets &amp; Aerators - Lavatory w/ Electric Water Heating - Tier 2  (1.5 –1.2 gpm)</w:t>
            </w:r>
          </w:p>
        </w:tc>
        <w:tc>
          <w:tcPr>
            <w:tcW w:w="1972" w:type="dxa"/>
            <w:vAlign w:val="top"/>
          </w:tcPr>
          <w:p w14:paraId="2FF3B0C7"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73287AF3" w14:textId="77777777" w:rsidTr="00110120">
        <w:trPr>
          <w:cnfStyle w:val="000000010000" w:firstRow="0" w:lastRow="0" w:firstColumn="0" w:lastColumn="0" w:oddVBand="0" w:evenVBand="0" w:oddHBand="0" w:evenHBand="1"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3258" w:type="dxa"/>
            <w:vAlign w:val="top"/>
          </w:tcPr>
          <w:p w14:paraId="29B3CBD3"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Electric Motors 1-200HP</w:t>
            </w:r>
          </w:p>
        </w:tc>
        <w:tc>
          <w:tcPr>
            <w:tcW w:w="3858" w:type="dxa"/>
            <w:vAlign w:val="top"/>
          </w:tcPr>
          <w:p w14:paraId="719F2B0D"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Electric Motors</w:t>
            </w:r>
          </w:p>
        </w:tc>
        <w:tc>
          <w:tcPr>
            <w:tcW w:w="1972" w:type="dxa"/>
            <w:vAlign w:val="top"/>
          </w:tcPr>
          <w:p w14:paraId="024383EB"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3B31801B"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7301BF67"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Refrigerated Beverage Vending Machines</w:t>
            </w:r>
          </w:p>
        </w:tc>
        <w:tc>
          <w:tcPr>
            <w:tcW w:w="3858" w:type="dxa"/>
            <w:vAlign w:val="top"/>
          </w:tcPr>
          <w:p w14:paraId="2518BE64"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 xml:space="preserve">Fed Appliance: Beverage Vending Machines </w:t>
            </w:r>
          </w:p>
        </w:tc>
        <w:tc>
          <w:tcPr>
            <w:tcW w:w="1972" w:type="dxa"/>
            <w:vAlign w:val="top"/>
          </w:tcPr>
          <w:p w14:paraId="414CD26D"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0F8522CC" w14:textId="77777777" w:rsidTr="00110120">
        <w:trPr>
          <w:cnfStyle w:val="000000010000" w:firstRow="0" w:lastRow="0" w:firstColumn="0" w:lastColumn="0" w:oddVBand="0" w:evenVBand="0" w:oddHBand="0" w:evenHBand="1"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3258" w:type="dxa"/>
            <w:vAlign w:val="top"/>
          </w:tcPr>
          <w:p w14:paraId="750C63D9"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3858" w:type="dxa"/>
            <w:vAlign w:val="top"/>
          </w:tcPr>
          <w:p w14:paraId="775F6614"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 Equipment</w:t>
            </w:r>
          </w:p>
        </w:tc>
        <w:tc>
          <w:tcPr>
            <w:tcW w:w="1972" w:type="dxa"/>
            <w:vAlign w:val="top"/>
          </w:tcPr>
          <w:p w14:paraId="21DBFCFC"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3E47F084"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01949806"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General Service Fluorescent Lamps #1</w:t>
            </w:r>
          </w:p>
        </w:tc>
        <w:tc>
          <w:tcPr>
            <w:tcW w:w="3858" w:type="dxa"/>
            <w:vAlign w:val="top"/>
          </w:tcPr>
          <w:p w14:paraId="3C98BC3A"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General Service Fluorescent Lamps #2</w:t>
            </w:r>
          </w:p>
        </w:tc>
        <w:tc>
          <w:tcPr>
            <w:tcW w:w="1972" w:type="dxa"/>
            <w:vAlign w:val="top"/>
          </w:tcPr>
          <w:p w14:paraId="4A79D0B1"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02520CF0"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68E2C61A"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Commercial Clothes Washers #1</w:t>
            </w:r>
          </w:p>
        </w:tc>
        <w:tc>
          <w:tcPr>
            <w:tcW w:w="3858" w:type="dxa"/>
            <w:vAlign w:val="top"/>
          </w:tcPr>
          <w:p w14:paraId="5ED6BE97"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Clothes Washers #2</w:t>
            </w:r>
          </w:p>
        </w:tc>
        <w:tc>
          <w:tcPr>
            <w:tcW w:w="1972" w:type="dxa"/>
            <w:vAlign w:val="top"/>
          </w:tcPr>
          <w:p w14:paraId="6F5A9D51"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21AE205A"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20C704DE"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Small Commercial Package Air-Conditioners ≥65 and &lt;135 kBtu/h</w:t>
            </w:r>
          </w:p>
        </w:tc>
        <w:tc>
          <w:tcPr>
            <w:tcW w:w="3858" w:type="dxa"/>
            <w:vAlign w:val="top"/>
          </w:tcPr>
          <w:p w14:paraId="0E127C8A"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Air-Cooled Commercial Package ACs and HPs - Tier 1</w:t>
            </w:r>
          </w:p>
        </w:tc>
        <w:tc>
          <w:tcPr>
            <w:tcW w:w="1972" w:type="dxa"/>
            <w:vAlign w:val="top"/>
          </w:tcPr>
          <w:p w14:paraId="764073F9"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50C885AD" w14:textId="77777777" w:rsidTr="00110120">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301BF124"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Large and Very Large Commercial Package Air-Conditioners ≥135 kBtu/h</w:t>
            </w:r>
          </w:p>
        </w:tc>
        <w:tc>
          <w:tcPr>
            <w:tcW w:w="3858" w:type="dxa"/>
            <w:vAlign w:val="top"/>
          </w:tcPr>
          <w:p w14:paraId="3AFEC0C1"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Air-Cooled Commercial Package ACs and HPs - Tier 1</w:t>
            </w:r>
          </w:p>
        </w:tc>
        <w:tc>
          <w:tcPr>
            <w:tcW w:w="1972" w:type="dxa"/>
            <w:vAlign w:val="top"/>
          </w:tcPr>
          <w:p w14:paraId="5A357B50"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06670B42" w14:textId="77777777" w:rsidTr="001101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3258" w:type="dxa"/>
            <w:vAlign w:val="top"/>
          </w:tcPr>
          <w:p w14:paraId="37BD20F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 xml:space="preserve">Fed Appliance: Residential Clothes Washers (Top Loading) Tier I </w:t>
            </w:r>
          </w:p>
        </w:tc>
        <w:tc>
          <w:tcPr>
            <w:tcW w:w="3858" w:type="dxa"/>
            <w:vAlign w:val="top"/>
          </w:tcPr>
          <w:p w14:paraId="6DA6FC92"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Residential Clothes Washers (Top Loading) Tier II</w:t>
            </w:r>
          </w:p>
        </w:tc>
        <w:tc>
          <w:tcPr>
            <w:tcW w:w="1972" w:type="dxa"/>
            <w:vAlign w:val="top"/>
          </w:tcPr>
          <w:p w14:paraId="3A346081"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bl>
    <w:p w14:paraId="3A27A703" w14:textId="77777777" w:rsidR="008D4574" w:rsidRPr="008D4574" w:rsidRDefault="008D4574" w:rsidP="008D4574"/>
    <w:p w14:paraId="1E3EF53C" w14:textId="77777777" w:rsidR="00181744" w:rsidRDefault="00181744" w:rsidP="00146A54">
      <w:pPr>
        <w:sectPr w:rsidR="00181744" w:rsidSect="00146A54">
          <w:pgSz w:w="12240" w:h="15840" w:code="1"/>
          <w:pgMar w:top="1440" w:right="1440" w:bottom="1440" w:left="1440" w:header="720" w:footer="720" w:gutter="0"/>
          <w:pgNumType w:start="1" w:chapStyle="5"/>
          <w:cols w:space="720"/>
          <w:docGrid w:linePitch="360"/>
        </w:sectPr>
      </w:pPr>
    </w:p>
    <w:p w14:paraId="7052BBC9" w14:textId="77777777" w:rsidR="00D92CC2" w:rsidRDefault="007352B2" w:rsidP="00D92CC2">
      <w:pPr>
        <w:pStyle w:val="Heading5"/>
      </w:pPr>
      <w:bookmarkStart w:id="1039" w:name="_Ref482611464"/>
      <w:bookmarkStart w:id="1040" w:name="_Toc482634319"/>
      <w:bookmarkStart w:id="1041" w:name="_Toc482626451"/>
      <w:bookmarkStart w:id="1042" w:name="_Toc484092527"/>
      <w:bookmarkStart w:id="1043" w:name="_Toc484172732"/>
      <w:bookmarkStart w:id="1044" w:name="_Toc484183079"/>
      <w:bookmarkStart w:id="1045" w:name="_Toc485126600"/>
      <w:r>
        <w:lastRenderedPageBreak/>
        <w:t xml:space="preserve">Ind/Ag </w:t>
      </w:r>
      <w:r w:rsidR="00D92CC2">
        <w:t>Generic Custom &amp; Emerging Technologies</w:t>
      </w:r>
      <w:bookmarkEnd w:id="1039"/>
      <w:bookmarkEnd w:id="1040"/>
      <w:bookmarkEnd w:id="1041"/>
      <w:bookmarkEnd w:id="1042"/>
      <w:bookmarkEnd w:id="1043"/>
      <w:bookmarkEnd w:id="1044"/>
      <w:bookmarkEnd w:id="1045"/>
    </w:p>
    <w:p w14:paraId="30FB08AE" w14:textId="77777777" w:rsidR="002A4C2F" w:rsidRDefault="007352B2" w:rsidP="002A4C2F">
      <w:pPr>
        <w:pStyle w:val="Heading6"/>
      </w:pPr>
      <w:bookmarkStart w:id="1046" w:name="_Toc484070673"/>
      <w:bookmarkStart w:id="1047" w:name="_Toc484092528"/>
      <w:bookmarkStart w:id="1048" w:name="_Toc484172733"/>
      <w:bookmarkStart w:id="1049" w:name="_Toc484183080"/>
      <w:bookmarkStart w:id="1050" w:name="_Toc485126601"/>
      <w:r>
        <w:t xml:space="preserve">Ind/Ag </w:t>
      </w:r>
      <w:r w:rsidR="002A4C2F">
        <w:t>Generic Custom Measure Forecast Methodology</w:t>
      </w:r>
      <w:bookmarkEnd w:id="1046"/>
      <w:bookmarkEnd w:id="1047"/>
      <w:bookmarkEnd w:id="1048"/>
      <w:bookmarkEnd w:id="1049"/>
      <w:bookmarkEnd w:id="1050"/>
    </w:p>
    <w:p w14:paraId="2988BC07" w14:textId="77777777" w:rsidR="007B26F3" w:rsidRPr="007B26F3" w:rsidRDefault="007B26F3" w:rsidP="007B26F3">
      <w:pPr>
        <w:rPr>
          <w:b/>
          <w:u w:val="single"/>
        </w:rPr>
      </w:pPr>
      <w:bookmarkStart w:id="1051" w:name="_Toc484070675"/>
      <w:r w:rsidRPr="007B26F3">
        <w:rPr>
          <w:b/>
          <w:u w:val="single"/>
        </w:rPr>
        <w:t xml:space="preserve">Summary </w:t>
      </w:r>
    </w:p>
    <w:p w14:paraId="7DA21096" w14:textId="77777777" w:rsidR="00B626F8" w:rsidRDefault="007B26F3" w:rsidP="007B26F3">
      <w:r>
        <w:t>Gener</w:t>
      </w:r>
      <w:r w:rsidR="00716C2B">
        <w:t>ic custom (GC) measures in the I</w:t>
      </w:r>
      <w:r>
        <w:t>ndustrial sector are projects that tend to be specific to an industry segment or production method. Table E-1 provides the inputs for the GC measures in the 201</w:t>
      </w:r>
      <w:r w:rsidR="00EE2626">
        <w:t>8 s</w:t>
      </w:r>
      <w:r>
        <w:t>tudy and the proceeding discussion details the assumptions and methodology used to derive these inputs.</w:t>
      </w:r>
    </w:p>
    <w:p w14:paraId="4D634599" w14:textId="77777777" w:rsidR="007B26F3" w:rsidRDefault="007B26F3" w:rsidP="007B26F3"/>
    <w:p w14:paraId="7471E934" w14:textId="77777777" w:rsidR="007B26F3" w:rsidRPr="00B57F57" w:rsidRDefault="007B26F3" w:rsidP="007B26F3">
      <w:pPr>
        <w:pStyle w:val="Caption"/>
        <w:rPr>
          <w:b w:val="0"/>
          <w:szCs w:val="24"/>
        </w:rPr>
      </w:pPr>
      <w:bookmarkStart w:id="1052" w:name="_Toc485125617"/>
      <w:r>
        <w:t xml:space="preserve">Table </w:t>
      </w:r>
      <w:r w:rsidR="00272F76">
        <w:fldChar w:fldCharType="begin"/>
      </w:r>
      <w:r w:rsidR="00272F76">
        <w:instrText xml:space="preserve"> STYLEREF 5 \s </w:instrText>
      </w:r>
      <w:r w:rsidR="00272F76">
        <w:fldChar w:fldCharType="separate"/>
      </w:r>
      <w:r w:rsidR="00C407F4">
        <w:rPr>
          <w:noProof/>
        </w:rPr>
        <w:t>E</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1</w:t>
      </w:r>
      <w:r w:rsidR="00272F76">
        <w:rPr>
          <w:noProof/>
        </w:rPr>
        <w:fldChar w:fldCharType="end"/>
      </w:r>
      <w:r>
        <w:t xml:space="preserve">. Industrial/Agriculture </w:t>
      </w:r>
      <w:r w:rsidR="00716C2B">
        <w:t>GC</w:t>
      </w:r>
      <w:r>
        <w:t xml:space="preserve"> - Key Assumptions</w:t>
      </w:r>
      <w:bookmarkEnd w:id="1052"/>
    </w:p>
    <w:tbl>
      <w:tblPr>
        <w:tblW w:w="9460" w:type="dxa"/>
        <w:jc w:val="center"/>
        <w:tblBorders>
          <w:bottom w:val="single" w:sz="8" w:space="0" w:color="555759"/>
          <w:insideH w:val="single" w:sz="4" w:space="0" w:color="DCDDDE"/>
        </w:tblBorders>
        <w:tblLayout w:type="fixed"/>
        <w:tblLook w:val="04A0" w:firstRow="1" w:lastRow="0" w:firstColumn="1" w:lastColumn="0" w:noHBand="0" w:noVBand="1"/>
      </w:tblPr>
      <w:tblGrid>
        <w:gridCol w:w="1107"/>
        <w:gridCol w:w="1652"/>
        <w:gridCol w:w="965"/>
        <w:gridCol w:w="1007"/>
        <w:gridCol w:w="1089"/>
        <w:gridCol w:w="925"/>
        <w:gridCol w:w="1364"/>
        <w:gridCol w:w="1351"/>
      </w:tblGrid>
      <w:tr w:rsidR="007B26F3" w:rsidRPr="007352B2" w14:paraId="499416DA" w14:textId="77777777" w:rsidTr="00ED04DD">
        <w:trPr>
          <w:cantSplit/>
          <w:trHeight w:val="180"/>
          <w:jc w:val="center"/>
        </w:trPr>
        <w:tc>
          <w:tcPr>
            <w:tcW w:w="1107" w:type="dxa"/>
            <w:vMerge w:val="restart"/>
            <w:tcBorders>
              <w:top w:val="nil"/>
              <w:left w:val="nil"/>
              <w:bottom w:val="single" w:sz="12" w:space="0" w:color="95D600"/>
              <w:right w:val="nil"/>
              <w:tl2br w:val="nil"/>
              <w:tr2bl w:val="nil"/>
            </w:tcBorders>
            <w:shd w:val="clear" w:color="auto" w:fill="555759"/>
            <w:vAlign w:val="center"/>
            <w:hideMark/>
          </w:tcPr>
          <w:p w14:paraId="510C5BF0"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Sector</w:t>
            </w:r>
          </w:p>
        </w:tc>
        <w:tc>
          <w:tcPr>
            <w:tcW w:w="1652" w:type="dxa"/>
            <w:vMerge w:val="restart"/>
            <w:tcBorders>
              <w:top w:val="nil"/>
              <w:left w:val="nil"/>
              <w:bottom w:val="single" w:sz="12" w:space="0" w:color="95D600"/>
              <w:right w:val="nil"/>
              <w:tl2br w:val="nil"/>
              <w:tr2bl w:val="nil"/>
            </w:tcBorders>
            <w:shd w:val="clear" w:color="auto" w:fill="555759"/>
            <w:vAlign w:val="center"/>
            <w:hideMark/>
          </w:tcPr>
          <w:p w14:paraId="622FDD54"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Type</w:t>
            </w:r>
          </w:p>
        </w:tc>
        <w:tc>
          <w:tcPr>
            <w:tcW w:w="965" w:type="dxa"/>
            <w:vMerge w:val="restart"/>
            <w:tcBorders>
              <w:top w:val="nil"/>
              <w:left w:val="nil"/>
              <w:bottom w:val="single" w:sz="12" w:space="0" w:color="95D600"/>
              <w:right w:val="nil"/>
              <w:tl2br w:val="nil"/>
              <w:tr2bl w:val="nil"/>
            </w:tcBorders>
            <w:shd w:val="clear" w:color="auto" w:fill="555759"/>
            <w:vAlign w:val="center"/>
            <w:hideMark/>
          </w:tcPr>
          <w:p w14:paraId="614AC2DE"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EUL years</w:t>
            </w:r>
          </w:p>
        </w:tc>
        <w:tc>
          <w:tcPr>
            <w:tcW w:w="2096" w:type="dxa"/>
            <w:gridSpan w:val="2"/>
            <w:tcBorders>
              <w:top w:val="nil"/>
              <w:left w:val="nil"/>
              <w:bottom w:val="single" w:sz="2" w:space="0" w:color="FFFFFF"/>
              <w:right w:val="nil"/>
              <w:tl2br w:val="nil"/>
              <w:tr2bl w:val="nil"/>
            </w:tcBorders>
            <w:shd w:val="clear" w:color="auto" w:fill="555759"/>
            <w:vAlign w:val="center"/>
            <w:hideMark/>
          </w:tcPr>
          <w:p w14:paraId="0C22B94F"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Savings</w:t>
            </w:r>
          </w:p>
        </w:tc>
        <w:tc>
          <w:tcPr>
            <w:tcW w:w="2289" w:type="dxa"/>
            <w:gridSpan w:val="2"/>
            <w:tcBorders>
              <w:top w:val="nil"/>
              <w:left w:val="nil"/>
              <w:bottom w:val="single" w:sz="2" w:space="0" w:color="FFFFFF"/>
              <w:right w:val="nil"/>
              <w:tl2br w:val="nil"/>
              <w:tr2bl w:val="nil"/>
            </w:tcBorders>
            <w:shd w:val="clear" w:color="auto" w:fill="555759"/>
            <w:vAlign w:val="center"/>
            <w:hideMark/>
          </w:tcPr>
          <w:p w14:paraId="2B2BCC70"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Cost</w:t>
            </w:r>
          </w:p>
        </w:tc>
        <w:tc>
          <w:tcPr>
            <w:tcW w:w="1351" w:type="dxa"/>
            <w:vMerge w:val="restart"/>
            <w:tcBorders>
              <w:top w:val="nil"/>
              <w:left w:val="nil"/>
              <w:bottom w:val="single" w:sz="12" w:space="0" w:color="95D600"/>
              <w:right w:val="nil"/>
              <w:tl2br w:val="nil"/>
              <w:tr2bl w:val="nil"/>
            </w:tcBorders>
            <w:shd w:val="clear" w:color="auto" w:fill="555759"/>
            <w:vAlign w:val="center"/>
            <w:hideMark/>
          </w:tcPr>
          <w:p w14:paraId="4A4EBC21"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kW/kWh Savings Ratio</w:t>
            </w:r>
          </w:p>
        </w:tc>
      </w:tr>
      <w:tr w:rsidR="007B26F3" w:rsidRPr="007352B2" w14:paraId="50867503" w14:textId="77777777" w:rsidTr="00ED04DD">
        <w:trPr>
          <w:cantSplit/>
          <w:trHeight w:val="88"/>
          <w:jc w:val="center"/>
        </w:trPr>
        <w:tc>
          <w:tcPr>
            <w:tcW w:w="1107" w:type="dxa"/>
            <w:vMerge/>
            <w:tcBorders>
              <w:bottom w:val="single" w:sz="12" w:space="0" w:color="95D600"/>
            </w:tcBorders>
            <w:shd w:val="clear" w:color="auto" w:fill="auto"/>
            <w:hideMark/>
          </w:tcPr>
          <w:p w14:paraId="513D935E" w14:textId="77777777" w:rsidR="007B26F3" w:rsidRPr="007352B2" w:rsidRDefault="007B26F3" w:rsidP="00EA3678">
            <w:pPr>
              <w:spacing w:before="40" w:after="40"/>
              <w:jc w:val="center"/>
              <w:rPr>
                <w:rFonts w:ascii="Arial Narrow" w:hAnsi="Arial Narrow"/>
                <w:sz w:val="18"/>
                <w:szCs w:val="18"/>
              </w:rPr>
            </w:pPr>
          </w:p>
        </w:tc>
        <w:tc>
          <w:tcPr>
            <w:tcW w:w="1652" w:type="dxa"/>
            <w:vMerge/>
            <w:tcBorders>
              <w:bottom w:val="single" w:sz="12" w:space="0" w:color="95D600"/>
            </w:tcBorders>
            <w:shd w:val="clear" w:color="auto" w:fill="auto"/>
            <w:hideMark/>
          </w:tcPr>
          <w:p w14:paraId="424B65C0" w14:textId="77777777" w:rsidR="007B26F3" w:rsidRPr="007352B2" w:rsidRDefault="007B26F3" w:rsidP="00EA3678">
            <w:pPr>
              <w:spacing w:before="40" w:after="40"/>
              <w:jc w:val="center"/>
              <w:rPr>
                <w:rFonts w:ascii="Arial Narrow" w:hAnsi="Arial Narrow"/>
                <w:sz w:val="18"/>
                <w:szCs w:val="18"/>
              </w:rPr>
            </w:pPr>
          </w:p>
        </w:tc>
        <w:tc>
          <w:tcPr>
            <w:tcW w:w="965" w:type="dxa"/>
            <w:vMerge/>
            <w:tcBorders>
              <w:bottom w:val="single" w:sz="12" w:space="0" w:color="95D600"/>
            </w:tcBorders>
            <w:shd w:val="clear" w:color="auto" w:fill="555759"/>
            <w:hideMark/>
          </w:tcPr>
          <w:p w14:paraId="618B401A" w14:textId="77777777" w:rsidR="007B26F3" w:rsidRPr="007352B2" w:rsidRDefault="007B26F3" w:rsidP="00EA3678">
            <w:pPr>
              <w:spacing w:before="40" w:after="40"/>
              <w:jc w:val="center"/>
              <w:rPr>
                <w:rFonts w:ascii="Arial Narrow" w:hAnsi="Arial Narrow"/>
                <w:sz w:val="18"/>
                <w:szCs w:val="18"/>
              </w:rPr>
            </w:pPr>
          </w:p>
        </w:tc>
        <w:tc>
          <w:tcPr>
            <w:tcW w:w="1007" w:type="dxa"/>
            <w:tcBorders>
              <w:top w:val="single" w:sz="2" w:space="0" w:color="FFFFFF"/>
              <w:bottom w:val="single" w:sz="12" w:space="0" w:color="95D600"/>
            </w:tcBorders>
            <w:shd w:val="clear" w:color="auto" w:fill="555759"/>
            <w:vAlign w:val="center"/>
            <w:hideMark/>
          </w:tcPr>
          <w:p w14:paraId="36271EFB"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089" w:type="dxa"/>
            <w:tcBorders>
              <w:top w:val="single" w:sz="2" w:space="0" w:color="FFFFFF"/>
              <w:bottom w:val="single" w:sz="12" w:space="0" w:color="95D600"/>
            </w:tcBorders>
            <w:shd w:val="clear" w:color="auto" w:fill="555759"/>
            <w:vAlign w:val="center"/>
            <w:hideMark/>
          </w:tcPr>
          <w:p w14:paraId="15DC4E7D"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925" w:type="dxa"/>
            <w:tcBorders>
              <w:top w:val="single" w:sz="2" w:space="0" w:color="FFFFFF"/>
              <w:bottom w:val="single" w:sz="12" w:space="0" w:color="95D600"/>
            </w:tcBorders>
            <w:shd w:val="clear" w:color="auto" w:fill="555759"/>
            <w:vAlign w:val="center"/>
            <w:hideMark/>
          </w:tcPr>
          <w:p w14:paraId="3FBBD9F1"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363" w:type="dxa"/>
            <w:tcBorders>
              <w:top w:val="single" w:sz="2" w:space="0" w:color="FFFFFF"/>
              <w:bottom w:val="single" w:sz="12" w:space="0" w:color="95D600"/>
            </w:tcBorders>
            <w:shd w:val="clear" w:color="auto" w:fill="555759"/>
            <w:vAlign w:val="center"/>
            <w:hideMark/>
          </w:tcPr>
          <w:p w14:paraId="24A4C5CC"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1351" w:type="dxa"/>
            <w:vMerge/>
            <w:tcBorders>
              <w:bottom w:val="single" w:sz="12" w:space="0" w:color="95D600"/>
            </w:tcBorders>
            <w:shd w:val="clear" w:color="auto" w:fill="auto"/>
            <w:hideMark/>
          </w:tcPr>
          <w:p w14:paraId="6044F561" w14:textId="77777777" w:rsidR="007B26F3" w:rsidRPr="007352B2" w:rsidRDefault="007B26F3" w:rsidP="00EA3678">
            <w:pPr>
              <w:spacing w:before="40" w:after="40"/>
              <w:jc w:val="center"/>
              <w:rPr>
                <w:rFonts w:ascii="Arial Narrow" w:hAnsi="Arial Narrow"/>
                <w:sz w:val="18"/>
                <w:szCs w:val="18"/>
              </w:rPr>
            </w:pPr>
          </w:p>
        </w:tc>
      </w:tr>
      <w:tr w:rsidR="00716C2B" w:rsidRPr="007352B2" w14:paraId="430F95F6" w14:textId="77777777" w:rsidTr="00ED04DD">
        <w:trPr>
          <w:cantSplit/>
          <w:trHeight w:val="451"/>
          <w:jc w:val="center"/>
        </w:trPr>
        <w:tc>
          <w:tcPr>
            <w:tcW w:w="1107" w:type="dxa"/>
            <w:tcBorders>
              <w:top w:val="single" w:sz="12" w:space="0" w:color="95D600"/>
              <w:bottom w:val="single" w:sz="12" w:space="0" w:color="95D600"/>
            </w:tcBorders>
            <w:shd w:val="clear" w:color="auto" w:fill="FFFFFF"/>
            <w:vAlign w:val="center"/>
            <w:hideMark/>
          </w:tcPr>
          <w:p w14:paraId="5143C7B6" w14:textId="77777777" w:rsidR="00716C2B" w:rsidRPr="007352B2" w:rsidRDefault="00ED04DD" w:rsidP="00EA3678">
            <w:pPr>
              <w:spacing w:before="40" w:after="40"/>
              <w:jc w:val="center"/>
              <w:rPr>
                <w:rFonts w:ascii="Arial Narrow" w:hAnsi="Arial Narrow"/>
                <w:sz w:val="18"/>
                <w:szCs w:val="18"/>
              </w:rPr>
            </w:pPr>
            <w:r w:rsidRPr="007352B2">
              <w:rPr>
                <w:rFonts w:ascii="Arial Narrow" w:hAnsi="Arial Narrow"/>
                <w:sz w:val="18"/>
                <w:szCs w:val="18"/>
              </w:rPr>
              <w:t>Ind</w:t>
            </w:r>
          </w:p>
        </w:tc>
        <w:tc>
          <w:tcPr>
            <w:tcW w:w="1652" w:type="dxa"/>
            <w:vMerge w:val="restart"/>
            <w:tcBorders>
              <w:top w:val="single" w:sz="12" w:space="0" w:color="95D600"/>
            </w:tcBorders>
            <w:shd w:val="clear" w:color="auto" w:fill="FFFFFF"/>
            <w:vAlign w:val="center"/>
            <w:hideMark/>
          </w:tcPr>
          <w:p w14:paraId="30515FDE"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Generic Custom (GC)</w:t>
            </w:r>
          </w:p>
        </w:tc>
        <w:tc>
          <w:tcPr>
            <w:tcW w:w="965" w:type="dxa"/>
            <w:vMerge w:val="restart"/>
            <w:tcBorders>
              <w:top w:val="single" w:sz="12" w:space="0" w:color="95D600"/>
            </w:tcBorders>
            <w:shd w:val="clear" w:color="auto" w:fill="FFFFFF"/>
            <w:vAlign w:val="center"/>
            <w:hideMark/>
          </w:tcPr>
          <w:p w14:paraId="3CD79DD1"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15</w:t>
            </w:r>
          </w:p>
        </w:tc>
        <w:tc>
          <w:tcPr>
            <w:tcW w:w="1007" w:type="dxa"/>
            <w:tcBorders>
              <w:top w:val="single" w:sz="12" w:space="0" w:color="95D600"/>
              <w:bottom w:val="single" w:sz="12" w:space="0" w:color="95D600"/>
            </w:tcBorders>
            <w:shd w:val="clear" w:color="auto" w:fill="FFFFFF"/>
            <w:vAlign w:val="center"/>
            <w:hideMark/>
          </w:tcPr>
          <w:p w14:paraId="36CE306B"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0.16%</w:t>
            </w:r>
          </w:p>
        </w:tc>
        <w:tc>
          <w:tcPr>
            <w:tcW w:w="1089" w:type="dxa"/>
            <w:tcBorders>
              <w:top w:val="single" w:sz="12" w:space="0" w:color="95D600"/>
              <w:bottom w:val="single" w:sz="12" w:space="0" w:color="95D600"/>
            </w:tcBorders>
            <w:shd w:val="clear" w:color="auto" w:fill="FFFFFF"/>
            <w:vAlign w:val="center"/>
            <w:hideMark/>
          </w:tcPr>
          <w:p w14:paraId="1F245C61"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0.17%</w:t>
            </w:r>
          </w:p>
        </w:tc>
        <w:tc>
          <w:tcPr>
            <w:tcW w:w="925" w:type="dxa"/>
            <w:vMerge w:val="restart"/>
            <w:tcBorders>
              <w:top w:val="single" w:sz="12" w:space="0" w:color="95D600"/>
            </w:tcBorders>
            <w:shd w:val="clear" w:color="auto" w:fill="FFFFFF"/>
            <w:vAlign w:val="center"/>
            <w:hideMark/>
          </w:tcPr>
          <w:p w14:paraId="50F8B11B"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$0.33</w:t>
            </w:r>
          </w:p>
        </w:tc>
        <w:tc>
          <w:tcPr>
            <w:tcW w:w="1363" w:type="dxa"/>
            <w:vMerge w:val="restart"/>
            <w:tcBorders>
              <w:top w:val="single" w:sz="12" w:space="0" w:color="95D600"/>
            </w:tcBorders>
            <w:shd w:val="clear" w:color="auto" w:fill="FFFFFF"/>
            <w:vAlign w:val="center"/>
            <w:hideMark/>
          </w:tcPr>
          <w:p w14:paraId="6FAF37AA" w14:textId="77777777" w:rsidR="00716C2B" w:rsidRPr="007352B2" w:rsidRDefault="00716C2B" w:rsidP="00EA3678">
            <w:pPr>
              <w:spacing w:before="40" w:after="40"/>
              <w:jc w:val="center"/>
              <w:rPr>
                <w:rFonts w:ascii="Arial Narrow" w:hAnsi="Arial Narrow"/>
                <w:sz w:val="18"/>
                <w:szCs w:val="18"/>
                <w:highlight w:val="red"/>
              </w:rPr>
            </w:pPr>
            <w:r w:rsidRPr="007352B2">
              <w:rPr>
                <w:rFonts w:ascii="Arial Narrow" w:hAnsi="Arial Narrow"/>
                <w:sz w:val="18"/>
                <w:szCs w:val="18"/>
              </w:rPr>
              <w:t>$2.25</w:t>
            </w:r>
          </w:p>
        </w:tc>
        <w:tc>
          <w:tcPr>
            <w:tcW w:w="1351" w:type="dxa"/>
            <w:vMerge w:val="restart"/>
            <w:tcBorders>
              <w:top w:val="single" w:sz="12" w:space="0" w:color="95D600"/>
            </w:tcBorders>
            <w:shd w:val="clear" w:color="auto" w:fill="FFFFFF"/>
            <w:vAlign w:val="center"/>
            <w:hideMark/>
          </w:tcPr>
          <w:p w14:paraId="2FF77350" w14:textId="77777777" w:rsidR="00716C2B" w:rsidRPr="007352B2" w:rsidRDefault="00716C2B" w:rsidP="00E0196A">
            <w:pPr>
              <w:spacing w:before="40" w:after="40"/>
              <w:jc w:val="center"/>
              <w:rPr>
                <w:rFonts w:ascii="Arial Narrow" w:hAnsi="Arial Narrow"/>
                <w:sz w:val="18"/>
                <w:szCs w:val="18"/>
              </w:rPr>
            </w:pPr>
            <w:r w:rsidRPr="007352B2">
              <w:rPr>
                <w:rFonts w:ascii="Arial Narrow" w:hAnsi="Arial Narrow"/>
                <w:sz w:val="18"/>
                <w:szCs w:val="18"/>
              </w:rPr>
              <w:t>0.000195</w:t>
            </w:r>
          </w:p>
        </w:tc>
      </w:tr>
      <w:tr w:rsidR="00716C2B" w:rsidRPr="007352B2" w14:paraId="054AC399" w14:textId="77777777" w:rsidTr="00ED04DD">
        <w:trPr>
          <w:cantSplit/>
          <w:trHeight w:val="451"/>
          <w:jc w:val="center"/>
        </w:trPr>
        <w:tc>
          <w:tcPr>
            <w:tcW w:w="1107" w:type="dxa"/>
            <w:tcBorders>
              <w:top w:val="single" w:sz="12" w:space="0" w:color="95D600"/>
              <w:bottom w:val="single" w:sz="12" w:space="0" w:color="95D600"/>
            </w:tcBorders>
            <w:shd w:val="clear" w:color="auto" w:fill="FFFFFF"/>
            <w:vAlign w:val="center"/>
          </w:tcPr>
          <w:p w14:paraId="47F8C64C" w14:textId="77777777" w:rsidR="00716C2B" w:rsidRPr="007352B2" w:rsidRDefault="00ED04DD" w:rsidP="00EA3678">
            <w:pPr>
              <w:spacing w:before="40" w:after="40"/>
              <w:jc w:val="center"/>
              <w:rPr>
                <w:rFonts w:ascii="Arial Narrow" w:hAnsi="Arial Narrow"/>
                <w:sz w:val="18"/>
                <w:szCs w:val="18"/>
              </w:rPr>
            </w:pPr>
            <w:r w:rsidRPr="007352B2">
              <w:rPr>
                <w:rFonts w:ascii="Arial Narrow" w:hAnsi="Arial Narrow"/>
                <w:sz w:val="18"/>
                <w:szCs w:val="18"/>
              </w:rPr>
              <w:t>Ag</w:t>
            </w:r>
          </w:p>
        </w:tc>
        <w:tc>
          <w:tcPr>
            <w:tcW w:w="1652" w:type="dxa"/>
            <w:vMerge/>
            <w:tcBorders>
              <w:bottom w:val="single" w:sz="12" w:space="0" w:color="95D600"/>
            </w:tcBorders>
            <w:shd w:val="clear" w:color="auto" w:fill="FFFFFF"/>
            <w:vAlign w:val="center"/>
          </w:tcPr>
          <w:p w14:paraId="2DDC39D6" w14:textId="77777777" w:rsidR="00716C2B" w:rsidRPr="007352B2" w:rsidRDefault="00716C2B" w:rsidP="00EA3678">
            <w:pPr>
              <w:spacing w:before="40" w:after="40"/>
              <w:jc w:val="center"/>
              <w:rPr>
                <w:rFonts w:ascii="Arial Narrow" w:hAnsi="Arial Narrow"/>
                <w:sz w:val="18"/>
                <w:szCs w:val="18"/>
              </w:rPr>
            </w:pPr>
          </w:p>
        </w:tc>
        <w:tc>
          <w:tcPr>
            <w:tcW w:w="965" w:type="dxa"/>
            <w:vMerge/>
            <w:tcBorders>
              <w:bottom w:val="single" w:sz="12" w:space="0" w:color="95D600"/>
            </w:tcBorders>
            <w:shd w:val="clear" w:color="auto" w:fill="FFFFFF"/>
            <w:vAlign w:val="center"/>
          </w:tcPr>
          <w:p w14:paraId="74A3939E" w14:textId="77777777" w:rsidR="00716C2B" w:rsidRPr="007352B2" w:rsidRDefault="00716C2B" w:rsidP="00EA3678">
            <w:pPr>
              <w:spacing w:before="40" w:after="40"/>
              <w:jc w:val="center"/>
              <w:rPr>
                <w:rFonts w:ascii="Arial Narrow" w:hAnsi="Arial Narrow"/>
                <w:sz w:val="18"/>
                <w:szCs w:val="18"/>
              </w:rPr>
            </w:pPr>
          </w:p>
        </w:tc>
        <w:tc>
          <w:tcPr>
            <w:tcW w:w="1007" w:type="dxa"/>
            <w:tcBorders>
              <w:top w:val="single" w:sz="12" w:space="0" w:color="95D600"/>
              <w:bottom w:val="single" w:sz="12" w:space="0" w:color="95D600"/>
            </w:tcBorders>
            <w:shd w:val="clear" w:color="auto" w:fill="FFFFFF"/>
            <w:vAlign w:val="center"/>
          </w:tcPr>
          <w:p w14:paraId="4262FC2D"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0.28%</w:t>
            </w:r>
          </w:p>
        </w:tc>
        <w:tc>
          <w:tcPr>
            <w:tcW w:w="1089" w:type="dxa"/>
            <w:tcBorders>
              <w:top w:val="single" w:sz="12" w:space="0" w:color="95D600"/>
              <w:bottom w:val="single" w:sz="12" w:space="0" w:color="95D600"/>
            </w:tcBorders>
            <w:shd w:val="clear" w:color="auto" w:fill="FFFFFF"/>
            <w:vAlign w:val="center"/>
          </w:tcPr>
          <w:p w14:paraId="6A7113DA"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1.19%</w:t>
            </w:r>
          </w:p>
        </w:tc>
        <w:tc>
          <w:tcPr>
            <w:tcW w:w="925" w:type="dxa"/>
            <w:vMerge/>
            <w:tcBorders>
              <w:bottom w:val="single" w:sz="12" w:space="0" w:color="95D600"/>
            </w:tcBorders>
            <w:shd w:val="clear" w:color="auto" w:fill="FFFFFF"/>
            <w:vAlign w:val="center"/>
          </w:tcPr>
          <w:p w14:paraId="0F13734E" w14:textId="77777777" w:rsidR="00716C2B" w:rsidRPr="007352B2" w:rsidRDefault="00716C2B" w:rsidP="00EA3678">
            <w:pPr>
              <w:spacing w:before="40" w:after="40"/>
              <w:jc w:val="center"/>
              <w:rPr>
                <w:rFonts w:ascii="Arial Narrow" w:hAnsi="Arial Narrow"/>
                <w:sz w:val="18"/>
                <w:szCs w:val="18"/>
              </w:rPr>
            </w:pPr>
          </w:p>
        </w:tc>
        <w:tc>
          <w:tcPr>
            <w:tcW w:w="1363" w:type="dxa"/>
            <w:vMerge/>
            <w:tcBorders>
              <w:bottom w:val="single" w:sz="12" w:space="0" w:color="95D600"/>
            </w:tcBorders>
            <w:shd w:val="clear" w:color="auto" w:fill="FFFFFF"/>
            <w:vAlign w:val="center"/>
          </w:tcPr>
          <w:p w14:paraId="783B3A65" w14:textId="77777777" w:rsidR="00716C2B" w:rsidRPr="007352B2" w:rsidRDefault="00716C2B" w:rsidP="00EA3678">
            <w:pPr>
              <w:spacing w:before="40" w:after="40"/>
              <w:jc w:val="center"/>
              <w:rPr>
                <w:rFonts w:ascii="Arial Narrow" w:hAnsi="Arial Narrow"/>
                <w:sz w:val="18"/>
                <w:szCs w:val="18"/>
              </w:rPr>
            </w:pPr>
          </w:p>
        </w:tc>
        <w:tc>
          <w:tcPr>
            <w:tcW w:w="1351" w:type="dxa"/>
            <w:vMerge/>
            <w:tcBorders>
              <w:bottom w:val="single" w:sz="12" w:space="0" w:color="95D600"/>
            </w:tcBorders>
            <w:shd w:val="clear" w:color="auto" w:fill="FFFFFF"/>
            <w:vAlign w:val="center"/>
          </w:tcPr>
          <w:p w14:paraId="133C2456" w14:textId="77777777" w:rsidR="00716C2B" w:rsidRPr="007352B2" w:rsidRDefault="00716C2B" w:rsidP="00EA3678">
            <w:pPr>
              <w:spacing w:before="40" w:after="40"/>
              <w:jc w:val="center"/>
              <w:rPr>
                <w:rFonts w:ascii="Arial Narrow" w:hAnsi="Arial Narrow"/>
                <w:sz w:val="18"/>
                <w:szCs w:val="18"/>
              </w:rPr>
            </w:pPr>
          </w:p>
        </w:tc>
      </w:tr>
    </w:tbl>
    <w:p w14:paraId="203E7B95" w14:textId="77777777" w:rsidR="007B26F3" w:rsidRDefault="007B26F3" w:rsidP="007B26F3"/>
    <w:p w14:paraId="1817C30C" w14:textId="77777777" w:rsidR="00716C2B" w:rsidRPr="00716C2B" w:rsidRDefault="00716C2B" w:rsidP="00716C2B">
      <w:pPr>
        <w:rPr>
          <w:b/>
          <w:u w:val="single"/>
        </w:rPr>
      </w:pPr>
      <w:r w:rsidRPr="00716C2B">
        <w:rPr>
          <w:b/>
          <w:u w:val="single"/>
        </w:rPr>
        <w:t>Applicability and Penetration</w:t>
      </w:r>
    </w:p>
    <w:p w14:paraId="62A25483" w14:textId="77777777" w:rsidR="00716C2B" w:rsidRDefault="00716C2B" w:rsidP="00716C2B">
      <w:r w:rsidRPr="00716C2B">
        <w:t xml:space="preserve">Applicability of </w:t>
      </w:r>
      <w:r>
        <w:t>GC measures in the Industrial and A</w:t>
      </w:r>
      <w:r w:rsidRPr="00716C2B">
        <w:t xml:space="preserve">gricultural sectors is 100% because these measures are considered ubiquitous to all activities in all market segments. Because the forecasting approach assumes </w:t>
      </w:r>
      <w:r>
        <w:t>GC</w:t>
      </w:r>
      <w:r w:rsidRPr="00716C2B">
        <w:t xml:space="preserve"> measures will produce a static level of savings each year, penetration rates are meant to ultimately reflect current savings levels and do not vary over the forecast period. Penetration rates were held constant over the forecast horizon because facilities continually upgrade equipment and processes and it is likely that </w:t>
      </w:r>
      <w:r>
        <w:t>GC</w:t>
      </w:r>
      <w:r w:rsidRPr="00716C2B">
        <w:t xml:space="preserve"> measures will be installed at the same rate as past program activity.</w:t>
      </w:r>
    </w:p>
    <w:p w14:paraId="0891056D" w14:textId="77777777" w:rsidR="00716C2B" w:rsidRPr="00716C2B" w:rsidRDefault="00716C2B" w:rsidP="00716C2B"/>
    <w:p w14:paraId="3E89E64A" w14:textId="77777777" w:rsidR="002A4C2F" w:rsidRPr="00B626F8" w:rsidRDefault="00716C2B" w:rsidP="00B626F8">
      <w:pPr>
        <w:rPr>
          <w:b/>
          <w:u w:val="single"/>
        </w:rPr>
      </w:pPr>
      <w:r>
        <w:rPr>
          <w:b/>
          <w:u w:val="single"/>
        </w:rPr>
        <w:t>Savings</w:t>
      </w:r>
      <w:bookmarkEnd w:id="1051"/>
    </w:p>
    <w:p w14:paraId="4B54677E" w14:textId="77777777" w:rsidR="002A4C2F" w:rsidRDefault="002A4C2F" w:rsidP="002A4C2F">
      <w:pPr>
        <w:spacing w:after="120"/>
        <w:contextualSpacing/>
      </w:pPr>
      <w:r>
        <w:t xml:space="preserve">The team conducted a </w:t>
      </w:r>
      <w:r w:rsidR="00716C2B">
        <w:t xml:space="preserve">literature </w:t>
      </w:r>
      <w:r>
        <w:t xml:space="preserve">review </w:t>
      </w:r>
      <w:r w:rsidR="00716C2B">
        <w:t>to define an approach to estimate savings</w:t>
      </w:r>
      <w:r>
        <w:t xml:space="preserve"> from GC measures</w:t>
      </w:r>
      <w:r w:rsidR="00716C2B">
        <w:t>:</w:t>
      </w:r>
      <w:r w:rsidR="00716C2B" w:rsidDel="00716C2B">
        <w:t xml:space="preserve"> </w:t>
      </w:r>
    </w:p>
    <w:p w14:paraId="001338F9" w14:textId="77777777" w:rsidR="002A4C2F" w:rsidRDefault="002A4C2F" w:rsidP="004E4E36">
      <w:pPr>
        <w:pStyle w:val="ListParagraph"/>
        <w:numPr>
          <w:ilvl w:val="0"/>
          <w:numId w:val="53"/>
        </w:numPr>
        <w:spacing w:before="40" w:after="40" w:line="240" w:lineRule="auto"/>
        <w:contextualSpacing/>
      </w:pPr>
      <w:r>
        <w:t>2004-2005 Statewide Nonresidential Standard Performance Contract Program Measurement and Evaluation Study</w:t>
      </w:r>
      <w:r>
        <w:rPr>
          <w:rStyle w:val="FootnoteReference"/>
        </w:rPr>
        <w:footnoteReference w:id="173"/>
      </w:r>
    </w:p>
    <w:p w14:paraId="7C7D6705" w14:textId="77777777" w:rsidR="002A4C2F" w:rsidRDefault="002A4C2F" w:rsidP="004E4E36">
      <w:pPr>
        <w:pStyle w:val="ListParagraph"/>
        <w:numPr>
          <w:ilvl w:val="0"/>
          <w:numId w:val="53"/>
        </w:numPr>
        <w:spacing w:before="40" w:after="40" w:line="240" w:lineRule="auto"/>
        <w:contextualSpacing/>
      </w:pPr>
      <w:r>
        <w:t>2006-2008 Evaluation Report for PG&amp;E Fabrication, Process</w:t>
      </w:r>
      <w:r w:rsidR="00325203">
        <w:t>,</w:t>
      </w:r>
      <w:r>
        <w:t xml:space="preserve"> and Manufacturing Contract Group</w:t>
      </w:r>
      <w:r>
        <w:rPr>
          <w:rStyle w:val="FootnoteReference"/>
        </w:rPr>
        <w:footnoteReference w:id="174"/>
      </w:r>
    </w:p>
    <w:p w14:paraId="71E61E5B" w14:textId="77777777" w:rsidR="002A4C2F" w:rsidRDefault="002A4C2F" w:rsidP="004E4E36">
      <w:pPr>
        <w:pStyle w:val="ListParagraph"/>
        <w:numPr>
          <w:ilvl w:val="0"/>
          <w:numId w:val="53"/>
        </w:numPr>
        <w:spacing w:before="40" w:after="40" w:line="240" w:lineRule="auto"/>
        <w:contextualSpacing/>
      </w:pPr>
      <w:r>
        <w:t>2006-2008 Evaluation Report for the Southern California Industrial and Agricultural Contract Group</w:t>
      </w:r>
      <w:r>
        <w:rPr>
          <w:rStyle w:val="FootnoteReference"/>
        </w:rPr>
        <w:footnoteReference w:id="175"/>
      </w:r>
      <w:r>
        <w:t xml:space="preserve"> </w:t>
      </w:r>
    </w:p>
    <w:p w14:paraId="24277422" w14:textId="77777777" w:rsidR="002A4C2F" w:rsidRDefault="002A4C2F" w:rsidP="004E4E36">
      <w:pPr>
        <w:pStyle w:val="ListParagraph"/>
        <w:numPr>
          <w:ilvl w:val="0"/>
          <w:numId w:val="53"/>
        </w:numPr>
        <w:spacing w:before="40" w:after="40" w:line="240" w:lineRule="auto"/>
        <w:contextualSpacing/>
      </w:pPr>
      <w:r>
        <w:t>2010-12 WO033 Custom Impact Evaluation Final Report</w:t>
      </w:r>
      <w:r>
        <w:rPr>
          <w:rStyle w:val="FootnoteReference"/>
        </w:rPr>
        <w:footnoteReference w:id="176"/>
      </w:r>
      <w:r>
        <w:t xml:space="preserve">  </w:t>
      </w:r>
    </w:p>
    <w:p w14:paraId="189F058F" w14:textId="77777777" w:rsidR="002A4C2F" w:rsidRDefault="002A4C2F" w:rsidP="004E4E36">
      <w:pPr>
        <w:pStyle w:val="ListParagraph"/>
        <w:numPr>
          <w:ilvl w:val="0"/>
          <w:numId w:val="53"/>
        </w:numPr>
        <w:spacing w:before="40" w:after="40" w:line="240" w:lineRule="auto"/>
        <w:contextualSpacing/>
      </w:pPr>
      <w:r>
        <w:t>2010-12 WO033 Custom Net-to-Gross Final Report</w:t>
      </w:r>
      <w:r>
        <w:rPr>
          <w:rStyle w:val="FootnoteReference"/>
        </w:rPr>
        <w:footnoteReference w:id="177"/>
      </w:r>
    </w:p>
    <w:p w14:paraId="27A5042F" w14:textId="77777777" w:rsidR="002A4C2F" w:rsidRDefault="002A4C2F" w:rsidP="004E4E36">
      <w:pPr>
        <w:pStyle w:val="ListParagraph"/>
        <w:numPr>
          <w:ilvl w:val="0"/>
          <w:numId w:val="53"/>
        </w:numPr>
        <w:spacing w:before="40" w:after="40" w:line="240" w:lineRule="auto"/>
        <w:contextualSpacing/>
      </w:pPr>
      <w:r>
        <w:lastRenderedPageBreak/>
        <w:t>Final Report 2013 Custom Impact Evaluation, Industrial, Agricultural, and Large Commercial Submitted to California Public Utilities Commission</w:t>
      </w:r>
      <w:r>
        <w:rPr>
          <w:rStyle w:val="FootnoteReference"/>
        </w:rPr>
        <w:footnoteReference w:id="178"/>
      </w:r>
    </w:p>
    <w:p w14:paraId="009E52A0" w14:textId="77777777" w:rsidR="002A4C2F" w:rsidRDefault="002A4C2F" w:rsidP="004E4E36">
      <w:pPr>
        <w:pStyle w:val="ListParagraph"/>
        <w:numPr>
          <w:ilvl w:val="0"/>
          <w:numId w:val="53"/>
        </w:numPr>
        <w:spacing w:before="40" w:after="40" w:line="240" w:lineRule="auto"/>
        <w:contextualSpacing/>
      </w:pPr>
      <w:r>
        <w:t>Final Report 2014 Custom Impact Evaluation Industrial, Agricultural, and Large Commercial</w:t>
      </w:r>
      <w:r w:rsidR="00B626F8">
        <w:t>,</w:t>
      </w:r>
      <w:r>
        <w:t xml:space="preserve"> California Public Utilities Commission</w:t>
      </w:r>
      <w:r>
        <w:rPr>
          <w:rStyle w:val="FootnoteReference"/>
        </w:rPr>
        <w:footnoteReference w:id="179"/>
      </w:r>
      <w:r>
        <w:t xml:space="preserve">  </w:t>
      </w:r>
    </w:p>
    <w:p w14:paraId="54D4658B" w14:textId="77777777" w:rsidR="002A4C2F" w:rsidRDefault="002A4C2F" w:rsidP="004E4E36">
      <w:pPr>
        <w:pStyle w:val="ListParagraph"/>
        <w:numPr>
          <w:ilvl w:val="0"/>
          <w:numId w:val="53"/>
        </w:numPr>
        <w:spacing w:after="120" w:line="240" w:lineRule="auto"/>
        <w:contextualSpacing/>
      </w:pPr>
      <w:r>
        <w:t>2013 Ex-post Efficiency Savings and Performance Incentive (ESPI) Performance Statement Report</w:t>
      </w:r>
      <w:r>
        <w:rPr>
          <w:rStyle w:val="FootnoteReference"/>
        </w:rPr>
        <w:footnoteReference w:id="180"/>
      </w:r>
    </w:p>
    <w:p w14:paraId="73485FC8" w14:textId="77777777" w:rsidR="002A4C2F" w:rsidRDefault="002A4C2F" w:rsidP="004E4E36">
      <w:pPr>
        <w:pStyle w:val="ListParagraph"/>
        <w:numPr>
          <w:ilvl w:val="0"/>
          <w:numId w:val="53"/>
        </w:numPr>
        <w:spacing w:before="0" w:after="120" w:line="240" w:lineRule="auto"/>
        <w:contextualSpacing/>
      </w:pPr>
      <w:r>
        <w:t>2014 Ex-Post Efficiency Savings and Performance Incentive (ESPI) Final Performance Statement Report</w:t>
      </w:r>
      <w:r>
        <w:rPr>
          <w:rStyle w:val="FootnoteReference"/>
        </w:rPr>
        <w:footnoteReference w:id="181"/>
      </w:r>
    </w:p>
    <w:p w14:paraId="3A8F829A" w14:textId="77777777" w:rsidR="002A4C2F" w:rsidRDefault="002A4C2F" w:rsidP="004E4E36">
      <w:pPr>
        <w:pStyle w:val="ListParagraph"/>
        <w:numPr>
          <w:ilvl w:val="0"/>
          <w:numId w:val="53"/>
        </w:numPr>
        <w:spacing w:before="0" w:after="120" w:line="240" w:lineRule="auto"/>
        <w:contextualSpacing/>
      </w:pPr>
      <w:r>
        <w:t>E-4807 Draft Resolution</w:t>
      </w:r>
      <w:r>
        <w:rPr>
          <w:rStyle w:val="FootnoteReference"/>
        </w:rPr>
        <w:footnoteReference w:id="182"/>
      </w:r>
      <w:r>
        <w:t xml:space="preserve"> </w:t>
      </w:r>
    </w:p>
    <w:p w14:paraId="2E922D08" w14:textId="77777777" w:rsidR="002A4C2F" w:rsidRDefault="002A4C2F" w:rsidP="004E4E36">
      <w:pPr>
        <w:pStyle w:val="ListParagraph"/>
        <w:numPr>
          <w:ilvl w:val="0"/>
          <w:numId w:val="53"/>
        </w:numPr>
        <w:spacing w:before="0" w:after="120" w:line="240" w:lineRule="auto"/>
        <w:contextualSpacing/>
      </w:pPr>
      <w:r>
        <w:t>CPUC EEStats and CEDARS data for net program savings for the 2013-2015 program cycle.</w:t>
      </w:r>
    </w:p>
    <w:p w14:paraId="38D652A4" w14:textId="77777777" w:rsidR="00B626F8" w:rsidRPr="00716C2B" w:rsidRDefault="00B626F8" w:rsidP="00B626F8">
      <w:bookmarkStart w:id="1053" w:name="_Toc484070676"/>
    </w:p>
    <w:p w14:paraId="112D230A" w14:textId="77777777" w:rsidR="00716C2B" w:rsidRPr="00716C2B" w:rsidRDefault="00716C2B" w:rsidP="00716C2B">
      <w:r w:rsidRPr="00716C2B">
        <w:t xml:space="preserve">An analysis of data available through the </w:t>
      </w:r>
      <w:r>
        <w:t>EEStats portal</w:t>
      </w:r>
      <w:r w:rsidRPr="00716C2B">
        <w:t xml:space="preserve"> for programs operating from 2006 through 2015 was then completed to assess the contribution of GC measures</w:t>
      </w:r>
      <w:r>
        <w:t xml:space="preserve"> to the total savings in the Industrial and A</w:t>
      </w:r>
      <w:r w:rsidRPr="00716C2B">
        <w:t xml:space="preserve">gricultural sectors. Over this period, </w:t>
      </w:r>
      <w:r>
        <w:t>GC measures contributed 42% of Industrial and 62% of A</w:t>
      </w:r>
      <w:r w:rsidRPr="00716C2B">
        <w:t xml:space="preserve">gricultural sector net electricity savings, with similar percentage contributions for natural gas. Because data for the 2006 through 2012 portfolio was not of sufficient quality to accurately define </w:t>
      </w:r>
      <w:r>
        <w:t>GC</w:t>
      </w:r>
      <w:r w:rsidRPr="00716C2B">
        <w:t xml:space="preserve"> measures, and because 2015 data had not been fully vetted thorough EM&amp;V processes</w:t>
      </w:r>
      <w:r>
        <w:t>, the savings values in the 2018</w:t>
      </w:r>
      <w:r w:rsidRPr="00716C2B">
        <w:t xml:space="preserve"> </w:t>
      </w:r>
      <w:r>
        <w:t>s</w:t>
      </w:r>
      <w:r w:rsidRPr="00716C2B">
        <w:t xml:space="preserve">tudy are based on an analysis of </w:t>
      </w:r>
      <w:r>
        <w:t>GC</w:t>
      </w:r>
      <w:r w:rsidRPr="00716C2B">
        <w:t xml:space="preserve"> measure savings in the 2013 and 2014 program years. The study also benefited from ESPI reports for program years 2013 and 2014, which provided additional insights into gross and net savings for custom measures. Based on this analysis it was determined that generic custom measures save an average of 48.3 GWh annually in the Industrial sector, and 45.9 GWh annually in the Agricultural sector. Average annual natural </w:t>
      </w:r>
      <w:r>
        <w:t>g</w:t>
      </w:r>
      <w:r w:rsidRPr="00716C2B">
        <w:t>as savings are estimated to be 5.8 MMTherms in the Industrial sector, and 1.5 M</w:t>
      </w:r>
      <w:r>
        <w:t>MTherms annually in the A</w:t>
      </w:r>
      <w:r w:rsidRPr="00716C2B">
        <w:t xml:space="preserve">gricultural sector, as presented in </w:t>
      </w:r>
      <w:r w:rsidR="007352B2">
        <w:t>Table E-2</w:t>
      </w:r>
      <w:r w:rsidRPr="00716C2B">
        <w:t xml:space="preserve"> </w:t>
      </w:r>
    </w:p>
    <w:p w14:paraId="0BA5F8B9" w14:textId="77777777" w:rsidR="00716C2B" w:rsidRPr="00716C2B" w:rsidRDefault="00716C2B" w:rsidP="00716C2B"/>
    <w:p w14:paraId="79438C9F" w14:textId="77777777" w:rsidR="00716C2B" w:rsidRDefault="00716C2B" w:rsidP="00716C2B">
      <w:r w:rsidRPr="00716C2B">
        <w:t>A GC unit energy savings (UES) multiplier was then developed by dividing annual average energy savings by average sector consumption forecast</w:t>
      </w:r>
      <w:r w:rsidR="00975236">
        <w:t>ed</w:t>
      </w:r>
      <w:r w:rsidRPr="00716C2B">
        <w:t xml:space="preserve"> for 2017 through 2030 for electricity and natura</w:t>
      </w:r>
      <w:r w:rsidR="00975236">
        <w:t xml:space="preserve">l gas.  This analysis defined </w:t>
      </w:r>
      <w:r w:rsidRPr="00716C2B">
        <w:t>GC UES multiplier</w:t>
      </w:r>
      <w:r w:rsidR="00975236">
        <w:t>s</w:t>
      </w:r>
      <w:r w:rsidRPr="00716C2B">
        <w:t xml:space="preserve"> of 0.16% of annual Industrial sector electric</w:t>
      </w:r>
      <w:r w:rsidR="00975236">
        <w:t>ity usage, 0.17% of annual I</w:t>
      </w:r>
      <w:r w:rsidRPr="00716C2B">
        <w:t xml:space="preserve">ndustrial </w:t>
      </w:r>
      <w:r w:rsidR="00975236">
        <w:t xml:space="preserve">sector natural </w:t>
      </w:r>
      <w:r w:rsidRPr="00716C2B">
        <w:t>gas usage,</w:t>
      </w:r>
      <w:r w:rsidR="00975236">
        <w:t xml:space="preserve"> 0.28% of annual Agricultural sector electricity usage, and 1.19% of annual Agricultural sector natural gas usage.</w:t>
      </w:r>
      <w:r w:rsidRPr="00716C2B">
        <w:t xml:space="preserve"> </w:t>
      </w:r>
      <w:r w:rsidR="00975236">
        <w:t>Summaries are</w:t>
      </w:r>
      <w:r w:rsidRPr="00716C2B">
        <w:t xml:space="preserve"> presented in</w:t>
      </w:r>
      <w:r w:rsidR="00975236">
        <w:t xml:space="preserve"> </w:t>
      </w:r>
      <w:r w:rsidR="007352B2">
        <w:t>Table E-2</w:t>
      </w:r>
    </w:p>
    <w:p w14:paraId="2F76B18A" w14:textId="77777777" w:rsidR="007352B2" w:rsidRDefault="007352B2" w:rsidP="00716C2B"/>
    <w:p w14:paraId="7785C5AF" w14:textId="77777777" w:rsidR="00B626F8" w:rsidRDefault="007352B2" w:rsidP="00B626F8">
      <w:pPr>
        <w:pStyle w:val="Caption"/>
      </w:pPr>
      <w:bookmarkStart w:id="1054" w:name="_Toc485125618"/>
      <w:r>
        <w:t xml:space="preserve">Table </w:t>
      </w:r>
      <w:r w:rsidR="00272F76">
        <w:fldChar w:fldCharType="begin"/>
      </w:r>
      <w:r w:rsidR="00272F76">
        <w:instrText xml:space="preserve"> STYLEREF 5 \s </w:instrText>
      </w:r>
      <w:r w:rsidR="00272F76">
        <w:fldChar w:fldCharType="separate"/>
      </w:r>
      <w:r w:rsidR="00C407F4">
        <w:rPr>
          <w:noProof/>
        </w:rPr>
        <w:t>E</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2</w:t>
      </w:r>
      <w:r w:rsidR="00272F76">
        <w:rPr>
          <w:noProof/>
        </w:rPr>
        <w:fldChar w:fldCharType="end"/>
      </w:r>
      <w:r>
        <w:t xml:space="preserve">. </w:t>
      </w:r>
      <w:r w:rsidRPr="007352B2">
        <w:t>Generic Custom Unit Energy Savings Multiplier</w:t>
      </w:r>
      <w:bookmarkEnd w:id="1053"/>
      <w:bookmarkEnd w:id="1054"/>
    </w:p>
    <w:tbl>
      <w:tblPr>
        <w:tblStyle w:val="EnergyTable1"/>
        <w:tblW w:w="0" w:type="auto"/>
        <w:tblLayout w:type="fixed"/>
        <w:tblLook w:val="04A0" w:firstRow="1" w:lastRow="0" w:firstColumn="1" w:lastColumn="0" w:noHBand="0" w:noVBand="1"/>
      </w:tblPr>
      <w:tblGrid>
        <w:gridCol w:w="1872"/>
        <w:gridCol w:w="1872"/>
        <w:gridCol w:w="1872"/>
        <w:gridCol w:w="1872"/>
        <w:gridCol w:w="1872"/>
      </w:tblGrid>
      <w:tr w:rsidR="007E5E90" w:rsidRPr="00483510" w14:paraId="1F04B3CB" w14:textId="77777777" w:rsidTr="009D1D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2" w:type="dxa"/>
          </w:tcPr>
          <w:p w14:paraId="61FDC082" w14:textId="77777777" w:rsidR="007E5E90" w:rsidRPr="00483510" w:rsidRDefault="007E5E90" w:rsidP="00B626F8">
            <w:pPr>
              <w:rPr>
                <w:rFonts w:ascii="Arial Narrow" w:hAnsi="Arial Narrow"/>
                <w:sz w:val="18"/>
                <w:szCs w:val="18"/>
              </w:rPr>
            </w:pPr>
            <w:r>
              <w:rPr>
                <w:rFonts w:ascii="Arial Narrow" w:hAnsi="Arial Narrow"/>
                <w:sz w:val="18"/>
                <w:szCs w:val="18"/>
              </w:rPr>
              <w:t>Sector / Fuel</w:t>
            </w:r>
          </w:p>
        </w:tc>
        <w:tc>
          <w:tcPr>
            <w:tcW w:w="1872" w:type="dxa"/>
          </w:tcPr>
          <w:p w14:paraId="5ECF37D5" w14:textId="77777777" w:rsidR="007E5E90" w:rsidRPr="00483510" w:rsidRDefault="007E5E90" w:rsidP="00B626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2013 Program Year</w:t>
            </w:r>
          </w:p>
        </w:tc>
        <w:tc>
          <w:tcPr>
            <w:tcW w:w="1872" w:type="dxa"/>
          </w:tcPr>
          <w:p w14:paraId="4E9DC2D7" w14:textId="77777777" w:rsidR="007E5E90" w:rsidRPr="00483510" w:rsidRDefault="007E5E90" w:rsidP="00B626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2014 Program Year</w:t>
            </w:r>
          </w:p>
        </w:tc>
        <w:tc>
          <w:tcPr>
            <w:tcW w:w="1872" w:type="dxa"/>
          </w:tcPr>
          <w:p w14:paraId="1548917E" w14:textId="77777777" w:rsidR="007E5E90" w:rsidRPr="00483510" w:rsidRDefault="007E5E90" w:rsidP="00B626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 xml:space="preserve">Average </w:t>
            </w:r>
            <w:r w:rsidR="004268BB">
              <w:rPr>
                <w:rFonts w:ascii="Arial Narrow" w:hAnsi="Arial Narrow"/>
                <w:sz w:val="18"/>
                <w:szCs w:val="18"/>
              </w:rPr>
              <w:t>Annual Energy Savings</w:t>
            </w:r>
          </w:p>
        </w:tc>
        <w:tc>
          <w:tcPr>
            <w:tcW w:w="1872" w:type="dxa"/>
          </w:tcPr>
          <w:p w14:paraId="1C024B05" w14:textId="77777777" w:rsidR="007E5E90" w:rsidRPr="00483510" w:rsidRDefault="007E5E90" w:rsidP="00B626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GC UES Multiplier</w:t>
            </w:r>
          </w:p>
        </w:tc>
      </w:tr>
      <w:tr w:rsidR="007E5E90" w:rsidRPr="00483510" w14:paraId="429B2E93" w14:textId="77777777" w:rsidTr="007E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Pr>
          <w:p w14:paraId="12723656" w14:textId="77777777" w:rsidR="007E5E90" w:rsidRPr="007E5E90" w:rsidRDefault="007E5E90" w:rsidP="00B626F8">
            <w:pPr>
              <w:rPr>
                <w:rFonts w:ascii="Arial Narrow" w:hAnsi="Arial Narrow"/>
                <w:b/>
                <w:sz w:val="18"/>
                <w:szCs w:val="18"/>
              </w:rPr>
            </w:pPr>
            <w:r w:rsidRPr="007E5E90">
              <w:rPr>
                <w:rFonts w:ascii="Arial Narrow" w:hAnsi="Arial Narrow"/>
                <w:b/>
                <w:sz w:val="18"/>
                <w:szCs w:val="18"/>
              </w:rPr>
              <w:t>Industrial Generic Custom (Net)</w:t>
            </w:r>
          </w:p>
        </w:tc>
      </w:tr>
      <w:tr w:rsidR="007E5E90" w:rsidRPr="00483510" w14:paraId="5EC3218C" w14:textId="77777777" w:rsidTr="009D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5656931F" w14:textId="77777777" w:rsidR="007E5E90" w:rsidRPr="007E5E90" w:rsidRDefault="007E5E90" w:rsidP="007E5E90">
            <w:pPr>
              <w:rPr>
                <w:rFonts w:ascii="Arial Narrow" w:hAnsi="Arial Narrow"/>
                <w:sz w:val="18"/>
                <w:szCs w:val="18"/>
              </w:rPr>
            </w:pPr>
            <w:r w:rsidRPr="001A5D37">
              <w:rPr>
                <w:rFonts w:ascii="Arial Narrow" w:hAnsi="Arial Narrow"/>
                <w:sz w:val="18"/>
                <w:szCs w:val="18"/>
              </w:rPr>
              <w:t>GWh</w:t>
            </w:r>
          </w:p>
        </w:tc>
        <w:tc>
          <w:tcPr>
            <w:tcW w:w="1872" w:type="dxa"/>
            <w:vAlign w:val="top"/>
          </w:tcPr>
          <w:p w14:paraId="5256DE4F"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47.1</w:t>
            </w:r>
          </w:p>
        </w:tc>
        <w:tc>
          <w:tcPr>
            <w:tcW w:w="1872" w:type="dxa"/>
            <w:vAlign w:val="top"/>
          </w:tcPr>
          <w:p w14:paraId="699B5291"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49.5</w:t>
            </w:r>
          </w:p>
        </w:tc>
        <w:tc>
          <w:tcPr>
            <w:tcW w:w="1872" w:type="dxa"/>
            <w:vAlign w:val="top"/>
          </w:tcPr>
          <w:p w14:paraId="06BB64AA"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48.3</w:t>
            </w:r>
          </w:p>
        </w:tc>
        <w:tc>
          <w:tcPr>
            <w:tcW w:w="1872" w:type="dxa"/>
          </w:tcPr>
          <w:p w14:paraId="5E117505"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0.16%</w:t>
            </w:r>
          </w:p>
        </w:tc>
      </w:tr>
      <w:tr w:rsidR="007E5E90" w:rsidRPr="00483510" w14:paraId="6A928110" w14:textId="77777777" w:rsidTr="009D1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7EEAE4CD" w14:textId="77777777" w:rsidR="007E5E90" w:rsidRPr="007E5E90" w:rsidRDefault="007E5E90" w:rsidP="007E5E90">
            <w:pPr>
              <w:rPr>
                <w:rFonts w:ascii="Arial Narrow" w:hAnsi="Arial Narrow"/>
                <w:sz w:val="18"/>
                <w:szCs w:val="18"/>
              </w:rPr>
            </w:pPr>
            <w:r w:rsidRPr="001A5D37">
              <w:rPr>
                <w:rFonts w:ascii="Arial Narrow" w:hAnsi="Arial Narrow"/>
                <w:sz w:val="18"/>
                <w:szCs w:val="18"/>
              </w:rPr>
              <w:t>MMTherm</w:t>
            </w:r>
          </w:p>
        </w:tc>
        <w:tc>
          <w:tcPr>
            <w:tcW w:w="1872" w:type="dxa"/>
            <w:vAlign w:val="top"/>
          </w:tcPr>
          <w:p w14:paraId="145890B9"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5.0</w:t>
            </w:r>
          </w:p>
        </w:tc>
        <w:tc>
          <w:tcPr>
            <w:tcW w:w="1872" w:type="dxa"/>
            <w:vAlign w:val="top"/>
          </w:tcPr>
          <w:p w14:paraId="24B4D39D"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6.7</w:t>
            </w:r>
          </w:p>
        </w:tc>
        <w:tc>
          <w:tcPr>
            <w:tcW w:w="1872" w:type="dxa"/>
            <w:vAlign w:val="top"/>
          </w:tcPr>
          <w:p w14:paraId="4826EFAC"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5.8</w:t>
            </w:r>
          </w:p>
        </w:tc>
        <w:tc>
          <w:tcPr>
            <w:tcW w:w="1872" w:type="dxa"/>
          </w:tcPr>
          <w:p w14:paraId="18C577D2"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0.17%</w:t>
            </w:r>
          </w:p>
        </w:tc>
      </w:tr>
      <w:tr w:rsidR="007E5E90" w:rsidRPr="00483510" w14:paraId="4B6D2063" w14:textId="77777777" w:rsidTr="007E5E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Pr>
          <w:p w14:paraId="116E317C" w14:textId="77777777" w:rsidR="007E5E90" w:rsidRPr="007E5E90" w:rsidRDefault="007E5E90" w:rsidP="00B626F8">
            <w:pPr>
              <w:rPr>
                <w:rFonts w:ascii="Arial Narrow" w:hAnsi="Arial Narrow"/>
                <w:b/>
                <w:sz w:val="18"/>
                <w:szCs w:val="18"/>
              </w:rPr>
            </w:pPr>
            <w:r w:rsidRPr="007E5E90">
              <w:rPr>
                <w:rFonts w:ascii="Arial Narrow" w:hAnsi="Arial Narrow"/>
                <w:b/>
                <w:sz w:val="18"/>
                <w:szCs w:val="18"/>
              </w:rPr>
              <w:t>Agricultural Generic Custom (Net)</w:t>
            </w:r>
          </w:p>
        </w:tc>
      </w:tr>
      <w:tr w:rsidR="007E5E90" w:rsidRPr="00483510" w14:paraId="5855D8BA" w14:textId="77777777" w:rsidTr="009D1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3480549A" w14:textId="77777777" w:rsidR="007E5E90" w:rsidRPr="007E5E90" w:rsidRDefault="007E5E90" w:rsidP="007E5E90">
            <w:pPr>
              <w:rPr>
                <w:rFonts w:ascii="Arial Narrow" w:hAnsi="Arial Narrow"/>
                <w:sz w:val="18"/>
                <w:szCs w:val="18"/>
              </w:rPr>
            </w:pPr>
            <w:r w:rsidRPr="001A5D37">
              <w:rPr>
                <w:rFonts w:ascii="Arial Narrow" w:hAnsi="Arial Narrow"/>
                <w:sz w:val="18"/>
                <w:szCs w:val="18"/>
              </w:rPr>
              <w:t>GWh</w:t>
            </w:r>
          </w:p>
        </w:tc>
        <w:tc>
          <w:tcPr>
            <w:tcW w:w="1872" w:type="dxa"/>
            <w:vAlign w:val="top"/>
          </w:tcPr>
          <w:p w14:paraId="3A3A5B3B"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44.4</w:t>
            </w:r>
          </w:p>
        </w:tc>
        <w:tc>
          <w:tcPr>
            <w:tcW w:w="1872" w:type="dxa"/>
            <w:vAlign w:val="top"/>
          </w:tcPr>
          <w:p w14:paraId="6BCAC49E"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47.4</w:t>
            </w:r>
          </w:p>
        </w:tc>
        <w:tc>
          <w:tcPr>
            <w:tcW w:w="1872" w:type="dxa"/>
            <w:vAlign w:val="top"/>
          </w:tcPr>
          <w:p w14:paraId="5CE5C799"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45.9</w:t>
            </w:r>
          </w:p>
        </w:tc>
        <w:tc>
          <w:tcPr>
            <w:tcW w:w="1872" w:type="dxa"/>
          </w:tcPr>
          <w:p w14:paraId="76272F7E" w14:textId="77777777" w:rsidR="007E5E90" w:rsidRPr="007E5E90" w:rsidRDefault="007E5E90" w:rsidP="007E5E9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A5D37">
              <w:rPr>
                <w:rFonts w:ascii="Arial Narrow" w:hAnsi="Arial Narrow"/>
                <w:sz w:val="18"/>
                <w:szCs w:val="18"/>
              </w:rPr>
              <w:t>0.28%</w:t>
            </w:r>
          </w:p>
        </w:tc>
      </w:tr>
      <w:tr w:rsidR="007E5E90" w:rsidRPr="00483510" w14:paraId="76FB40A5" w14:textId="77777777" w:rsidTr="009D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70683D65" w14:textId="77777777" w:rsidR="007E5E90" w:rsidRPr="007E5E90" w:rsidRDefault="007E5E90" w:rsidP="007E5E90">
            <w:pPr>
              <w:rPr>
                <w:rFonts w:ascii="Arial Narrow" w:hAnsi="Arial Narrow"/>
                <w:sz w:val="18"/>
                <w:szCs w:val="18"/>
              </w:rPr>
            </w:pPr>
            <w:r w:rsidRPr="001A5D37">
              <w:rPr>
                <w:rFonts w:ascii="Arial Narrow" w:hAnsi="Arial Narrow"/>
                <w:sz w:val="18"/>
                <w:szCs w:val="18"/>
              </w:rPr>
              <w:t>MMTherm</w:t>
            </w:r>
          </w:p>
        </w:tc>
        <w:tc>
          <w:tcPr>
            <w:tcW w:w="1872" w:type="dxa"/>
            <w:vAlign w:val="top"/>
          </w:tcPr>
          <w:p w14:paraId="6A08461F"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0.41</w:t>
            </w:r>
          </w:p>
        </w:tc>
        <w:tc>
          <w:tcPr>
            <w:tcW w:w="1872" w:type="dxa"/>
            <w:vAlign w:val="top"/>
          </w:tcPr>
          <w:p w14:paraId="5A770BF8"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2.50</w:t>
            </w:r>
          </w:p>
        </w:tc>
        <w:tc>
          <w:tcPr>
            <w:tcW w:w="1872" w:type="dxa"/>
            <w:vAlign w:val="top"/>
          </w:tcPr>
          <w:p w14:paraId="24131AD6"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1.46</w:t>
            </w:r>
          </w:p>
        </w:tc>
        <w:tc>
          <w:tcPr>
            <w:tcW w:w="1872" w:type="dxa"/>
          </w:tcPr>
          <w:p w14:paraId="0BF9533F" w14:textId="77777777" w:rsidR="007E5E90" w:rsidRPr="007E5E90" w:rsidRDefault="007E5E90" w:rsidP="007E5E9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A5D37">
              <w:rPr>
                <w:rFonts w:ascii="Arial Narrow" w:hAnsi="Arial Narrow"/>
                <w:sz w:val="18"/>
                <w:szCs w:val="18"/>
              </w:rPr>
              <w:t>1.20%</w:t>
            </w:r>
          </w:p>
        </w:tc>
      </w:tr>
    </w:tbl>
    <w:p w14:paraId="1FEBF2F4" w14:textId="77777777" w:rsidR="002A4C2F" w:rsidRPr="001A5D37" w:rsidRDefault="0051633E" w:rsidP="0051633E">
      <w:pPr>
        <w:jc w:val="center"/>
        <w:rPr>
          <w:rFonts w:cs="Arial"/>
          <w:i/>
          <w:sz w:val="16"/>
          <w:szCs w:val="16"/>
        </w:rPr>
      </w:pPr>
      <w:r w:rsidRPr="001A5D37">
        <w:rPr>
          <w:rFonts w:cs="Arial"/>
          <w:i/>
          <w:sz w:val="16"/>
          <w:szCs w:val="16"/>
        </w:rPr>
        <w:lastRenderedPageBreak/>
        <w:t xml:space="preserve">Source: Navigant analysis of EEStats and </w:t>
      </w:r>
      <w:r w:rsidR="001A5D37" w:rsidRPr="001A5D37">
        <w:rPr>
          <w:rFonts w:cs="Arial"/>
          <w:i/>
          <w:sz w:val="16"/>
          <w:szCs w:val="16"/>
        </w:rPr>
        <w:t>identified literature</w:t>
      </w:r>
    </w:p>
    <w:p w14:paraId="39D43B9B" w14:textId="77777777" w:rsidR="0051633E" w:rsidRPr="0051633E" w:rsidRDefault="0051633E" w:rsidP="002A4C2F">
      <w:pPr>
        <w:rPr>
          <w:rFonts w:cs="Arial"/>
          <w:sz w:val="22"/>
        </w:rPr>
      </w:pPr>
    </w:p>
    <w:p w14:paraId="1DFF6F4B" w14:textId="77777777" w:rsidR="007E5E90" w:rsidRDefault="00F07231" w:rsidP="002A4C2F">
      <w:r w:rsidRPr="00F07231">
        <w:t>The GC UES multiplier was held constant throughout the forecast horizon and was applied to the consumption forecast for each market segment level throughout the forecast horizon using the following equation:</w:t>
      </w:r>
    </w:p>
    <w:p w14:paraId="6B5D5CBF" w14:textId="77777777" w:rsidR="007E5E90" w:rsidRPr="004C3E4D" w:rsidRDefault="007E5E90" w:rsidP="004C3E4D">
      <w:pPr>
        <w:pStyle w:val="Caption"/>
        <w:rPr>
          <w:lang w:val="en-CA"/>
        </w:rPr>
      </w:pPr>
      <w:r w:rsidRPr="00321BF9">
        <w:t xml:space="preserve">Equation </w:t>
      </w:r>
      <w:r w:rsidR="00272F76">
        <w:fldChar w:fldCharType="begin"/>
      </w:r>
      <w:r w:rsidR="00272F76">
        <w:instrText xml:space="preserve"> SEQ Equation \* ARABIC </w:instrText>
      </w:r>
      <w:r w:rsidR="00272F76">
        <w:fldChar w:fldCharType="separate"/>
      </w:r>
      <w:r w:rsidR="00C407F4">
        <w:rPr>
          <w:noProof/>
        </w:rPr>
        <w:t>3</w:t>
      </w:r>
      <w:r w:rsidR="00272F76">
        <w:rPr>
          <w:noProof/>
        </w:rPr>
        <w:fldChar w:fldCharType="end"/>
      </w:r>
      <w:r w:rsidRPr="00321BF9">
        <w:t>.</w:t>
      </w:r>
      <w:r w:rsidR="004C3E4D">
        <w:t>G</w:t>
      </w:r>
      <w:r w:rsidR="00A40F34">
        <w:t>eneric Custom</w:t>
      </w:r>
      <w:r w:rsidR="004C3E4D">
        <w:t xml:space="preserve"> Segment Net Savings Potential</w:t>
      </w:r>
    </w:p>
    <w:p w14:paraId="77BBF6AE" w14:textId="77777777" w:rsidR="002A4C2F" w:rsidRPr="007352B2" w:rsidRDefault="002A4C2F" w:rsidP="004C3E4D">
      <w:pPr>
        <w:ind w:left="720"/>
        <w:jc w:val="center"/>
        <w:rPr>
          <w:rFonts w:ascii="Cambria Math" w:hAnsi="Cambria Math" w:cs="Cambria Math"/>
          <w:i/>
        </w:rPr>
      </w:pPr>
      <w:r w:rsidRPr="007352B2">
        <w:rPr>
          <w:rFonts w:ascii="Cambria Math" w:hAnsi="Cambria Math" w:cs="Cambria Math"/>
          <w:i/>
        </w:rPr>
        <w:t>GC segment level EE net savings potential = GC UES Multiplier x Annual Segment Consumption</w:t>
      </w:r>
      <w:r w:rsidR="004C3E4D" w:rsidRPr="007352B2">
        <w:rPr>
          <w:rStyle w:val="FootnoteReference"/>
          <w:rFonts w:cs="Cambria Math"/>
          <w:i/>
        </w:rPr>
        <w:footnoteReference w:id="183"/>
      </w:r>
    </w:p>
    <w:p w14:paraId="00F3759D" w14:textId="77777777" w:rsidR="002A4C2F" w:rsidRDefault="002A4C2F" w:rsidP="002A4C2F">
      <w:pPr>
        <w:rPr>
          <w:highlight w:val="yellow"/>
        </w:rPr>
      </w:pPr>
    </w:p>
    <w:p w14:paraId="16F3BA04" w14:textId="77777777" w:rsidR="00F07231" w:rsidRPr="00E0196A" w:rsidRDefault="00F07231" w:rsidP="002A4C2F">
      <w:pPr>
        <w:rPr>
          <w:b/>
          <w:u w:val="single"/>
        </w:rPr>
      </w:pPr>
      <w:r>
        <w:rPr>
          <w:b/>
          <w:u w:val="single"/>
        </w:rPr>
        <w:t>Other Input Assumptions</w:t>
      </w:r>
    </w:p>
    <w:p w14:paraId="1F33E4DA" w14:textId="77777777" w:rsidR="00F07231" w:rsidRDefault="00F07231" w:rsidP="00F07231">
      <w:r>
        <w:t>Because generic custom measures tend to be larger capital investments that operate for long periods of time an EUL of 15 years was used in the forecasts.</w:t>
      </w:r>
    </w:p>
    <w:p w14:paraId="24DF436B" w14:textId="77777777" w:rsidR="00F07231" w:rsidRDefault="00F07231" w:rsidP="00F07231"/>
    <w:p w14:paraId="242A3541" w14:textId="77777777" w:rsidR="00F07231" w:rsidRDefault="00F07231" w:rsidP="00F07231">
      <w:r>
        <w:t>A ratio of kW to kWh of 0.000195 was applied.</w:t>
      </w:r>
    </w:p>
    <w:p w14:paraId="0249C47D" w14:textId="77777777" w:rsidR="00F07231" w:rsidRDefault="00F07231" w:rsidP="00F07231"/>
    <w:p w14:paraId="63039E47" w14:textId="77777777" w:rsidR="00F07231" w:rsidRDefault="00F07231" w:rsidP="00F07231">
      <w:pPr>
        <w:rPr>
          <w:highlight w:val="yellow"/>
        </w:rPr>
      </w:pPr>
      <w:r>
        <w:t>Finally, costs for electricity and natural gas savings are based on an analysis of industrial and agricultural programs operating throughout 2016. They are estimated at $0.33/kWh and $2.25/therm, and they are applied consistently across sectors and utilities.</w:t>
      </w:r>
      <w:r w:rsidRPr="00F07231">
        <w:t xml:space="preserve"> </w:t>
      </w:r>
    </w:p>
    <w:p w14:paraId="1CDBE818" w14:textId="77777777" w:rsidR="002A4C2F" w:rsidRPr="00F52378" w:rsidRDefault="007352B2" w:rsidP="00F52378">
      <w:pPr>
        <w:pStyle w:val="Heading6"/>
      </w:pPr>
      <w:bookmarkStart w:id="1055" w:name="_Toc484070681"/>
      <w:bookmarkStart w:id="1056" w:name="_Toc484092529"/>
      <w:bookmarkStart w:id="1057" w:name="_Toc484172734"/>
      <w:bookmarkStart w:id="1058" w:name="_Toc484183081"/>
      <w:bookmarkStart w:id="1059" w:name="_Toc485126602"/>
      <w:r>
        <w:t xml:space="preserve">Ind/Ag </w:t>
      </w:r>
      <w:r w:rsidR="002A4C2F">
        <w:t>Emerging Technology Measures</w:t>
      </w:r>
      <w:bookmarkEnd w:id="1055"/>
      <w:bookmarkEnd w:id="1056"/>
      <w:bookmarkEnd w:id="1057"/>
      <w:bookmarkEnd w:id="1058"/>
      <w:bookmarkEnd w:id="1059"/>
    </w:p>
    <w:p w14:paraId="3B63AECB" w14:textId="77777777" w:rsidR="00E0196A" w:rsidRDefault="00E0196A" w:rsidP="00E0196A">
      <w:pPr>
        <w:rPr>
          <w:b/>
          <w:u w:val="single"/>
        </w:rPr>
      </w:pPr>
      <w:bookmarkStart w:id="1060" w:name="_Toc484070682"/>
      <w:r w:rsidRPr="007B26F3">
        <w:rPr>
          <w:b/>
          <w:u w:val="single"/>
        </w:rPr>
        <w:t xml:space="preserve">Summary </w:t>
      </w:r>
    </w:p>
    <w:p w14:paraId="7A3585EC" w14:textId="77777777" w:rsidR="007352B2" w:rsidRPr="007B26F3" w:rsidRDefault="007352B2" w:rsidP="00E0196A">
      <w:pPr>
        <w:rPr>
          <w:b/>
          <w:u w:val="single"/>
        </w:rPr>
      </w:pPr>
    </w:p>
    <w:p w14:paraId="725FA950" w14:textId="77777777" w:rsidR="00E0196A" w:rsidRDefault="00E0196A" w:rsidP="00E0196A">
      <w:r>
        <w:t>In the context of the 2018 PG Study, emerging technologies (ETs) are new technologies that have demonstrated energy benefits to the Industrial and Agricultural sectors, but are not yet widely adopted in the market. The team evaluated ETs at varying stages along the path to market readiness – some were just demonstrated in a laboratory or research setting, and others had been proven effective through pilot tests and are in early commercial adoption. The following provides a description of the methodology used to evaluate the emerging technology market.</w:t>
      </w:r>
    </w:p>
    <w:p w14:paraId="5AEF688F" w14:textId="77777777" w:rsidR="00E0196A" w:rsidRDefault="00E0196A" w:rsidP="00E0196A"/>
    <w:p w14:paraId="2D8B1197" w14:textId="77777777" w:rsidR="00E0196A" w:rsidRDefault="00936C30" w:rsidP="00E0196A">
      <w:r>
        <w:t>T</w:t>
      </w:r>
      <w:r w:rsidR="00E0196A" w:rsidRPr="00E0196A">
        <w:t>he Assumptions and Methodology</w:t>
      </w:r>
      <w:r w:rsidR="00E0196A">
        <w:t xml:space="preserve"> section</w:t>
      </w:r>
      <w:r w:rsidR="00E0196A" w:rsidRPr="00E0196A">
        <w:t xml:space="preserve"> </w:t>
      </w:r>
      <w:r>
        <w:t xml:space="preserve">discusses the process used to develop the </w:t>
      </w:r>
      <w:r w:rsidR="00E0196A" w:rsidRPr="00E0196A">
        <w:t>model inputs for energy sa</w:t>
      </w:r>
      <w:r>
        <w:t>vings that are also</w:t>
      </w:r>
      <w:r w:rsidR="00E0196A">
        <w:t xml:space="preserve"> summarized in Table E-</w:t>
      </w:r>
      <w:r w:rsidR="007352B2">
        <w:t>3</w:t>
      </w:r>
      <w:r w:rsidR="00E0196A">
        <w:t xml:space="preserve">. </w:t>
      </w:r>
      <w:r w:rsidR="00E0196A" w:rsidRPr="00E0196A">
        <w:t>Segment-specific electric and gas savings are consistently applied across all utilities. Costs, EUL, and the kW/kWh savings ratio are also universally applied.</w:t>
      </w:r>
    </w:p>
    <w:p w14:paraId="4B2E86F3" w14:textId="77777777" w:rsidR="00E0196A" w:rsidRDefault="00E0196A" w:rsidP="00E0196A"/>
    <w:p w14:paraId="52FC01DA" w14:textId="77777777" w:rsidR="00E0196A" w:rsidRPr="00B57F57" w:rsidRDefault="00E0196A" w:rsidP="00E0196A">
      <w:pPr>
        <w:pStyle w:val="Caption"/>
        <w:rPr>
          <w:b w:val="0"/>
          <w:szCs w:val="24"/>
        </w:rPr>
      </w:pPr>
      <w:bookmarkStart w:id="1061" w:name="_Toc485125619"/>
      <w:r>
        <w:t xml:space="preserve">Table </w:t>
      </w:r>
      <w:r w:rsidR="00272F76">
        <w:fldChar w:fldCharType="begin"/>
      </w:r>
      <w:r w:rsidR="00272F76">
        <w:instrText xml:space="preserve"> STYLEREF 5 \s </w:instrText>
      </w:r>
      <w:r w:rsidR="00272F76">
        <w:fldChar w:fldCharType="separate"/>
      </w:r>
      <w:r w:rsidR="00C407F4">
        <w:rPr>
          <w:noProof/>
        </w:rPr>
        <w:t>E</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3</w:t>
      </w:r>
      <w:r w:rsidR="00272F76">
        <w:rPr>
          <w:noProof/>
        </w:rPr>
        <w:fldChar w:fldCharType="end"/>
      </w:r>
      <w:r>
        <w:t>. Industrial/Agriculture ET - Key Assumptions</w:t>
      </w:r>
      <w:bookmarkEnd w:id="1061"/>
    </w:p>
    <w:tbl>
      <w:tblPr>
        <w:tblW w:w="9450" w:type="dxa"/>
        <w:jc w:val="center"/>
        <w:tblBorders>
          <w:bottom w:val="single" w:sz="8" w:space="0" w:color="555759"/>
          <w:insideH w:val="single" w:sz="4" w:space="0" w:color="DCDDDE"/>
        </w:tblBorders>
        <w:tblLayout w:type="fixed"/>
        <w:tblLook w:val="04A0" w:firstRow="1" w:lastRow="0" w:firstColumn="1" w:lastColumn="0" w:noHBand="0" w:noVBand="1"/>
      </w:tblPr>
      <w:tblGrid>
        <w:gridCol w:w="1106"/>
        <w:gridCol w:w="1650"/>
        <w:gridCol w:w="964"/>
        <w:gridCol w:w="1006"/>
        <w:gridCol w:w="1088"/>
        <w:gridCol w:w="924"/>
        <w:gridCol w:w="1362"/>
        <w:gridCol w:w="1350"/>
      </w:tblGrid>
      <w:tr w:rsidR="00E0196A" w:rsidRPr="007352B2" w14:paraId="46748F9C" w14:textId="77777777" w:rsidTr="007352B2">
        <w:trPr>
          <w:cantSplit/>
          <w:trHeight w:val="296"/>
          <w:jc w:val="center"/>
        </w:trPr>
        <w:tc>
          <w:tcPr>
            <w:tcW w:w="1106" w:type="dxa"/>
            <w:vMerge w:val="restart"/>
            <w:tcBorders>
              <w:top w:val="nil"/>
              <w:left w:val="nil"/>
              <w:bottom w:val="single" w:sz="12" w:space="0" w:color="95D600"/>
              <w:right w:val="nil"/>
              <w:tl2br w:val="nil"/>
              <w:tr2bl w:val="nil"/>
            </w:tcBorders>
            <w:shd w:val="clear" w:color="auto" w:fill="555759"/>
            <w:vAlign w:val="center"/>
            <w:hideMark/>
          </w:tcPr>
          <w:p w14:paraId="28DFDF6A"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Sector</w:t>
            </w:r>
          </w:p>
        </w:tc>
        <w:tc>
          <w:tcPr>
            <w:tcW w:w="1650" w:type="dxa"/>
            <w:vMerge w:val="restart"/>
            <w:tcBorders>
              <w:top w:val="nil"/>
              <w:left w:val="nil"/>
              <w:bottom w:val="single" w:sz="12" w:space="0" w:color="95D600"/>
              <w:right w:val="nil"/>
              <w:tl2br w:val="nil"/>
              <w:tr2bl w:val="nil"/>
            </w:tcBorders>
            <w:shd w:val="clear" w:color="auto" w:fill="555759"/>
            <w:vAlign w:val="center"/>
            <w:hideMark/>
          </w:tcPr>
          <w:p w14:paraId="2F8AA978"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Type</w:t>
            </w:r>
          </w:p>
        </w:tc>
        <w:tc>
          <w:tcPr>
            <w:tcW w:w="964" w:type="dxa"/>
            <w:vMerge w:val="restart"/>
            <w:tcBorders>
              <w:top w:val="nil"/>
              <w:left w:val="nil"/>
              <w:bottom w:val="single" w:sz="12" w:space="0" w:color="95D600"/>
              <w:right w:val="nil"/>
              <w:tl2br w:val="nil"/>
              <w:tr2bl w:val="nil"/>
            </w:tcBorders>
            <w:shd w:val="clear" w:color="auto" w:fill="555759"/>
            <w:vAlign w:val="center"/>
            <w:hideMark/>
          </w:tcPr>
          <w:p w14:paraId="759430C4"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EUL years</w:t>
            </w:r>
          </w:p>
        </w:tc>
        <w:tc>
          <w:tcPr>
            <w:tcW w:w="2094" w:type="dxa"/>
            <w:gridSpan w:val="2"/>
            <w:tcBorders>
              <w:top w:val="nil"/>
              <w:left w:val="nil"/>
              <w:bottom w:val="single" w:sz="2" w:space="0" w:color="FFFFFF"/>
              <w:right w:val="nil"/>
              <w:tl2br w:val="nil"/>
              <w:tr2bl w:val="nil"/>
            </w:tcBorders>
            <w:shd w:val="clear" w:color="auto" w:fill="555759"/>
            <w:vAlign w:val="center"/>
            <w:hideMark/>
          </w:tcPr>
          <w:p w14:paraId="511FB6AE"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Savings</w:t>
            </w:r>
          </w:p>
        </w:tc>
        <w:tc>
          <w:tcPr>
            <w:tcW w:w="2286" w:type="dxa"/>
            <w:gridSpan w:val="2"/>
            <w:tcBorders>
              <w:top w:val="nil"/>
              <w:left w:val="nil"/>
              <w:bottom w:val="single" w:sz="2" w:space="0" w:color="FFFFFF"/>
              <w:right w:val="nil"/>
              <w:tl2br w:val="nil"/>
              <w:tr2bl w:val="nil"/>
            </w:tcBorders>
            <w:shd w:val="clear" w:color="auto" w:fill="555759"/>
            <w:vAlign w:val="center"/>
            <w:hideMark/>
          </w:tcPr>
          <w:p w14:paraId="48B00535"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Cost</w:t>
            </w:r>
          </w:p>
        </w:tc>
        <w:tc>
          <w:tcPr>
            <w:tcW w:w="1350" w:type="dxa"/>
            <w:vMerge w:val="restart"/>
            <w:tcBorders>
              <w:top w:val="nil"/>
              <w:left w:val="nil"/>
              <w:bottom w:val="single" w:sz="12" w:space="0" w:color="95D600"/>
              <w:right w:val="nil"/>
              <w:tl2br w:val="nil"/>
              <w:tr2bl w:val="nil"/>
            </w:tcBorders>
            <w:shd w:val="clear" w:color="auto" w:fill="555759"/>
            <w:vAlign w:val="center"/>
            <w:hideMark/>
          </w:tcPr>
          <w:p w14:paraId="23C48D7C"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kW/kWh Savings Ratio</w:t>
            </w:r>
          </w:p>
        </w:tc>
      </w:tr>
      <w:tr w:rsidR="00E0196A" w:rsidRPr="007352B2" w14:paraId="67B3492A" w14:textId="77777777" w:rsidTr="007352B2">
        <w:trPr>
          <w:cantSplit/>
          <w:trHeight w:val="144"/>
          <w:jc w:val="center"/>
        </w:trPr>
        <w:tc>
          <w:tcPr>
            <w:tcW w:w="1106" w:type="dxa"/>
            <w:vMerge/>
            <w:tcBorders>
              <w:bottom w:val="single" w:sz="12" w:space="0" w:color="95D600"/>
            </w:tcBorders>
            <w:shd w:val="clear" w:color="auto" w:fill="auto"/>
            <w:vAlign w:val="center"/>
            <w:hideMark/>
          </w:tcPr>
          <w:p w14:paraId="00B62B0B" w14:textId="77777777" w:rsidR="00E0196A" w:rsidRPr="007352B2" w:rsidRDefault="00E0196A" w:rsidP="007352B2">
            <w:pPr>
              <w:spacing w:before="40" w:after="40"/>
              <w:jc w:val="center"/>
              <w:rPr>
                <w:rFonts w:ascii="Arial Narrow" w:hAnsi="Arial Narrow"/>
                <w:sz w:val="18"/>
                <w:szCs w:val="18"/>
              </w:rPr>
            </w:pPr>
          </w:p>
        </w:tc>
        <w:tc>
          <w:tcPr>
            <w:tcW w:w="1650" w:type="dxa"/>
            <w:vMerge/>
            <w:tcBorders>
              <w:bottom w:val="single" w:sz="12" w:space="0" w:color="95D600"/>
            </w:tcBorders>
            <w:shd w:val="clear" w:color="auto" w:fill="auto"/>
            <w:vAlign w:val="center"/>
            <w:hideMark/>
          </w:tcPr>
          <w:p w14:paraId="679DF087" w14:textId="77777777" w:rsidR="00E0196A" w:rsidRPr="007352B2" w:rsidRDefault="00E0196A" w:rsidP="007352B2">
            <w:pPr>
              <w:spacing w:before="40" w:after="40"/>
              <w:jc w:val="center"/>
              <w:rPr>
                <w:rFonts w:ascii="Arial Narrow" w:hAnsi="Arial Narrow"/>
                <w:sz w:val="18"/>
                <w:szCs w:val="18"/>
              </w:rPr>
            </w:pPr>
          </w:p>
        </w:tc>
        <w:tc>
          <w:tcPr>
            <w:tcW w:w="964" w:type="dxa"/>
            <w:vMerge/>
            <w:tcBorders>
              <w:bottom w:val="single" w:sz="12" w:space="0" w:color="95D600"/>
            </w:tcBorders>
            <w:shd w:val="clear" w:color="auto" w:fill="555759"/>
            <w:vAlign w:val="center"/>
            <w:hideMark/>
          </w:tcPr>
          <w:p w14:paraId="31215957" w14:textId="77777777" w:rsidR="00E0196A" w:rsidRPr="007352B2" w:rsidRDefault="00E0196A" w:rsidP="007352B2">
            <w:pPr>
              <w:spacing w:before="40" w:after="40"/>
              <w:jc w:val="center"/>
              <w:rPr>
                <w:rFonts w:ascii="Arial Narrow" w:hAnsi="Arial Narrow"/>
                <w:sz w:val="18"/>
                <w:szCs w:val="18"/>
              </w:rPr>
            </w:pPr>
          </w:p>
        </w:tc>
        <w:tc>
          <w:tcPr>
            <w:tcW w:w="1006" w:type="dxa"/>
            <w:tcBorders>
              <w:top w:val="single" w:sz="2" w:space="0" w:color="FFFFFF"/>
              <w:bottom w:val="single" w:sz="12" w:space="0" w:color="95D600"/>
            </w:tcBorders>
            <w:shd w:val="clear" w:color="auto" w:fill="555759"/>
            <w:vAlign w:val="center"/>
            <w:hideMark/>
          </w:tcPr>
          <w:p w14:paraId="676D2BEE"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088" w:type="dxa"/>
            <w:tcBorders>
              <w:top w:val="single" w:sz="2" w:space="0" w:color="FFFFFF"/>
              <w:bottom w:val="single" w:sz="12" w:space="0" w:color="95D600"/>
            </w:tcBorders>
            <w:shd w:val="clear" w:color="auto" w:fill="555759"/>
            <w:vAlign w:val="center"/>
            <w:hideMark/>
          </w:tcPr>
          <w:p w14:paraId="623B34AE"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924" w:type="dxa"/>
            <w:tcBorders>
              <w:top w:val="single" w:sz="2" w:space="0" w:color="FFFFFF"/>
              <w:bottom w:val="single" w:sz="12" w:space="0" w:color="95D600"/>
            </w:tcBorders>
            <w:shd w:val="clear" w:color="auto" w:fill="555759"/>
            <w:vAlign w:val="center"/>
            <w:hideMark/>
          </w:tcPr>
          <w:p w14:paraId="1460F4A5"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362" w:type="dxa"/>
            <w:tcBorders>
              <w:top w:val="single" w:sz="2" w:space="0" w:color="FFFFFF"/>
              <w:bottom w:val="single" w:sz="12" w:space="0" w:color="95D600"/>
            </w:tcBorders>
            <w:shd w:val="clear" w:color="auto" w:fill="555759"/>
            <w:vAlign w:val="center"/>
            <w:hideMark/>
          </w:tcPr>
          <w:p w14:paraId="669613F6"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1350" w:type="dxa"/>
            <w:vMerge/>
            <w:tcBorders>
              <w:bottom w:val="single" w:sz="12" w:space="0" w:color="95D600"/>
            </w:tcBorders>
            <w:shd w:val="clear" w:color="auto" w:fill="auto"/>
            <w:vAlign w:val="center"/>
            <w:hideMark/>
          </w:tcPr>
          <w:p w14:paraId="2688C326" w14:textId="77777777" w:rsidR="00E0196A" w:rsidRPr="007352B2" w:rsidRDefault="00E0196A" w:rsidP="007352B2">
            <w:pPr>
              <w:spacing w:before="40" w:after="40"/>
              <w:jc w:val="center"/>
              <w:rPr>
                <w:rFonts w:ascii="Arial Narrow" w:hAnsi="Arial Narrow"/>
                <w:sz w:val="18"/>
                <w:szCs w:val="18"/>
              </w:rPr>
            </w:pPr>
          </w:p>
        </w:tc>
      </w:tr>
      <w:tr w:rsidR="00E0196A" w:rsidRPr="007352B2" w14:paraId="2932E59B" w14:textId="77777777" w:rsidTr="005F4903">
        <w:trPr>
          <w:cantSplit/>
          <w:trHeight w:val="663"/>
          <w:jc w:val="center"/>
        </w:trPr>
        <w:tc>
          <w:tcPr>
            <w:tcW w:w="1106" w:type="dxa"/>
            <w:tcBorders>
              <w:top w:val="single" w:sz="12" w:space="0" w:color="95D600"/>
            </w:tcBorders>
            <w:shd w:val="clear" w:color="auto" w:fill="FFFFFF"/>
            <w:vAlign w:val="center"/>
            <w:hideMark/>
          </w:tcPr>
          <w:p w14:paraId="640AD195"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AIMS (Ind/Ag)</w:t>
            </w:r>
          </w:p>
        </w:tc>
        <w:tc>
          <w:tcPr>
            <w:tcW w:w="1650" w:type="dxa"/>
            <w:tcBorders>
              <w:top w:val="single" w:sz="12" w:space="0" w:color="95D600"/>
            </w:tcBorders>
            <w:shd w:val="clear" w:color="auto" w:fill="FFFFFF"/>
            <w:vAlign w:val="center"/>
            <w:hideMark/>
          </w:tcPr>
          <w:p w14:paraId="0E172E9A"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Emerging Technologies (ET)</w:t>
            </w:r>
          </w:p>
        </w:tc>
        <w:tc>
          <w:tcPr>
            <w:tcW w:w="964" w:type="dxa"/>
            <w:tcBorders>
              <w:top w:val="single" w:sz="12" w:space="0" w:color="95D600"/>
            </w:tcBorders>
            <w:shd w:val="clear" w:color="auto" w:fill="FFFFFF"/>
            <w:vAlign w:val="center"/>
            <w:hideMark/>
          </w:tcPr>
          <w:p w14:paraId="2A638BE2"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15</w:t>
            </w:r>
          </w:p>
        </w:tc>
        <w:tc>
          <w:tcPr>
            <w:tcW w:w="1006" w:type="dxa"/>
            <w:tcBorders>
              <w:top w:val="single" w:sz="12" w:space="0" w:color="95D600"/>
            </w:tcBorders>
            <w:shd w:val="clear" w:color="auto" w:fill="FFFFFF"/>
            <w:vAlign w:val="center"/>
            <w:hideMark/>
          </w:tcPr>
          <w:p w14:paraId="47FA30F2"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0.18% - 4.8%</w:t>
            </w:r>
          </w:p>
        </w:tc>
        <w:tc>
          <w:tcPr>
            <w:tcW w:w="1088" w:type="dxa"/>
            <w:tcBorders>
              <w:top w:val="single" w:sz="12" w:space="0" w:color="95D600"/>
            </w:tcBorders>
            <w:shd w:val="clear" w:color="auto" w:fill="FFFFFF"/>
            <w:vAlign w:val="center"/>
            <w:hideMark/>
          </w:tcPr>
          <w:p w14:paraId="64349791"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0.44% - 9.5%</w:t>
            </w:r>
          </w:p>
        </w:tc>
        <w:tc>
          <w:tcPr>
            <w:tcW w:w="924" w:type="dxa"/>
            <w:tcBorders>
              <w:top w:val="single" w:sz="12" w:space="0" w:color="95D600"/>
            </w:tcBorders>
            <w:shd w:val="clear" w:color="auto" w:fill="FFFFFF"/>
            <w:vAlign w:val="center"/>
            <w:hideMark/>
          </w:tcPr>
          <w:p w14:paraId="50A785D8"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$0.42</w:t>
            </w:r>
          </w:p>
        </w:tc>
        <w:tc>
          <w:tcPr>
            <w:tcW w:w="1362" w:type="dxa"/>
            <w:tcBorders>
              <w:top w:val="single" w:sz="12" w:space="0" w:color="95D600"/>
            </w:tcBorders>
            <w:shd w:val="clear" w:color="auto" w:fill="FFFFFF"/>
            <w:vAlign w:val="center"/>
            <w:hideMark/>
          </w:tcPr>
          <w:p w14:paraId="45C68616" w14:textId="77777777" w:rsidR="00E0196A" w:rsidRPr="007352B2" w:rsidRDefault="00E0196A" w:rsidP="007352B2">
            <w:pPr>
              <w:spacing w:before="40" w:after="40"/>
              <w:jc w:val="center"/>
              <w:rPr>
                <w:rFonts w:ascii="Arial Narrow" w:hAnsi="Arial Narrow"/>
                <w:sz w:val="18"/>
                <w:szCs w:val="18"/>
                <w:highlight w:val="red"/>
              </w:rPr>
            </w:pPr>
            <w:r w:rsidRPr="007352B2">
              <w:rPr>
                <w:rFonts w:ascii="Arial Narrow" w:hAnsi="Arial Narrow"/>
                <w:sz w:val="18"/>
                <w:szCs w:val="18"/>
              </w:rPr>
              <w:t>$2.83</w:t>
            </w:r>
          </w:p>
        </w:tc>
        <w:tc>
          <w:tcPr>
            <w:tcW w:w="1350" w:type="dxa"/>
            <w:tcBorders>
              <w:top w:val="single" w:sz="12" w:space="0" w:color="95D600"/>
            </w:tcBorders>
            <w:shd w:val="clear" w:color="auto" w:fill="FFFFFF"/>
            <w:vAlign w:val="center"/>
            <w:hideMark/>
          </w:tcPr>
          <w:p w14:paraId="6C12D2EE"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0.000195</w:t>
            </w:r>
          </w:p>
        </w:tc>
      </w:tr>
    </w:tbl>
    <w:p w14:paraId="209F2994" w14:textId="77777777" w:rsidR="00E0196A" w:rsidRDefault="00E0196A" w:rsidP="00E0196A"/>
    <w:p w14:paraId="150AC412" w14:textId="77777777" w:rsidR="00BC3107" w:rsidRDefault="00BC3107" w:rsidP="00BC3107">
      <w:pPr>
        <w:rPr>
          <w:b/>
          <w:u w:val="single"/>
        </w:rPr>
      </w:pPr>
      <w:r>
        <w:rPr>
          <w:b/>
          <w:u w:val="single"/>
        </w:rPr>
        <w:t>Eligibility and Participation</w:t>
      </w:r>
      <w:bookmarkEnd w:id="1060"/>
    </w:p>
    <w:p w14:paraId="5910ADF2" w14:textId="77777777" w:rsidR="002A4C2F" w:rsidRPr="00F52378" w:rsidRDefault="002A4C2F" w:rsidP="00BC3107">
      <w:pPr>
        <w:rPr>
          <w:b/>
          <w:u w:val="single"/>
        </w:rPr>
      </w:pPr>
      <w:r w:rsidRPr="00F52378">
        <w:rPr>
          <w:b/>
          <w:u w:val="single"/>
        </w:rPr>
        <w:t xml:space="preserve"> </w:t>
      </w:r>
    </w:p>
    <w:p w14:paraId="6FEDFAB9" w14:textId="77777777" w:rsidR="002A4C2F" w:rsidRDefault="002A4C2F" w:rsidP="002A4C2F">
      <w:r>
        <w:lastRenderedPageBreak/>
        <w:t xml:space="preserve">The process to evaluate </w:t>
      </w:r>
      <w:r w:rsidR="00BC3107" w:rsidRPr="00BC3107">
        <w:t>eligibility and participation was to first identify the portfolio of ETs applicable to the Indust</w:t>
      </w:r>
      <w:r w:rsidR="00BC3107">
        <w:t xml:space="preserve">rial and Agricultural sectors. </w:t>
      </w:r>
      <w:r w:rsidR="00BC3107" w:rsidRPr="00BC3107">
        <w:t>Defining this portfolio was accomplished through</w:t>
      </w:r>
      <w:r>
        <w:t xml:space="preserve"> the following steps:</w:t>
      </w:r>
    </w:p>
    <w:p w14:paraId="17B874EF" w14:textId="77777777" w:rsidR="00BC3107" w:rsidRDefault="00BC3107" w:rsidP="004E4E36">
      <w:pPr>
        <w:pStyle w:val="ListParagraph"/>
        <w:numPr>
          <w:ilvl w:val="0"/>
          <w:numId w:val="69"/>
        </w:numPr>
      </w:pPr>
      <w:r>
        <w:t>Collect data to assemble a broad portfolio of ETs.</w:t>
      </w:r>
    </w:p>
    <w:p w14:paraId="1A6AB3B1" w14:textId="77777777" w:rsidR="00BC3107" w:rsidRDefault="00BC3107" w:rsidP="004E4E36">
      <w:pPr>
        <w:pStyle w:val="ListParagraph"/>
        <w:numPr>
          <w:ilvl w:val="0"/>
          <w:numId w:val="69"/>
        </w:numPr>
      </w:pPr>
      <w:r>
        <w:t>Characterize ETs based on various savings potential and risk criteria.</w:t>
      </w:r>
    </w:p>
    <w:p w14:paraId="0A7C4FFE" w14:textId="77777777" w:rsidR="00BC3107" w:rsidRDefault="00BC3107" w:rsidP="007352B2"/>
    <w:p w14:paraId="5E1569B6" w14:textId="77777777" w:rsidR="002A4C2F" w:rsidRDefault="00BC3107" w:rsidP="002A4C2F">
      <w:r>
        <w:t>To collect data, t</w:t>
      </w:r>
      <w:r w:rsidR="002A4C2F">
        <w:t xml:space="preserve">he </w:t>
      </w:r>
      <w:r w:rsidR="007E4FF4">
        <w:t xml:space="preserve">team </w:t>
      </w:r>
      <w:r w:rsidR="007352B2">
        <w:t>reviewed</w:t>
      </w:r>
      <w:r w:rsidR="007E4FF4">
        <w:t xml:space="preserve"> the</w:t>
      </w:r>
      <w:r w:rsidR="002A4C2F">
        <w:t xml:space="preserve"> following web sources:</w:t>
      </w:r>
    </w:p>
    <w:p w14:paraId="76854BEC" w14:textId="77777777" w:rsidR="002A4C2F" w:rsidRDefault="002A4C2F" w:rsidP="004E4E36">
      <w:pPr>
        <w:pStyle w:val="ListParagraph"/>
        <w:numPr>
          <w:ilvl w:val="0"/>
          <w:numId w:val="51"/>
        </w:numPr>
        <w:spacing w:line="240" w:lineRule="auto"/>
        <w:contextualSpacing/>
      </w:pPr>
      <w:r>
        <w:t>Emerging Technologies Coordinating Council</w:t>
      </w:r>
      <w:r>
        <w:rPr>
          <w:rStyle w:val="FootnoteReference"/>
        </w:rPr>
        <w:footnoteReference w:id="184"/>
      </w:r>
    </w:p>
    <w:p w14:paraId="72BE90A5" w14:textId="77777777" w:rsidR="002A4C2F" w:rsidRDefault="002A4C2F" w:rsidP="004E4E36">
      <w:pPr>
        <w:pStyle w:val="ListParagraph"/>
        <w:numPr>
          <w:ilvl w:val="0"/>
          <w:numId w:val="51"/>
        </w:numPr>
        <w:spacing w:line="240" w:lineRule="auto"/>
        <w:contextualSpacing/>
      </w:pPr>
      <w:r>
        <w:t>California Energy Commission Publications Database</w:t>
      </w:r>
      <w:r>
        <w:rPr>
          <w:rStyle w:val="FootnoteReference"/>
        </w:rPr>
        <w:footnoteReference w:id="185"/>
      </w:r>
    </w:p>
    <w:p w14:paraId="13C00A26" w14:textId="77777777" w:rsidR="002A4C2F" w:rsidRDefault="002A4C2F" w:rsidP="004E4E36">
      <w:pPr>
        <w:pStyle w:val="ListParagraph"/>
        <w:numPr>
          <w:ilvl w:val="0"/>
          <w:numId w:val="51"/>
        </w:numPr>
        <w:spacing w:line="240" w:lineRule="auto"/>
        <w:contextualSpacing/>
      </w:pPr>
      <w:r>
        <w:t>DOE Research and Development Projects</w:t>
      </w:r>
      <w:r>
        <w:rPr>
          <w:rStyle w:val="FootnoteReference"/>
        </w:rPr>
        <w:footnoteReference w:id="186"/>
      </w:r>
    </w:p>
    <w:p w14:paraId="4951FF30" w14:textId="77777777" w:rsidR="002A4C2F" w:rsidRDefault="002A4C2F" w:rsidP="004E4E36">
      <w:pPr>
        <w:pStyle w:val="ListParagraph"/>
        <w:numPr>
          <w:ilvl w:val="0"/>
          <w:numId w:val="51"/>
        </w:numPr>
        <w:spacing w:line="240" w:lineRule="auto"/>
        <w:contextualSpacing/>
      </w:pPr>
      <w:r>
        <w:t>DOE Energy Efficiency &amp; Renewable Energy Emerging Technologies Database</w:t>
      </w:r>
      <w:r>
        <w:rPr>
          <w:rStyle w:val="FootnoteReference"/>
        </w:rPr>
        <w:footnoteReference w:id="187"/>
      </w:r>
      <w:r>
        <w:t xml:space="preserve"> </w:t>
      </w:r>
    </w:p>
    <w:p w14:paraId="69B7B4CB" w14:textId="77777777" w:rsidR="002A4C2F" w:rsidRDefault="002A4C2F" w:rsidP="004E4E36">
      <w:pPr>
        <w:pStyle w:val="ListParagraph"/>
        <w:numPr>
          <w:ilvl w:val="0"/>
          <w:numId w:val="51"/>
        </w:numPr>
        <w:spacing w:line="240" w:lineRule="auto"/>
        <w:contextualSpacing/>
      </w:pPr>
      <w:r>
        <w:t xml:space="preserve">Broad web search which included independent research of topics and keywords that seemed of relevance </w:t>
      </w:r>
      <w:r w:rsidR="007E4FF4">
        <w:t xml:space="preserve">to the team </w:t>
      </w:r>
      <w:r>
        <w:t xml:space="preserve">based on </w:t>
      </w:r>
      <w:r w:rsidR="007E4FF4">
        <w:t>the</w:t>
      </w:r>
      <w:r>
        <w:t xml:space="preserve"> initial web scrape results</w:t>
      </w:r>
      <w:r w:rsidR="007E4FF4">
        <w:t xml:space="preserve"> of the other sources</w:t>
      </w:r>
      <w:r>
        <w:t>.</w:t>
      </w:r>
    </w:p>
    <w:p w14:paraId="479FC037" w14:textId="77777777" w:rsidR="007E4FF4" w:rsidRDefault="007E4FF4" w:rsidP="007E4FF4">
      <w:pPr>
        <w:spacing w:line="240" w:lineRule="auto"/>
        <w:contextualSpacing/>
      </w:pPr>
    </w:p>
    <w:p w14:paraId="569DCA1B" w14:textId="77777777" w:rsidR="002A4C2F" w:rsidRDefault="002A4C2F" w:rsidP="002A4C2F">
      <w:r>
        <w:t xml:space="preserve">This process yielded data on approximately 1,500 different </w:t>
      </w:r>
      <w:r w:rsidR="007E4FF4">
        <w:t>ETs</w:t>
      </w:r>
      <w:r>
        <w:t xml:space="preserve"> that was assembled into a Excel based database</w:t>
      </w:r>
      <w:r w:rsidR="0085327F">
        <w:t xml:space="preserve"> that captured several details including</w:t>
      </w:r>
      <w:r>
        <w:t xml:space="preserve"> the name of the ET, a description of the technology, </w:t>
      </w:r>
      <w:r w:rsidR="0085327F">
        <w:t xml:space="preserve">and </w:t>
      </w:r>
      <w:r>
        <w:t>key dates in the research process. Web scraping is an effective method to gather a broad wealth of information</w:t>
      </w:r>
      <w:r w:rsidR="0085327F">
        <w:t>. H</w:t>
      </w:r>
      <w:r>
        <w:t>owever</w:t>
      </w:r>
      <w:r w:rsidR="00137683">
        <w:t>,</w:t>
      </w:r>
      <w:r>
        <w:t xml:space="preserve"> it does not filter out irrelevant information</w:t>
      </w:r>
      <w:r w:rsidR="0085327F">
        <w:t>. Therefore,</w:t>
      </w:r>
      <w:r>
        <w:t xml:space="preserve"> the </w:t>
      </w:r>
      <w:r w:rsidR="0085327F">
        <w:t xml:space="preserve">team refined the </w:t>
      </w:r>
      <w:r>
        <w:t xml:space="preserve">database </w:t>
      </w:r>
      <w:r w:rsidR="0085327F">
        <w:t xml:space="preserve">by </w:t>
      </w:r>
      <w:r>
        <w:t>delet</w:t>
      </w:r>
      <w:r w:rsidR="0085327F">
        <w:t>ing certain entries</w:t>
      </w:r>
      <w:r>
        <w:t xml:space="preserve"> or </w:t>
      </w:r>
      <w:r w:rsidR="0085327F">
        <w:t xml:space="preserve">by </w:t>
      </w:r>
      <w:r>
        <w:t>enhanc</w:t>
      </w:r>
      <w:r w:rsidR="0085327F">
        <w:t>ing</w:t>
      </w:r>
      <w:r>
        <w:t xml:space="preserve"> information on select </w:t>
      </w:r>
      <w:r w:rsidR="0085327F">
        <w:t xml:space="preserve">other </w:t>
      </w:r>
      <w:r>
        <w:t>ETs</w:t>
      </w:r>
      <w:r w:rsidR="0085327F">
        <w:t xml:space="preserve"> with additional research data from identified sources</w:t>
      </w:r>
      <w:r>
        <w:t xml:space="preserve">.  </w:t>
      </w:r>
    </w:p>
    <w:p w14:paraId="7E5F5CA0" w14:textId="77777777" w:rsidR="00F52378" w:rsidRDefault="00F52378" w:rsidP="002A4C2F"/>
    <w:p w14:paraId="2B7158C4" w14:textId="77777777" w:rsidR="002A4C2F" w:rsidRDefault="002A4C2F" w:rsidP="002A4C2F">
      <w:r>
        <w:t>Once the</w:t>
      </w:r>
      <w:r w:rsidR="00EA3678">
        <w:t xml:space="preserve"> portfolio of ETs was prepared</w:t>
      </w:r>
      <w:r>
        <w:t xml:space="preserve">, each </w:t>
      </w:r>
      <w:r w:rsidR="00BA2A4B">
        <w:t>ET</w:t>
      </w:r>
      <w:r>
        <w:t xml:space="preserve"> was </w:t>
      </w:r>
      <w:r w:rsidR="00EA3678">
        <w:t xml:space="preserve">characterized </w:t>
      </w:r>
      <w:r>
        <w:t>to determine if it is relevant to the Industrial</w:t>
      </w:r>
      <w:r w:rsidR="0051633E">
        <w:t xml:space="preserve"> or </w:t>
      </w:r>
      <w:r>
        <w:t xml:space="preserve">Agricultural sector and define how each ET might </w:t>
      </w:r>
      <w:r w:rsidR="00EA3678">
        <w:t>impact</w:t>
      </w:r>
      <w:r>
        <w:t xml:space="preserve"> each market segment</w:t>
      </w:r>
      <w:r w:rsidR="00BA2A4B">
        <w:t xml:space="preserve"> within those sectors</w:t>
      </w:r>
      <w:r>
        <w:t xml:space="preserve">. </w:t>
      </w:r>
      <w:r w:rsidR="00BA2A4B">
        <w:t>The team gave e</w:t>
      </w:r>
      <w:r>
        <w:t xml:space="preserve">ach relevant technology a unique ID and characterized </w:t>
      </w:r>
      <w:r w:rsidR="00BA2A4B">
        <w:t xml:space="preserve">it </w:t>
      </w:r>
      <w:r>
        <w:t>with the following criteria</w:t>
      </w:r>
      <w:r w:rsidR="001A5D37">
        <w:t xml:space="preserve">. Criteria were also weighted to prioritize their relevance as shown in </w:t>
      </w:r>
      <w:r w:rsidR="007352B2">
        <w:t>Table E-3</w:t>
      </w:r>
    </w:p>
    <w:p w14:paraId="36672DBF" w14:textId="77777777" w:rsidR="002A4C2F" w:rsidRDefault="002A4C2F" w:rsidP="004E4E36">
      <w:pPr>
        <w:pStyle w:val="ListParagraph"/>
        <w:numPr>
          <w:ilvl w:val="0"/>
          <w:numId w:val="52"/>
        </w:numPr>
        <w:spacing w:line="240" w:lineRule="auto"/>
        <w:contextualSpacing/>
      </w:pPr>
      <w:r>
        <w:t>Classification Information</w:t>
      </w:r>
    </w:p>
    <w:p w14:paraId="2F52CA5C" w14:textId="77777777" w:rsidR="002A4C2F" w:rsidRDefault="002A4C2F" w:rsidP="004E4E36">
      <w:pPr>
        <w:pStyle w:val="ListParagraph"/>
        <w:numPr>
          <w:ilvl w:val="1"/>
          <w:numId w:val="52"/>
        </w:numPr>
        <w:spacing w:line="240" w:lineRule="auto"/>
        <w:contextualSpacing/>
      </w:pPr>
      <w:r>
        <w:t>Fuel savings (electricity/gas)</w:t>
      </w:r>
    </w:p>
    <w:p w14:paraId="1629FA53" w14:textId="77777777" w:rsidR="002A4C2F" w:rsidRDefault="002A4C2F" w:rsidP="004E4E36">
      <w:pPr>
        <w:pStyle w:val="ListParagraph"/>
        <w:numPr>
          <w:ilvl w:val="1"/>
          <w:numId w:val="52"/>
        </w:numPr>
        <w:spacing w:line="240" w:lineRule="auto"/>
        <w:contextualSpacing/>
      </w:pPr>
      <w:r>
        <w:t xml:space="preserve">End-use </w:t>
      </w:r>
    </w:p>
    <w:p w14:paraId="6374FFE4" w14:textId="77777777" w:rsidR="002A4C2F" w:rsidRDefault="002A4C2F" w:rsidP="004E4E36">
      <w:pPr>
        <w:pStyle w:val="ListParagraph"/>
        <w:numPr>
          <w:ilvl w:val="1"/>
          <w:numId w:val="52"/>
        </w:numPr>
        <w:spacing w:line="240" w:lineRule="auto"/>
        <w:contextualSpacing/>
      </w:pPr>
      <w:r>
        <w:t>NAICS sector</w:t>
      </w:r>
      <w:r w:rsidR="00BA2A4B">
        <w:t xml:space="preserve"> (3 or 4 digit)</w:t>
      </w:r>
    </w:p>
    <w:p w14:paraId="1A89C172" w14:textId="77777777" w:rsidR="002A4C2F" w:rsidRDefault="002A4C2F" w:rsidP="004E4E36">
      <w:pPr>
        <w:pStyle w:val="ListParagraph"/>
        <w:numPr>
          <w:ilvl w:val="1"/>
          <w:numId w:val="52"/>
        </w:numPr>
        <w:spacing w:line="240" w:lineRule="auto"/>
        <w:contextualSpacing/>
      </w:pPr>
      <w:r>
        <w:t xml:space="preserve">Energy savings </w:t>
      </w:r>
      <w:r w:rsidR="00BA2A4B">
        <w:t>as a percent of sector consumption</w:t>
      </w:r>
    </w:p>
    <w:p w14:paraId="31CEF04E" w14:textId="77777777" w:rsidR="002A4C2F" w:rsidRDefault="002A4C2F" w:rsidP="004E4E36">
      <w:pPr>
        <w:pStyle w:val="ListParagraph"/>
        <w:numPr>
          <w:ilvl w:val="0"/>
          <w:numId w:val="52"/>
        </w:numPr>
        <w:spacing w:line="240" w:lineRule="auto"/>
        <w:contextualSpacing/>
      </w:pPr>
      <w:r>
        <w:t>Evaluation Criteria (used to calculate overall impact evaluation score)</w:t>
      </w:r>
    </w:p>
    <w:p w14:paraId="6AE5BB85" w14:textId="77777777" w:rsidR="002A4C2F" w:rsidRDefault="002A4C2F" w:rsidP="004E4E36">
      <w:pPr>
        <w:pStyle w:val="ListParagraph"/>
        <w:numPr>
          <w:ilvl w:val="1"/>
          <w:numId w:val="52"/>
        </w:numPr>
        <w:spacing w:line="240" w:lineRule="auto"/>
        <w:contextualSpacing/>
      </w:pPr>
      <w:r>
        <w:t>Energy technical potential</w:t>
      </w:r>
    </w:p>
    <w:p w14:paraId="0A57DFB2" w14:textId="77777777" w:rsidR="002A4C2F" w:rsidRDefault="002A4C2F" w:rsidP="004E4E36">
      <w:pPr>
        <w:pStyle w:val="ListParagraph"/>
        <w:numPr>
          <w:ilvl w:val="1"/>
          <w:numId w:val="52"/>
        </w:numPr>
        <w:spacing w:line="240" w:lineRule="auto"/>
        <w:contextualSpacing/>
      </w:pPr>
      <w:r>
        <w:t>Energy market potential</w:t>
      </w:r>
    </w:p>
    <w:p w14:paraId="682D653C" w14:textId="77777777" w:rsidR="002A4C2F" w:rsidRDefault="002A4C2F" w:rsidP="004E4E36">
      <w:pPr>
        <w:pStyle w:val="ListParagraph"/>
        <w:numPr>
          <w:ilvl w:val="1"/>
          <w:numId w:val="52"/>
        </w:numPr>
        <w:spacing w:line="240" w:lineRule="auto"/>
        <w:contextualSpacing/>
      </w:pPr>
      <w:r>
        <w:t>Market risk</w:t>
      </w:r>
    </w:p>
    <w:p w14:paraId="3091AA21" w14:textId="77777777" w:rsidR="002A4C2F" w:rsidRDefault="002A4C2F" w:rsidP="004E4E36">
      <w:pPr>
        <w:pStyle w:val="ListParagraph"/>
        <w:numPr>
          <w:ilvl w:val="1"/>
          <w:numId w:val="52"/>
        </w:numPr>
        <w:spacing w:line="240" w:lineRule="auto"/>
        <w:contextualSpacing/>
      </w:pPr>
      <w:r>
        <w:t>Technical risk</w:t>
      </w:r>
    </w:p>
    <w:p w14:paraId="5F388D14" w14:textId="77777777" w:rsidR="002A4C2F" w:rsidRDefault="002A4C2F" w:rsidP="004E4E36">
      <w:pPr>
        <w:pStyle w:val="ListParagraph"/>
        <w:numPr>
          <w:ilvl w:val="1"/>
          <w:numId w:val="52"/>
        </w:numPr>
        <w:spacing w:line="240" w:lineRule="auto"/>
        <w:contextualSpacing/>
      </w:pPr>
      <w:r>
        <w:t>Utility ability to impact outcome</w:t>
      </w:r>
    </w:p>
    <w:p w14:paraId="178910FC" w14:textId="77777777" w:rsidR="002A4C2F" w:rsidRDefault="002A4C2F" w:rsidP="004E4E36">
      <w:pPr>
        <w:pStyle w:val="ListParagraph"/>
        <w:numPr>
          <w:ilvl w:val="1"/>
          <w:numId w:val="52"/>
        </w:numPr>
        <w:spacing w:line="240" w:lineRule="auto"/>
        <w:contextualSpacing/>
      </w:pPr>
      <w:r>
        <w:t>Non-energy benefits</w:t>
      </w:r>
    </w:p>
    <w:p w14:paraId="005D496D" w14:textId="77777777" w:rsidR="00BA2A4B" w:rsidRDefault="00BA2A4B" w:rsidP="00BA2A4B">
      <w:pPr>
        <w:spacing w:line="240" w:lineRule="auto"/>
        <w:contextualSpacing/>
      </w:pPr>
    </w:p>
    <w:p w14:paraId="15D67EB7" w14:textId="77777777" w:rsidR="002A4C2F" w:rsidRDefault="0051633E" w:rsidP="002A4C2F">
      <w:r>
        <w:t>The team gave e</w:t>
      </w:r>
      <w:r w:rsidR="002A4C2F">
        <w:t>ach ET a score of 1</w:t>
      </w:r>
      <w:r>
        <w:t xml:space="preserve"> through </w:t>
      </w:r>
      <w:r w:rsidR="002A4C2F">
        <w:t>5 for each evaluation criteria, which were then weighted and summed to calculate the overall impact evaluation score. ETs that earn a higher score are expected to have a greater impact (i.e. greater energy savings) on the Agricultural</w:t>
      </w:r>
      <w:r>
        <w:t xml:space="preserve"> or </w:t>
      </w:r>
      <w:r w:rsidR="002A4C2F">
        <w:t xml:space="preserve">Industrial sectors. </w:t>
      </w:r>
      <w:r w:rsidR="00BB59F5">
        <w:t xml:space="preserve">Table E-4 </w:t>
      </w:r>
      <w:r w:rsidR="002A4C2F">
        <w:lastRenderedPageBreak/>
        <w:t>gives the scoring and weighting information for the evaluation criteria.</w:t>
      </w:r>
      <w:r w:rsidR="00EA3678">
        <w:t xml:space="preserve"> </w:t>
      </w:r>
      <w:r w:rsidR="00EA3678" w:rsidRPr="00EA3678">
        <w:t>The process ultimately yielded 169 emerging technology processes which were used to forecast the savings potential for ETs.</w:t>
      </w:r>
    </w:p>
    <w:p w14:paraId="60C7FB16" w14:textId="77777777" w:rsidR="007352B2" w:rsidRDefault="007352B2" w:rsidP="002A4C2F"/>
    <w:p w14:paraId="72F86392" w14:textId="77777777" w:rsidR="007352B2" w:rsidRDefault="007352B2" w:rsidP="007352B2">
      <w:pPr>
        <w:pStyle w:val="Caption"/>
      </w:pPr>
      <w:bookmarkStart w:id="1062" w:name="_Toc485125620"/>
      <w:r>
        <w:t xml:space="preserve">Table </w:t>
      </w:r>
      <w:r w:rsidR="00272F76">
        <w:fldChar w:fldCharType="begin"/>
      </w:r>
      <w:r w:rsidR="00272F76">
        <w:instrText xml:space="preserve"> STYLEREF 5 \s </w:instrText>
      </w:r>
      <w:r w:rsidR="00272F76">
        <w:fldChar w:fldCharType="separate"/>
      </w:r>
      <w:r w:rsidR="00C407F4">
        <w:rPr>
          <w:noProof/>
        </w:rPr>
        <w:t>E</w:t>
      </w:r>
      <w:r w:rsidR="00272F76">
        <w:rPr>
          <w:noProof/>
        </w:rPr>
        <w:fldChar w:fldCharType="end"/>
      </w:r>
      <w:r>
        <w:noBreakHyphen/>
      </w:r>
      <w:r w:rsidR="00272F76">
        <w:fldChar w:fldCharType="begin"/>
      </w:r>
      <w:r w:rsidR="00272F76">
        <w:instrText xml:space="preserve"> SEQ Table_Apx \* AR</w:instrText>
      </w:r>
      <w:r w:rsidR="00272F76">
        <w:instrText xml:space="preserve">ABIC \s 5 </w:instrText>
      </w:r>
      <w:r w:rsidR="00272F76">
        <w:fldChar w:fldCharType="separate"/>
      </w:r>
      <w:r w:rsidR="00C407F4">
        <w:rPr>
          <w:noProof/>
        </w:rPr>
        <w:t>4</w:t>
      </w:r>
      <w:r w:rsidR="00272F76">
        <w:rPr>
          <w:noProof/>
        </w:rPr>
        <w:fldChar w:fldCharType="end"/>
      </w:r>
      <w:r>
        <w:t>.</w:t>
      </w:r>
      <w:r w:rsidRPr="007352B2">
        <w:t xml:space="preserve"> </w:t>
      </w:r>
      <w:r>
        <w:t>Emerging Technology Evaluation Criteria</w:t>
      </w:r>
      <w:bookmarkEnd w:id="1062"/>
    </w:p>
    <w:tbl>
      <w:tblPr>
        <w:tblStyle w:val="EnergyTable1"/>
        <w:tblW w:w="9649" w:type="dxa"/>
        <w:tblLayout w:type="fixed"/>
        <w:tblLook w:val="04A0" w:firstRow="1" w:lastRow="0" w:firstColumn="1" w:lastColumn="0" w:noHBand="0" w:noVBand="1"/>
      </w:tblPr>
      <w:tblGrid>
        <w:gridCol w:w="1890"/>
        <w:gridCol w:w="739"/>
        <w:gridCol w:w="1404"/>
        <w:gridCol w:w="1404"/>
        <w:gridCol w:w="1404"/>
        <w:gridCol w:w="1404"/>
        <w:gridCol w:w="1404"/>
      </w:tblGrid>
      <w:tr w:rsidR="001A5D37" w:rsidRPr="001A5D37" w14:paraId="37735AC5" w14:textId="77777777" w:rsidTr="001A5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3E10CFA0" w14:textId="77777777" w:rsidR="001A5D37" w:rsidRPr="001A5D37" w:rsidRDefault="001A5D37" w:rsidP="001A5D37">
            <w:pPr>
              <w:rPr>
                <w:rFonts w:ascii="Arial Narrow" w:hAnsi="Arial Narrow" w:cs="Arial"/>
                <w:sz w:val="18"/>
                <w:szCs w:val="18"/>
              </w:rPr>
            </w:pPr>
            <w:r w:rsidRPr="001A5D37">
              <w:rPr>
                <w:rFonts w:ascii="Arial Narrow" w:hAnsi="Arial Narrow" w:cs="Arial"/>
                <w:sz w:val="18"/>
                <w:szCs w:val="18"/>
              </w:rPr>
              <w:t>Technology Characteristics</w:t>
            </w:r>
          </w:p>
        </w:tc>
        <w:tc>
          <w:tcPr>
            <w:tcW w:w="739" w:type="dxa"/>
          </w:tcPr>
          <w:p w14:paraId="25FA0312"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Weight</w:t>
            </w:r>
          </w:p>
        </w:tc>
        <w:tc>
          <w:tcPr>
            <w:tcW w:w="1404" w:type="dxa"/>
          </w:tcPr>
          <w:p w14:paraId="03548A22"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w:t>
            </w:r>
          </w:p>
        </w:tc>
        <w:tc>
          <w:tcPr>
            <w:tcW w:w="1404" w:type="dxa"/>
          </w:tcPr>
          <w:p w14:paraId="5D43DD7E"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2</w:t>
            </w:r>
          </w:p>
        </w:tc>
        <w:tc>
          <w:tcPr>
            <w:tcW w:w="1404" w:type="dxa"/>
          </w:tcPr>
          <w:p w14:paraId="0F950BE3"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3</w:t>
            </w:r>
          </w:p>
        </w:tc>
        <w:tc>
          <w:tcPr>
            <w:tcW w:w="1404" w:type="dxa"/>
          </w:tcPr>
          <w:p w14:paraId="63F5B72A"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4</w:t>
            </w:r>
          </w:p>
        </w:tc>
        <w:tc>
          <w:tcPr>
            <w:tcW w:w="1404" w:type="dxa"/>
          </w:tcPr>
          <w:p w14:paraId="6480ACD5"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5</w:t>
            </w:r>
          </w:p>
        </w:tc>
      </w:tr>
      <w:tr w:rsidR="001A5D37" w:rsidRPr="001A5D37" w14:paraId="74C421B3" w14:textId="77777777" w:rsidTr="001A5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6E06EA"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Energy Technical Potential</w:t>
            </w:r>
          </w:p>
        </w:tc>
        <w:tc>
          <w:tcPr>
            <w:tcW w:w="739" w:type="dxa"/>
          </w:tcPr>
          <w:p w14:paraId="1B0C2690"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3</w:t>
            </w:r>
          </w:p>
        </w:tc>
        <w:tc>
          <w:tcPr>
            <w:tcW w:w="1404" w:type="dxa"/>
          </w:tcPr>
          <w:p w14:paraId="3C3016D6"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1404" w:type="dxa"/>
          </w:tcPr>
          <w:p w14:paraId="1BE8F63F"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1404" w:type="dxa"/>
          </w:tcPr>
          <w:p w14:paraId="533B94F2"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w:t>
            </w:r>
          </w:p>
        </w:tc>
        <w:tc>
          <w:tcPr>
            <w:tcW w:w="1404" w:type="dxa"/>
          </w:tcPr>
          <w:p w14:paraId="2FCDDB63"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c>
          <w:tcPr>
            <w:tcW w:w="1404" w:type="dxa"/>
          </w:tcPr>
          <w:p w14:paraId="076625C8"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r>
      <w:tr w:rsidR="001A5D37" w:rsidRPr="001A5D37" w14:paraId="6B40F75D" w14:textId="77777777" w:rsidTr="001A5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34DCB23"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Energy Market Potential</w:t>
            </w:r>
          </w:p>
        </w:tc>
        <w:tc>
          <w:tcPr>
            <w:tcW w:w="739" w:type="dxa"/>
          </w:tcPr>
          <w:p w14:paraId="7A76C1F9"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3</w:t>
            </w:r>
          </w:p>
        </w:tc>
        <w:tc>
          <w:tcPr>
            <w:tcW w:w="1404" w:type="dxa"/>
          </w:tcPr>
          <w:p w14:paraId="38FC5981"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1404" w:type="dxa"/>
          </w:tcPr>
          <w:p w14:paraId="44028101"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1404" w:type="dxa"/>
          </w:tcPr>
          <w:p w14:paraId="2F1BE6B8"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w:t>
            </w:r>
          </w:p>
        </w:tc>
        <w:tc>
          <w:tcPr>
            <w:tcW w:w="1404" w:type="dxa"/>
          </w:tcPr>
          <w:p w14:paraId="5C6EF523"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c>
          <w:tcPr>
            <w:tcW w:w="1404" w:type="dxa"/>
          </w:tcPr>
          <w:p w14:paraId="27BF26D1"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r>
      <w:tr w:rsidR="001A5D37" w:rsidRPr="001A5D37" w14:paraId="3055FF78" w14:textId="77777777" w:rsidTr="001A5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65EAA04"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Market Risk</w:t>
            </w:r>
          </w:p>
        </w:tc>
        <w:tc>
          <w:tcPr>
            <w:tcW w:w="739" w:type="dxa"/>
          </w:tcPr>
          <w:p w14:paraId="68AD1F69"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2</w:t>
            </w:r>
          </w:p>
        </w:tc>
        <w:tc>
          <w:tcPr>
            <w:tcW w:w="1404" w:type="dxa"/>
          </w:tcPr>
          <w:p w14:paraId="549AF5AE"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1404" w:type="dxa"/>
          </w:tcPr>
          <w:p w14:paraId="57CFFBB0"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1404" w:type="dxa"/>
          </w:tcPr>
          <w:p w14:paraId="60F762DB"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 Risk</w:t>
            </w:r>
          </w:p>
        </w:tc>
        <w:tc>
          <w:tcPr>
            <w:tcW w:w="1404" w:type="dxa"/>
          </w:tcPr>
          <w:p w14:paraId="0D98562F"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c>
          <w:tcPr>
            <w:tcW w:w="1404" w:type="dxa"/>
          </w:tcPr>
          <w:p w14:paraId="282F0EC2"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r>
      <w:tr w:rsidR="001A5D37" w:rsidRPr="001A5D37" w14:paraId="2DDBB7F5" w14:textId="77777777" w:rsidTr="001A5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E367402"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Technical Risk</w:t>
            </w:r>
          </w:p>
        </w:tc>
        <w:tc>
          <w:tcPr>
            <w:tcW w:w="739" w:type="dxa"/>
          </w:tcPr>
          <w:p w14:paraId="3A0D73A1"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2</w:t>
            </w:r>
          </w:p>
        </w:tc>
        <w:tc>
          <w:tcPr>
            <w:tcW w:w="1404" w:type="dxa"/>
          </w:tcPr>
          <w:p w14:paraId="3119A78E"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1404" w:type="dxa"/>
          </w:tcPr>
          <w:p w14:paraId="403DB1AD"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1404" w:type="dxa"/>
          </w:tcPr>
          <w:p w14:paraId="19D61171"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 Risk</w:t>
            </w:r>
          </w:p>
        </w:tc>
        <w:tc>
          <w:tcPr>
            <w:tcW w:w="1404" w:type="dxa"/>
          </w:tcPr>
          <w:p w14:paraId="4467DC7D"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c>
          <w:tcPr>
            <w:tcW w:w="1404" w:type="dxa"/>
          </w:tcPr>
          <w:p w14:paraId="5F828957"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r>
      <w:tr w:rsidR="001A5D37" w:rsidRPr="001A5D37" w14:paraId="2C0FB446" w14:textId="77777777" w:rsidTr="001A5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12CF450"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Utility Ability to Impact Market</w:t>
            </w:r>
          </w:p>
        </w:tc>
        <w:tc>
          <w:tcPr>
            <w:tcW w:w="739" w:type="dxa"/>
          </w:tcPr>
          <w:p w14:paraId="14A597C0"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w:t>
            </w:r>
          </w:p>
        </w:tc>
        <w:tc>
          <w:tcPr>
            <w:tcW w:w="1404" w:type="dxa"/>
          </w:tcPr>
          <w:p w14:paraId="2FBB6FCD"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Private sector will succeed without utility involvement</w:t>
            </w:r>
          </w:p>
        </w:tc>
        <w:tc>
          <w:tcPr>
            <w:tcW w:w="1404" w:type="dxa"/>
          </w:tcPr>
          <w:p w14:paraId="44BCD726"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unlikely to be critical to adoption</w:t>
            </w:r>
          </w:p>
        </w:tc>
        <w:tc>
          <w:tcPr>
            <w:tcW w:w="1404" w:type="dxa"/>
          </w:tcPr>
          <w:p w14:paraId="1B96B82E"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likely to accelerate adoption</w:t>
            </w:r>
          </w:p>
        </w:tc>
        <w:tc>
          <w:tcPr>
            <w:tcW w:w="1404" w:type="dxa"/>
          </w:tcPr>
          <w:p w14:paraId="00247B5B"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very important in accelerating adoption</w:t>
            </w:r>
          </w:p>
        </w:tc>
        <w:tc>
          <w:tcPr>
            <w:tcW w:w="1404" w:type="dxa"/>
          </w:tcPr>
          <w:p w14:paraId="129CFFD8"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essential for catalyzing market</w:t>
            </w:r>
          </w:p>
        </w:tc>
      </w:tr>
      <w:tr w:rsidR="001A5D37" w:rsidRPr="001A5D37" w14:paraId="7F9EE563" w14:textId="77777777" w:rsidTr="001A5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83A91D"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Non-Energy Benefits (NEBs)</w:t>
            </w:r>
          </w:p>
        </w:tc>
        <w:tc>
          <w:tcPr>
            <w:tcW w:w="739" w:type="dxa"/>
          </w:tcPr>
          <w:p w14:paraId="62FBBF16"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w:t>
            </w:r>
          </w:p>
        </w:tc>
        <w:tc>
          <w:tcPr>
            <w:tcW w:w="1404" w:type="dxa"/>
          </w:tcPr>
          <w:p w14:paraId="6EDE8B14"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Few or none NEBs</w:t>
            </w:r>
          </w:p>
        </w:tc>
        <w:tc>
          <w:tcPr>
            <w:tcW w:w="1404" w:type="dxa"/>
          </w:tcPr>
          <w:p w14:paraId="6A8A612B"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Some modest NEBs likely</w:t>
            </w:r>
          </w:p>
        </w:tc>
        <w:tc>
          <w:tcPr>
            <w:tcW w:w="1404" w:type="dxa"/>
          </w:tcPr>
          <w:p w14:paraId="59BEA5D5"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Significant benefits</w:t>
            </w:r>
            <w:r>
              <w:rPr>
                <w:rFonts w:ascii="Arial Narrow" w:hAnsi="Arial Narrow" w:cs="Arial"/>
                <w:sz w:val="18"/>
                <w:szCs w:val="18"/>
              </w:rPr>
              <w:t>, but</w:t>
            </w:r>
            <w:r w:rsidRPr="001A5D37">
              <w:rPr>
                <w:rFonts w:ascii="Arial Narrow" w:hAnsi="Arial Narrow" w:cs="Arial"/>
                <w:sz w:val="18"/>
                <w:szCs w:val="18"/>
              </w:rPr>
              <w:t xml:space="preserve"> difficult to quantify / not understood</w:t>
            </w:r>
          </w:p>
        </w:tc>
        <w:tc>
          <w:tcPr>
            <w:tcW w:w="1404" w:type="dxa"/>
          </w:tcPr>
          <w:p w14:paraId="01ECB5D9"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 or 2 quantified, well-documented NEBs</w:t>
            </w:r>
          </w:p>
        </w:tc>
        <w:tc>
          <w:tcPr>
            <w:tcW w:w="1404" w:type="dxa"/>
          </w:tcPr>
          <w:p w14:paraId="7108F4A9"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Extensive, quantified, well-understood NEBs</w:t>
            </w:r>
          </w:p>
        </w:tc>
      </w:tr>
    </w:tbl>
    <w:p w14:paraId="0DD310C3" w14:textId="77777777" w:rsidR="001A5D37" w:rsidRPr="001A5D37" w:rsidRDefault="001A5D37" w:rsidP="001A5D37">
      <w:pPr>
        <w:jc w:val="center"/>
        <w:rPr>
          <w:rFonts w:cs="Arial"/>
          <w:i/>
          <w:sz w:val="16"/>
          <w:szCs w:val="16"/>
        </w:rPr>
      </w:pPr>
      <w:r w:rsidRPr="001A5D37">
        <w:rPr>
          <w:rFonts w:cs="Arial"/>
          <w:i/>
          <w:sz w:val="16"/>
          <w:szCs w:val="16"/>
        </w:rPr>
        <w:t>Source: Navigant analysis</w:t>
      </w:r>
    </w:p>
    <w:p w14:paraId="7536BDD0" w14:textId="77777777" w:rsidR="0051633E" w:rsidRDefault="0051633E" w:rsidP="002A4C2F"/>
    <w:p w14:paraId="501CBE83" w14:textId="77777777" w:rsidR="002A4C2F" w:rsidRDefault="002A4C2F" w:rsidP="002A4C2F">
      <w:r>
        <w:t xml:space="preserve">The </w:t>
      </w:r>
      <w:r w:rsidR="00EA3678">
        <w:t>characterization process</w:t>
      </w:r>
      <w:r w:rsidR="001A5D37">
        <w:t xml:space="preserve"> </w:t>
      </w:r>
      <w:r>
        <w:t xml:space="preserve">worked to distinguish between energy technical potential and energy market potential. The energy technical potential evaluates the energy savings of the specific technology, relative to the energy consumption of the baseline equivalent technology. The energy market potential takes a broader view, and is a measure of the energy savings potential of that ET relative to the entire market energy consumption. ETs that have a high energy technical potential, but low energy market potential include technologies that drastically improve efficiency of a certain technology but have limited market application.  </w:t>
      </w:r>
    </w:p>
    <w:p w14:paraId="79C57B6E" w14:textId="77777777" w:rsidR="00F52378" w:rsidRDefault="00F52378" w:rsidP="002A4C2F">
      <w:pPr>
        <w:rPr>
          <w:rFonts w:ascii="Calibri Light" w:hAnsi="Calibri Light"/>
          <w:sz w:val="22"/>
        </w:rPr>
      </w:pPr>
    </w:p>
    <w:p w14:paraId="281D34FB" w14:textId="77777777" w:rsidR="002A4C2F" w:rsidRDefault="002A4C2F" w:rsidP="00F52378">
      <w:pPr>
        <w:rPr>
          <w:b/>
          <w:u w:val="single"/>
        </w:rPr>
      </w:pPr>
      <w:r w:rsidRPr="00F52378">
        <w:rPr>
          <w:b/>
          <w:u w:val="single"/>
        </w:rPr>
        <w:t>Savings</w:t>
      </w:r>
    </w:p>
    <w:p w14:paraId="03864B24" w14:textId="77777777" w:rsidR="00BB59F5" w:rsidRPr="00F52378" w:rsidRDefault="00BB59F5" w:rsidP="00F52378">
      <w:pPr>
        <w:rPr>
          <w:b/>
          <w:u w:val="single"/>
        </w:rPr>
      </w:pPr>
    </w:p>
    <w:p w14:paraId="51FD6245" w14:textId="77777777" w:rsidR="002A4C2F" w:rsidRDefault="002A4C2F" w:rsidP="002A4C2F">
      <w:r>
        <w:t xml:space="preserve">To </w:t>
      </w:r>
      <w:r w:rsidR="00064586">
        <w:t>estimate savings</w:t>
      </w:r>
      <w:r>
        <w:t xml:space="preserve">, </w:t>
      </w:r>
      <w:r w:rsidR="00CA021C">
        <w:t xml:space="preserve">the team calculated </w:t>
      </w:r>
      <w:r>
        <w:t xml:space="preserve">multipliers </w:t>
      </w:r>
      <w:r w:rsidR="00064586">
        <w:t xml:space="preserve">for </w:t>
      </w:r>
      <w:r>
        <w:t>each ET. These multipliers represent information on the total energy savings potential of the ET and other influential market data. The following formula was used to calculate the multiplier for each emerging technology</w:t>
      </w:r>
      <w:r w:rsidR="00CA021C">
        <w:t xml:space="preserve"> that are then </w:t>
      </w:r>
      <w:r>
        <w:t xml:space="preserve">applied to a specific market </w:t>
      </w:r>
      <w:r w:rsidR="009D1D9C">
        <w:t>segment</w:t>
      </w:r>
      <w:r>
        <w:t xml:space="preserve"> and end-use</w:t>
      </w:r>
      <w:r w:rsidR="00CA021C">
        <w:t xml:space="preserve"> energy consumption.</w:t>
      </w:r>
      <w:r>
        <w:t xml:space="preserve">  </w:t>
      </w:r>
    </w:p>
    <w:p w14:paraId="00AFC1C5" w14:textId="77777777" w:rsidR="00EE25AA" w:rsidRDefault="00EE25AA" w:rsidP="002A4C2F"/>
    <w:p w14:paraId="71A947BA" w14:textId="77777777" w:rsidR="00EE25AA" w:rsidRDefault="00EE25AA" w:rsidP="00EE25AA">
      <w:pPr>
        <w:pStyle w:val="Caption"/>
      </w:pPr>
      <w:bookmarkStart w:id="1063" w:name="_Ref484087812"/>
      <w:r w:rsidRPr="00321BF9">
        <w:t xml:space="preserve">Equation </w:t>
      </w:r>
      <w:r w:rsidR="00272F76">
        <w:fldChar w:fldCharType="begin"/>
      </w:r>
      <w:r w:rsidR="00272F76">
        <w:instrText xml:space="preserve"> SEQ Equation \* ARABIC </w:instrText>
      </w:r>
      <w:r w:rsidR="00272F76">
        <w:fldChar w:fldCharType="separate"/>
      </w:r>
      <w:r w:rsidR="00C407F4">
        <w:rPr>
          <w:noProof/>
        </w:rPr>
        <w:t>4</w:t>
      </w:r>
      <w:r w:rsidR="00272F76">
        <w:rPr>
          <w:noProof/>
        </w:rPr>
        <w:fldChar w:fldCharType="end"/>
      </w:r>
      <w:bookmarkEnd w:id="1063"/>
      <w:r w:rsidRPr="00321BF9">
        <w:t>.</w:t>
      </w:r>
      <w:r w:rsidR="00A40F34">
        <w:t xml:space="preserve"> Emerging Technology Multiplier</w:t>
      </w:r>
    </w:p>
    <w:p w14:paraId="0631AE60" w14:textId="77777777" w:rsidR="002A4C2F" w:rsidRPr="007352B2" w:rsidRDefault="00272F76" w:rsidP="002A4C2F">
      <m:oMathPara>
        <m:oMath>
          <m:sSub>
            <m:sSubPr>
              <m:ctrlPr>
                <w:rPr>
                  <w:rFonts w:ascii="Cambria Math" w:hAnsi="Cambria Math"/>
                  <w:i/>
                  <w:sz w:val="24"/>
                </w:rPr>
              </m:ctrlPr>
            </m:sSubPr>
            <m:e>
              <m:r>
                <w:rPr>
                  <w:rFonts w:ascii="Cambria Math" w:hAnsi="Cambria Math"/>
                </w:rPr>
                <m:t>M</m:t>
              </m:r>
            </m:e>
            <m:sub>
              <m:r>
                <w:rPr>
                  <w:rFonts w:ascii="Cambria Math" w:hAnsi="Cambria Math"/>
                </w:rPr>
                <m:t>e,i,j</m:t>
              </m:r>
            </m:sub>
          </m:sSub>
          <m:r>
            <w:rPr>
              <w:rFonts w:ascii="Cambria Math" w:hAnsi="Cambria Math"/>
            </w:rPr>
            <m:t>=</m:t>
          </m:r>
          <m:sSub>
            <m:sSubPr>
              <m:ctrlPr>
                <w:rPr>
                  <w:rFonts w:ascii="Cambria Math" w:hAnsi="Cambria Math"/>
                  <w:i/>
                  <w:sz w:val="24"/>
                </w:rPr>
              </m:ctrlPr>
            </m:sSubPr>
            <m:e>
              <m:r>
                <w:rPr>
                  <w:rFonts w:ascii="Cambria Math" w:hAnsi="Cambria Math"/>
                </w:rPr>
                <m:t>T</m:t>
              </m:r>
            </m:e>
            <m:sub>
              <m:r>
                <w:rPr>
                  <w:rFonts w:ascii="Cambria Math" w:hAnsi="Cambria Math"/>
                </w:rPr>
                <m:t>e</m:t>
              </m:r>
            </m:sub>
          </m:sSub>
          <m:r>
            <w:rPr>
              <w:rFonts w:ascii="Cambria Math" w:hAnsi="Cambria Math"/>
            </w:rPr>
            <m:t xml:space="preserve"> × </m:t>
          </m:r>
          <m:sSub>
            <m:sSubPr>
              <m:ctrlPr>
                <w:rPr>
                  <w:rFonts w:ascii="Cambria Math" w:hAnsi="Cambria Math"/>
                  <w:i/>
                  <w:sz w:val="24"/>
                </w:rPr>
              </m:ctrlPr>
            </m:sSubPr>
            <m:e>
              <m:r>
                <w:rPr>
                  <w:rFonts w:ascii="Cambria Math" w:hAnsi="Cambria Math"/>
                </w:rPr>
                <m:t>E</m:t>
              </m:r>
            </m:e>
            <m:sub>
              <m:r>
                <w:rPr>
                  <w:rFonts w:ascii="Cambria Math" w:hAnsi="Cambria Math"/>
                </w:rPr>
                <m:t>i,j</m:t>
              </m:r>
            </m:sub>
          </m:sSub>
          <m:r>
            <w:rPr>
              <w:rFonts w:ascii="Cambria Math" w:hAnsi="Cambria Math"/>
            </w:rPr>
            <m:t xml:space="preserve"> × </m:t>
          </m:r>
          <m:sSub>
            <m:sSubPr>
              <m:ctrlPr>
                <w:rPr>
                  <w:rFonts w:ascii="Cambria Math" w:hAnsi="Cambria Math"/>
                  <w:i/>
                  <w:sz w:val="24"/>
                </w:rPr>
              </m:ctrlPr>
            </m:sSubPr>
            <m:e>
              <m:r>
                <w:rPr>
                  <w:rFonts w:ascii="Cambria Math" w:hAnsi="Cambria Math"/>
                </w:rPr>
                <m:t>MT</m:t>
              </m:r>
            </m:e>
            <m:sub>
              <m:r>
                <w:rPr>
                  <w:rFonts w:ascii="Cambria Math" w:hAnsi="Cambria Math"/>
                </w:rPr>
                <m:t xml:space="preserve">j </m:t>
              </m:r>
            </m:sub>
          </m:sSub>
          <m:r>
            <w:rPr>
              <w:rFonts w:ascii="Cambria Math" w:hAnsi="Cambria Math"/>
            </w:rPr>
            <m:t xml:space="preserve">× </m:t>
          </m:r>
          <m:sSub>
            <m:sSubPr>
              <m:ctrlPr>
                <w:rPr>
                  <w:rFonts w:ascii="Cambria Math" w:hAnsi="Cambria Math"/>
                  <w:i/>
                  <w:sz w:val="24"/>
                </w:rPr>
              </m:ctrlPr>
            </m:sSubPr>
            <m:e>
              <m:r>
                <w:rPr>
                  <w:rFonts w:ascii="Cambria Math" w:hAnsi="Cambria Math"/>
                </w:rPr>
                <m:t>TW</m:t>
              </m:r>
            </m:e>
            <m:sub>
              <m:r>
                <w:rPr>
                  <w:rFonts w:ascii="Cambria Math" w:hAnsi="Cambria Math"/>
                </w:rPr>
                <m:t>j</m:t>
              </m:r>
            </m:sub>
          </m:sSub>
        </m:oMath>
      </m:oMathPara>
    </w:p>
    <w:p w14:paraId="3AFB4502" w14:textId="77777777" w:rsidR="002A4C2F" w:rsidRDefault="002A4C2F" w:rsidP="002A4C2F">
      <w:r>
        <w:t>Where:</w:t>
      </w:r>
    </w:p>
    <w:p w14:paraId="5493370A" w14:textId="77777777" w:rsidR="00CA021C" w:rsidRDefault="00272F76" w:rsidP="00CA021C">
      <w:pPr>
        <w:spacing w:before="40"/>
        <w:ind w:left="720"/>
      </w:pPr>
      <m:oMath>
        <m:sSub>
          <m:sSubPr>
            <m:ctrlPr>
              <w:rPr>
                <w:rFonts w:ascii="Cambria Math" w:hAnsi="Cambria Math"/>
                <w:i/>
                <w:sz w:val="24"/>
              </w:rPr>
            </m:ctrlPr>
          </m:sSubPr>
          <m:e>
            <m:r>
              <w:rPr>
                <w:rFonts w:ascii="Cambria Math" w:hAnsi="Cambria Math"/>
              </w:rPr>
              <m:t>M</m:t>
            </m:r>
          </m:e>
          <m:sub>
            <m:r>
              <w:rPr>
                <w:rFonts w:ascii="Cambria Math" w:hAnsi="Cambria Math"/>
              </w:rPr>
              <m:t>e,i,j</m:t>
            </m:r>
          </m:sub>
        </m:sSub>
      </m:oMath>
      <w:r w:rsidR="00CA021C">
        <w:t xml:space="preserve"> </w:t>
      </w:r>
      <w:r w:rsidR="00CA021C">
        <w:tab/>
        <w:t xml:space="preserve">= </w:t>
      </w:r>
      <w:r w:rsidR="00CA021C">
        <w:tab/>
        <w:t xml:space="preserve">multiplier for each ET, </w:t>
      </w:r>
      <w:r w:rsidR="00CA021C">
        <w:rPr>
          <w:i/>
        </w:rPr>
        <w:t>e</w:t>
      </w:r>
      <w:r w:rsidR="00CA021C">
        <w:t xml:space="preserve">, applied to end-use, </w:t>
      </w:r>
      <w:r w:rsidR="00CA021C">
        <w:rPr>
          <w:i/>
        </w:rPr>
        <w:t>i</w:t>
      </w:r>
      <w:r w:rsidR="00CA021C">
        <w:t xml:space="preserve">, and </w:t>
      </w:r>
      <w:r w:rsidR="002951C1">
        <w:t>segment</w:t>
      </w:r>
      <w:r w:rsidR="00CA021C">
        <w:t xml:space="preserve">, </w:t>
      </w:r>
      <w:r w:rsidR="00CA021C">
        <w:rPr>
          <w:i/>
        </w:rPr>
        <w:t>j</w:t>
      </w:r>
    </w:p>
    <w:p w14:paraId="2EB36841" w14:textId="77777777" w:rsidR="002A4C2F" w:rsidRDefault="002A4C2F" w:rsidP="002A4C2F">
      <w:pPr>
        <w:spacing w:before="40"/>
        <w:ind w:left="720"/>
      </w:pPr>
      <w:r>
        <w:rPr>
          <w:i/>
        </w:rPr>
        <w:t>e</w:t>
      </w:r>
      <w:r>
        <w:tab/>
        <w:t>=</w:t>
      </w:r>
      <w:r>
        <w:tab/>
        <w:t xml:space="preserve">subscript indicating the </w:t>
      </w:r>
      <w:r w:rsidR="00CA021C">
        <w:t>ET</w:t>
      </w:r>
    </w:p>
    <w:p w14:paraId="33B3557D" w14:textId="77777777" w:rsidR="002A4C2F" w:rsidRDefault="002A4C2F" w:rsidP="002A4C2F">
      <w:pPr>
        <w:spacing w:before="40"/>
        <w:ind w:left="720"/>
      </w:pPr>
      <w:r>
        <w:rPr>
          <w:i/>
        </w:rPr>
        <w:t>i</w:t>
      </w:r>
      <w:r>
        <w:tab/>
        <w:t>=</w:t>
      </w:r>
      <w:r>
        <w:tab/>
        <w:t>subscript indicating the end-use</w:t>
      </w:r>
    </w:p>
    <w:p w14:paraId="01E36804" w14:textId="77777777" w:rsidR="002A4C2F" w:rsidRDefault="002A4C2F" w:rsidP="002A4C2F">
      <w:pPr>
        <w:spacing w:before="40"/>
        <w:ind w:left="720"/>
      </w:pPr>
      <w:r>
        <w:rPr>
          <w:i/>
        </w:rPr>
        <w:t>j</w:t>
      </w:r>
      <w:r>
        <w:tab/>
        <w:t>=</w:t>
      </w:r>
      <w:r>
        <w:tab/>
        <w:t xml:space="preserve">subscript indicating the market </w:t>
      </w:r>
      <w:r w:rsidR="009D1D9C">
        <w:t>segment</w:t>
      </w:r>
    </w:p>
    <w:p w14:paraId="0C1A1F7F" w14:textId="77777777" w:rsidR="002A4C2F" w:rsidRDefault="00272F76" w:rsidP="002A4C2F">
      <w:pPr>
        <w:spacing w:before="40"/>
        <w:ind w:left="720"/>
        <w:rPr>
          <w:i/>
        </w:rPr>
      </w:pPr>
      <m:oMath>
        <m:sSub>
          <m:sSubPr>
            <m:ctrlPr>
              <w:rPr>
                <w:rFonts w:ascii="Cambria Math" w:hAnsi="Cambria Math"/>
                <w:i/>
                <w:sz w:val="24"/>
              </w:rPr>
            </m:ctrlPr>
          </m:sSubPr>
          <m:e>
            <m:r>
              <w:rPr>
                <w:rFonts w:ascii="Cambria Math" w:hAnsi="Cambria Math"/>
              </w:rPr>
              <m:t>T</m:t>
            </m:r>
          </m:e>
          <m:sub>
            <m:r>
              <w:rPr>
                <w:rFonts w:ascii="Cambria Math" w:hAnsi="Cambria Math"/>
              </w:rPr>
              <m:t>e</m:t>
            </m:r>
          </m:sub>
        </m:sSub>
      </m:oMath>
      <w:r w:rsidR="002A4C2F">
        <w:tab/>
        <w:t>=</w:t>
      </w:r>
      <w:r w:rsidR="002A4C2F">
        <w:tab/>
        <w:t xml:space="preserve">technology energy savings percentage for </w:t>
      </w:r>
      <w:r w:rsidR="00CA021C">
        <w:t>ET</w:t>
      </w:r>
      <w:r w:rsidR="002A4C2F">
        <w:t xml:space="preserve">, </w:t>
      </w:r>
      <w:r w:rsidR="002A4C2F">
        <w:rPr>
          <w:i/>
        </w:rPr>
        <w:t>e</w:t>
      </w:r>
      <w:r w:rsidR="002A4C2F">
        <w:rPr>
          <w:rFonts w:eastAsiaTheme="minorEastAsia"/>
        </w:rPr>
        <w:tab/>
      </w:r>
    </w:p>
    <w:p w14:paraId="61370DE6" w14:textId="77777777" w:rsidR="002A4C2F" w:rsidRDefault="00272F76" w:rsidP="002A4C2F">
      <w:pPr>
        <w:spacing w:before="40"/>
        <w:ind w:left="720"/>
      </w:pPr>
      <m:oMath>
        <m:sSub>
          <m:sSubPr>
            <m:ctrlPr>
              <w:rPr>
                <w:rFonts w:ascii="Cambria Math" w:hAnsi="Cambria Math"/>
                <w:i/>
                <w:sz w:val="24"/>
              </w:rPr>
            </m:ctrlPr>
          </m:sSubPr>
          <m:e>
            <m:r>
              <w:rPr>
                <w:rFonts w:ascii="Cambria Math" w:hAnsi="Cambria Math"/>
              </w:rPr>
              <m:t>E</m:t>
            </m:r>
          </m:e>
          <m:sub>
            <m:r>
              <w:rPr>
                <w:rFonts w:ascii="Cambria Math" w:hAnsi="Cambria Math"/>
              </w:rPr>
              <m:t>i,j</m:t>
            </m:r>
          </m:sub>
        </m:sSub>
      </m:oMath>
      <w:r w:rsidR="002A4C2F">
        <w:t xml:space="preserve"> </w:t>
      </w:r>
      <w:r w:rsidR="002A4C2F">
        <w:tab/>
        <w:t xml:space="preserve">= </w:t>
      </w:r>
      <w:r w:rsidR="002A4C2F">
        <w:tab/>
        <w:t xml:space="preserve">percentage of </w:t>
      </w:r>
      <w:r w:rsidR="002951C1">
        <w:t>segment</w:t>
      </w:r>
      <w:r w:rsidR="002A4C2F">
        <w:t xml:space="preserve"> </w:t>
      </w:r>
      <w:r w:rsidR="002A4C2F">
        <w:rPr>
          <w:i/>
        </w:rPr>
        <w:t>j</w:t>
      </w:r>
      <w:r w:rsidR="002A4C2F">
        <w:t xml:space="preserve"> energy attributable to end-use, </w:t>
      </w:r>
      <w:r w:rsidR="002A4C2F">
        <w:rPr>
          <w:i/>
        </w:rPr>
        <w:t xml:space="preserve">i </w:t>
      </w:r>
      <w:r w:rsidR="002A4C2F">
        <w:t xml:space="preserve"> </w:t>
      </w:r>
    </w:p>
    <w:p w14:paraId="181D1B52" w14:textId="77777777" w:rsidR="002A4C2F" w:rsidRDefault="00272F76" w:rsidP="002A4C2F">
      <w:pPr>
        <w:spacing w:before="40"/>
        <w:ind w:left="720"/>
        <w:rPr>
          <w:i/>
        </w:rPr>
      </w:pPr>
      <m:oMath>
        <m:sSub>
          <m:sSubPr>
            <m:ctrlPr>
              <w:rPr>
                <w:rFonts w:ascii="Cambria Math" w:hAnsi="Cambria Math"/>
                <w:i/>
                <w:sz w:val="24"/>
              </w:rPr>
            </m:ctrlPr>
          </m:sSubPr>
          <m:e>
            <m:r>
              <w:rPr>
                <w:rFonts w:ascii="Cambria Math" w:hAnsi="Cambria Math"/>
              </w:rPr>
              <m:t>MT</m:t>
            </m:r>
          </m:e>
          <m:sub>
            <m:r>
              <w:rPr>
                <w:rFonts w:ascii="Cambria Math" w:hAnsi="Cambria Math"/>
              </w:rPr>
              <m:t xml:space="preserve">j </m:t>
            </m:r>
          </m:sub>
        </m:sSub>
      </m:oMath>
      <w:r w:rsidR="002A4C2F">
        <w:t xml:space="preserve"> </w:t>
      </w:r>
      <w:r w:rsidR="002A4C2F">
        <w:tab/>
        <w:t xml:space="preserve">= </w:t>
      </w:r>
      <w:r w:rsidR="002A4C2F">
        <w:tab/>
        <w:t xml:space="preserve">market trajectory for </w:t>
      </w:r>
      <w:r w:rsidR="002951C1">
        <w:t>segment</w:t>
      </w:r>
      <w:r w:rsidR="002A4C2F">
        <w:t xml:space="preserve"> </w:t>
      </w:r>
      <w:r w:rsidR="002A4C2F">
        <w:rPr>
          <w:i/>
        </w:rPr>
        <w:t>j</w:t>
      </w:r>
    </w:p>
    <w:p w14:paraId="2FADDD20" w14:textId="77777777" w:rsidR="002A4C2F" w:rsidRDefault="00272F76" w:rsidP="002A4C2F">
      <w:pPr>
        <w:spacing w:before="40"/>
        <w:ind w:left="720"/>
      </w:pPr>
      <m:oMath>
        <m:sSub>
          <m:sSubPr>
            <m:ctrlPr>
              <w:rPr>
                <w:rFonts w:ascii="Cambria Math" w:hAnsi="Cambria Math"/>
                <w:i/>
                <w:sz w:val="24"/>
              </w:rPr>
            </m:ctrlPr>
          </m:sSubPr>
          <m:e>
            <m:r>
              <w:rPr>
                <w:rFonts w:ascii="Cambria Math" w:hAnsi="Cambria Math"/>
              </w:rPr>
              <m:t>TW</m:t>
            </m:r>
          </m:e>
          <m:sub>
            <m:r>
              <w:rPr>
                <w:rFonts w:ascii="Cambria Math" w:hAnsi="Cambria Math"/>
              </w:rPr>
              <m:t>j</m:t>
            </m:r>
          </m:sub>
        </m:sSub>
      </m:oMath>
      <w:r w:rsidR="002A4C2F">
        <w:t xml:space="preserve"> </w:t>
      </w:r>
      <w:r w:rsidR="002A4C2F">
        <w:tab/>
        <w:t xml:space="preserve">= </w:t>
      </w:r>
      <w:r w:rsidR="002A4C2F">
        <w:tab/>
        <w:t xml:space="preserve">segment energy consumption trend weight for </w:t>
      </w:r>
      <w:r w:rsidR="002951C1">
        <w:t>segment</w:t>
      </w:r>
      <w:r w:rsidR="002A4C2F">
        <w:t xml:space="preserve"> </w:t>
      </w:r>
      <w:r w:rsidR="002A4C2F">
        <w:rPr>
          <w:i/>
        </w:rPr>
        <w:t>j</w:t>
      </w:r>
    </w:p>
    <w:p w14:paraId="3C08E147" w14:textId="77777777" w:rsidR="002A4C2F" w:rsidRDefault="002A4C2F" w:rsidP="002A4C2F"/>
    <w:p w14:paraId="3BB733AA" w14:textId="77777777" w:rsidR="00CA021C" w:rsidRPr="00CA021C" w:rsidRDefault="002A4C2F" w:rsidP="004E4E36">
      <w:pPr>
        <w:pStyle w:val="ListParagraph"/>
        <w:numPr>
          <w:ilvl w:val="0"/>
          <w:numId w:val="54"/>
        </w:numPr>
      </w:pPr>
      <w:r>
        <w:t xml:space="preserve">The technology energy savings percentage, </w:t>
      </w:r>
      <m:oMath>
        <m:sSub>
          <m:sSubPr>
            <m:ctrlPr>
              <w:rPr>
                <w:rFonts w:ascii="Cambria Math" w:hAnsi="Cambria Math"/>
                <w:i/>
                <w:sz w:val="24"/>
              </w:rPr>
            </m:ctrlPr>
          </m:sSubPr>
          <m:e>
            <m:r>
              <w:rPr>
                <w:rFonts w:ascii="Cambria Math" w:hAnsi="Cambria Math"/>
              </w:rPr>
              <m:t>T</m:t>
            </m:r>
          </m:e>
          <m:sub>
            <m:r>
              <w:rPr>
                <w:rFonts w:ascii="Cambria Math" w:hAnsi="Cambria Math"/>
              </w:rPr>
              <m:t>e</m:t>
            </m:r>
          </m:sub>
        </m:sSub>
      </m:oMath>
      <w:r>
        <w:rPr>
          <w:rFonts w:eastAsiaTheme="minorEastAsia"/>
        </w:rPr>
        <w:t>, was identified during the ET characterization process.</w:t>
      </w:r>
    </w:p>
    <w:p w14:paraId="7E45D68C" w14:textId="77777777" w:rsidR="00CA021C" w:rsidRPr="00CA021C" w:rsidRDefault="002A4C2F" w:rsidP="004E4E36">
      <w:pPr>
        <w:pStyle w:val="ListParagraph"/>
        <w:numPr>
          <w:ilvl w:val="0"/>
          <w:numId w:val="54"/>
        </w:numPr>
      </w:pPr>
      <w:r>
        <w:rPr>
          <w:rFonts w:eastAsiaTheme="minorEastAsia"/>
        </w:rPr>
        <w:t xml:space="preserve">The </w:t>
      </w:r>
      <w:r w:rsidR="009D1D9C">
        <w:rPr>
          <w:rFonts w:eastAsiaTheme="minorEastAsia"/>
        </w:rPr>
        <w:t>segment</w:t>
      </w:r>
      <w:r>
        <w:rPr>
          <w:rFonts w:eastAsiaTheme="minorEastAsia"/>
        </w:rPr>
        <w:t xml:space="preserve"> end-use percentage, </w:t>
      </w:r>
      <m:oMath>
        <m:sSub>
          <m:sSubPr>
            <m:ctrlPr>
              <w:rPr>
                <w:rFonts w:ascii="Cambria Math" w:hAnsi="Cambria Math"/>
                <w:i/>
                <w:sz w:val="24"/>
              </w:rPr>
            </m:ctrlPr>
          </m:sSubPr>
          <m:e>
            <m:r>
              <w:rPr>
                <w:rFonts w:ascii="Cambria Math" w:hAnsi="Cambria Math"/>
              </w:rPr>
              <m:t>E</m:t>
            </m:r>
          </m:e>
          <m:sub>
            <m:r>
              <w:rPr>
                <w:rFonts w:ascii="Cambria Math" w:hAnsi="Cambria Math"/>
              </w:rPr>
              <m:t>i,j</m:t>
            </m:r>
          </m:sub>
        </m:sSub>
      </m:oMath>
      <w:r>
        <w:rPr>
          <w:rFonts w:eastAsiaTheme="minorEastAsia"/>
        </w:rPr>
        <w:t>, is derived from California market data.</w:t>
      </w:r>
      <w:r w:rsidR="00742FC0">
        <w:rPr>
          <w:rStyle w:val="FootnoteReference"/>
          <w:rFonts w:eastAsiaTheme="minorEastAsia"/>
        </w:rPr>
        <w:footnoteReference w:id="188"/>
      </w:r>
    </w:p>
    <w:p w14:paraId="5844B83C" w14:textId="77777777" w:rsidR="00A40F34" w:rsidRPr="00A40F34" w:rsidRDefault="002A4C2F" w:rsidP="004E4E36">
      <w:pPr>
        <w:pStyle w:val="ListParagraph"/>
        <w:numPr>
          <w:ilvl w:val="0"/>
          <w:numId w:val="54"/>
        </w:numPr>
      </w:pPr>
      <w:r>
        <w:rPr>
          <w:rFonts w:eastAsiaTheme="minorEastAsia"/>
        </w:rPr>
        <w:t xml:space="preserve">The market trajectory for each sector, </w:t>
      </w:r>
      <m:oMath>
        <m:sSub>
          <m:sSubPr>
            <m:ctrlPr>
              <w:rPr>
                <w:rFonts w:ascii="Cambria Math" w:hAnsi="Cambria Math"/>
                <w:i/>
                <w:sz w:val="24"/>
              </w:rPr>
            </m:ctrlPr>
          </m:sSubPr>
          <m:e>
            <m:r>
              <w:rPr>
                <w:rFonts w:ascii="Cambria Math" w:hAnsi="Cambria Math" w:cs="Cambria Math"/>
              </w:rPr>
              <m:t>M</m:t>
            </m:r>
            <m:r>
              <w:rPr>
                <w:rFonts w:ascii="Cambria Math" w:hAnsi="Cambria Math"/>
              </w:rPr>
              <m:t>T</m:t>
            </m:r>
          </m:e>
          <m:sub>
            <m:r>
              <w:rPr>
                <w:rFonts w:ascii="Cambria Math" w:hAnsi="Cambria Math"/>
              </w:rPr>
              <m:t xml:space="preserve">j </m:t>
            </m:r>
          </m:sub>
        </m:sSub>
      </m:oMath>
      <w:r>
        <w:rPr>
          <w:rFonts w:eastAsiaTheme="minorEastAsia"/>
        </w:rPr>
        <w:t xml:space="preserve">, is a value between 0 and 1 and is intended to define if </w:t>
      </w:r>
      <w:r w:rsidRPr="00CA021C">
        <w:rPr>
          <w:rFonts w:eastAsiaTheme="minorEastAsia"/>
        </w:rPr>
        <w:t>a</w:t>
      </w:r>
      <w:r w:rsidR="00A40F34">
        <w:rPr>
          <w:rFonts w:eastAsiaTheme="minorEastAsia"/>
        </w:rPr>
        <w:t xml:space="preserve"> market segment</w:t>
      </w:r>
      <w:r>
        <w:rPr>
          <w:rFonts w:eastAsiaTheme="minorEastAsia"/>
        </w:rPr>
        <w:t xml:space="preserve"> is likely to stay active in California long enough for </w:t>
      </w:r>
      <w:r w:rsidR="00A40F34">
        <w:rPr>
          <w:rFonts w:eastAsiaTheme="minorEastAsia"/>
        </w:rPr>
        <w:t xml:space="preserve">the </w:t>
      </w:r>
      <w:r>
        <w:rPr>
          <w:rFonts w:eastAsiaTheme="minorEastAsia"/>
        </w:rPr>
        <w:t xml:space="preserve">ET to move up the adoption curve to a point where they make an impact on segment energy use. No specific timeline was defined, however </w:t>
      </w:r>
      <w:r w:rsidR="00A40F34">
        <w:rPr>
          <w:rFonts w:eastAsiaTheme="minorEastAsia"/>
        </w:rPr>
        <w:t>the team assigned</w:t>
      </w:r>
      <w:r w:rsidRPr="00CA021C">
        <w:rPr>
          <w:rFonts w:eastAsiaTheme="minorEastAsia"/>
        </w:rPr>
        <w:t xml:space="preserve"> </w:t>
      </w:r>
      <w:r>
        <w:rPr>
          <w:rFonts w:eastAsiaTheme="minorEastAsia"/>
        </w:rPr>
        <w:t>segments a weight</w:t>
      </w:r>
      <w:r w:rsidR="00A40F34">
        <w:rPr>
          <w:rFonts w:eastAsiaTheme="minorEastAsia"/>
        </w:rPr>
        <w:t>:</w:t>
      </w:r>
      <w:r w:rsidR="00A40F34">
        <w:rPr>
          <w:rStyle w:val="FootnoteReference"/>
          <w:rFonts w:eastAsiaTheme="minorEastAsia"/>
        </w:rPr>
        <w:footnoteReference w:id="189"/>
      </w:r>
      <w:r w:rsidR="00A40F34" w:rsidRPr="00CA021C">
        <w:rPr>
          <w:rFonts w:eastAsiaTheme="minorEastAsia"/>
        </w:rPr>
        <w:t xml:space="preserve"> </w:t>
      </w:r>
    </w:p>
    <w:p w14:paraId="5F5CCDE8" w14:textId="77777777" w:rsidR="00A40F34" w:rsidRPr="00742FC0" w:rsidRDefault="002A4C2F" w:rsidP="004E4E36">
      <w:pPr>
        <w:pStyle w:val="ListParagraph"/>
        <w:numPr>
          <w:ilvl w:val="1"/>
          <w:numId w:val="54"/>
        </w:numPr>
      </w:pPr>
      <w:r>
        <w:rPr>
          <w:rFonts w:eastAsiaTheme="minorEastAsia"/>
        </w:rPr>
        <w:t>0.33</w:t>
      </w:r>
      <w:r w:rsidR="00A40F34">
        <w:rPr>
          <w:rFonts w:eastAsiaTheme="minorEastAsia"/>
        </w:rPr>
        <w:t>. I</w:t>
      </w:r>
      <w:r w:rsidRPr="00CA021C">
        <w:rPr>
          <w:rFonts w:eastAsiaTheme="minorEastAsia"/>
        </w:rPr>
        <w:t>ndicate</w:t>
      </w:r>
      <w:r w:rsidR="00A40F34">
        <w:rPr>
          <w:rFonts w:eastAsiaTheme="minorEastAsia"/>
        </w:rPr>
        <w:t>s</w:t>
      </w:r>
      <w:r>
        <w:rPr>
          <w:rFonts w:eastAsiaTheme="minorEastAsia"/>
        </w:rPr>
        <w:t xml:space="preserve"> a segment is likely to </w:t>
      </w:r>
      <w:r w:rsidR="00A40F34">
        <w:rPr>
          <w:rFonts w:eastAsiaTheme="minorEastAsia"/>
        </w:rPr>
        <w:t xml:space="preserve">move or </w:t>
      </w:r>
      <w:r>
        <w:rPr>
          <w:rFonts w:eastAsiaTheme="minorEastAsia"/>
        </w:rPr>
        <w:t>remain offshore</w:t>
      </w:r>
      <w:r w:rsidR="00A40F34">
        <w:rPr>
          <w:rFonts w:eastAsiaTheme="minorEastAsia"/>
        </w:rPr>
        <w:t>.</w:t>
      </w:r>
      <w:r w:rsidR="0097255F">
        <w:rPr>
          <w:rFonts w:eastAsiaTheme="minorEastAsia"/>
        </w:rPr>
        <w:t xml:space="preserve"> It is</w:t>
      </w:r>
      <w:r w:rsidR="0097255F" w:rsidRPr="00CA021C">
        <w:rPr>
          <w:rFonts w:eastAsiaTheme="minorEastAsia"/>
        </w:rPr>
        <w:t xml:space="preserve"> </w:t>
      </w:r>
      <w:r w:rsidR="0097255F">
        <w:rPr>
          <w:rFonts w:eastAsiaTheme="minorEastAsia"/>
        </w:rPr>
        <w:t>not expected to benefit</w:t>
      </w:r>
      <w:r w:rsidR="0097255F" w:rsidRPr="00CA021C">
        <w:rPr>
          <w:rFonts w:eastAsiaTheme="minorEastAsia"/>
        </w:rPr>
        <w:t xml:space="preserve"> from the ET adoption cycle</w:t>
      </w:r>
      <w:r w:rsidR="0097255F">
        <w:rPr>
          <w:rFonts w:eastAsiaTheme="minorEastAsia"/>
        </w:rPr>
        <w:t>.</w:t>
      </w:r>
    </w:p>
    <w:p w14:paraId="06541DA5" w14:textId="77777777" w:rsidR="00A40F34" w:rsidRPr="00A40F34" w:rsidRDefault="002A4C2F" w:rsidP="004E4E36">
      <w:pPr>
        <w:pStyle w:val="ListParagraph"/>
        <w:numPr>
          <w:ilvl w:val="1"/>
          <w:numId w:val="54"/>
        </w:numPr>
      </w:pPr>
      <w:r>
        <w:rPr>
          <w:rFonts w:eastAsiaTheme="minorEastAsia"/>
        </w:rPr>
        <w:t>0.67</w:t>
      </w:r>
      <w:r w:rsidR="00A40F34">
        <w:rPr>
          <w:rFonts w:eastAsiaTheme="minorEastAsia"/>
        </w:rPr>
        <w:t>. I</w:t>
      </w:r>
      <w:r>
        <w:rPr>
          <w:rFonts w:eastAsiaTheme="minorEastAsia"/>
        </w:rPr>
        <w:t xml:space="preserve">ndicates a segment is close to </w:t>
      </w:r>
      <w:r w:rsidR="00A40F34">
        <w:rPr>
          <w:rFonts w:eastAsiaTheme="minorEastAsia"/>
        </w:rPr>
        <w:t xml:space="preserve">the </w:t>
      </w:r>
      <w:r>
        <w:rPr>
          <w:rFonts w:eastAsiaTheme="minorEastAsia"/>
        </w:rPr>
        <w:t>tipping point of moving out of California or the U.S</w:t>
      </w:r>
      <w:r w:rsidRPr="00CA021C">
        <w:rPr>
          <w:rFonts w:eastAsiaTheme="minorEastAsia"/>
        </w:rPr>
        <w:t>.</w:t>
      </w:r>
      <w:r w:rsidR="0097255F">
        <w:rPr>
          <w:rFonts w:eastAsiaTheme="minorEastAsia"/>
        </w:rPr>
        <w:t xml:space="preserve"> It is</w:t>
      </w:r>
      <w:r>
        <w:rPr>
          <w:rFonts w:eastAsiaTheme="minorEastAsia"/>
        </w:rPr>
        <w:t xml:space="preserve"> at risk of not benefiting from the ET adoption cycle</w:t>
      </w:r>
      <w:r w:rsidR="00A40F34">
        <w:rPr>
          <w:rFonts w:eastAsiaTheme="minorEastAsia"/>
        </w:rPr>
        <w:t>.</w:t>
      </w:r>
    </w:p>
    <w:p w14:paraId="6401E6AE" w14:textId="77777777" w:rsidR="005F4903" w:rsidRPr="005F4903" w:rsidRDefault="002A4C2F" w:rsidP="004E4E36">
      <w:pPr>
        <w:pStyle w:val="ListParagraph"/>
        <w:numPr>
          <w:ilvl w:val="1"/>
          <w:numId w:val="54"/>
        </w:numPr>
      </w:pPr>
      <w:r>
        <w:rPr>
          <w:rFonts w:eastAsiaTheme="minorEastAsia"/>
        </w:rPr>
        <w:t>1.0</w:t>
      </w:r>
      <w:r w:rsidR="0097255F">
        <w:rPr>
          <w:rFonts w:eastAsiaTheme="minorEastAsia"/>
        </w:rPr>
        <w:t>. I</w:t>
      </w:r>
      <w:r w:rsidRPr="00CA021C">
        <w:rPr>
          <w:rFonts w:eastAsiaTheme="minorEastAsia"/>
        </w:rPr>
        <w:t>ndicat</w:t>
      </w:r>
      <w:r w:rsidR="0097255F">
        <w:rPr>
          <w:rFonts w:eastAsiaTheme="minorEastAsia"/>
        </w:rPr>
        <w:t>es</w:t>
      </w:r>
      <w:r>
        <w:rPr>
          <w:rFonts w:eastAsiaTheme="minorEastAsia"/>
        </w:rPr>
        <w:t xml:space="preserve"> a segment is likely to remain in the California.</w:t>
      </w:r>
      <w:r w:rsidR="0097255F">
        <w:rPr>
          <w:rFonts w:eastAsiaTheme="minorEastAsia"/>
        </w:rPr>
        <w:t xml:space="preserve"> It is</w:t>
      </w:r>
      <w:r w:rsidR="0097255F" w:rsidRPr="00CA021C">
        <w:rPr>
          <w:rFonts w:eastAsiaTheme="minorEastAsia"/>
        </w:rPr>
        <w:t xml:space="preserve"> </w:t>
      </w:r>
      <w:r w:rsidR="0097255F">
        <w:rPr>
          <w:rFonts w:eastAsiaTheme="minorEastAsia"/>
        </w:rPr>
        <w:t>expected to benefit</w:t>
      </w:r>
      <w:r w:rsidR="0097255F" w:rsidRPr="00CA021C">
        <w:rPr>
          <w:rFonts w:eastAsiaTheme="minorEastAsia"/>
        </w:rPr>
        <w:t xml:space="preserve"> from the ET adoption cycle</w:t>
      </w:r>
      <w:r w:rsidR="0097255F">
        <w:rPr>
          <w:rFonts w:eastAsiaTheme="minorEastAsia"/>
        </w:rPr>
        <w:t>.</w:t>
      </w:r>
    </w:p>
    <w:p w14:paraId="37FB93B4" w14:textId="62FC7808" w:rsidR="002A4C2F" w:rsidRDefault="007352B2" w:rsidP="004E4E36">
      <w:pPr>
        <w:pStyle w:val="ListParagraph"/>
        <w:numPr>
          <w:ilvl w:val="0"/>
          <w:numId w:val="54"/>
        </w:numPr>
      </w:pPr>
      <w:r>
        <w:t>Figure E-1</w:t>
      </w:r>
      <w:r w:rsidR="00064586">
        <w:t xml:space="preserve"> </w:t>
      </w:r>
      <w:r w:rsidR="00064586" w:rsidRPr="00064586">
        <w:t xml:space="preserve">provides an illustration of segment offshoring trends from the reference source used to define segment market trajectory. The segment energy consumption trend weight in </w:t>
      </w:r>
      <w:r w:rsidR="00064586">
        <w:fldChar w:fldCharType="begin"/>
      </w:r>
      <w:r w:rsidR="00064586">
        <w:instrText xml:space="preserve"> REF _Ref484087812 \h </w:instrText>
      </w:r>
      <w:r w:rsidR="00064586">
        <w:fldChar w:fldCharType="separate"/>
      </w:r>
      <w:r w:rsidR="00C407F4" w:rsidRPr="00321BF9">
        <w:t xml:space="preserve">Equation </w:t>
      </w:r>
      <w:r w:rsidR="00C407F4">
        <w:rPr>
          <w:noProof/>
        </w:rPr>
        <w:t>4</w:t>
      </w:r>
      <w:r w:rsidR="00064586">
        <w:fldChar w:fldCharType="end"/>
      </w:r>
      <w:r w:rsidR="00064586" w:rsidRPr="00064586">
        <w:t>,</w:t>
      </w:r>
      <w:r w:rsidR="00064586">
        <w:t xml:space="preserve"> </w:t>
      </w:r>
      <w:r w:rsidR="00064586" w:rsidRPr="005F4903">
        <w:rPr>
          <w:i/>
        </w:rPr>
        <w:t>TW</w:t>
      </w:r>
      <w:r w:rsidR="00064586" w:rsidRPr="005F4903">
        <w:rPr>
          <w:i/>
          <w:vertAlign w:val="subscript"/>
        </w:rPr>
        <w:t>j</w:t>
      </w:r>
      <w:r w:rsidR="00064586" w:rsidRPr="00064586">
        <w:t>, is a value between 0 and 1, indicating the trend of energy consump</w:t>
      </w:r>
      <w:r w:rsidR="00064586">
        <w:t xml:space="preserve">tion of each sector over time, </w:t>
      </w:r>
      <w:r w:rsidR="00064586" w:rsidRPr="00064586">
        <w:t>and i</w:t>
      </w:r>
      <w:r w:rsidR="00064586">
        <w:t xml:space="preserve">s depicted in </w:t>
      </w:r>
      <w:r>
        <w:t>Figure E-2</w:t>
      </w:r>
      <w:r w:rsidR="00064586">
        <w:t>.</w:t>
      </w:r>
    </w:p>
    <w:p w14:paraId="495E28D9" w14:textId="77777777" w:rsidR="002A4C2F" w:rsidRDefault="002A4C2F" w:rsidP="002A4C2F"/>
    <w:p w14:paraId="3C51D91C" w14:textId="77777777" w:rsidR="007352B2" w:rsidRDefault="007352B2" w:rsidP="007352B2">
      <w:pPr>
        <w:pStyle w:val="Caption"/>
      </w:pPr>
      <w:bookmarkStart w:id="1064" w:name="_Toc485125550"/>
      <w:r w:rsidRPr="00323BFA">
        <w:lastRenderedPageBreak/>
        <w:t xml:space="preserve">Figure </w:t>
      </w:r>
      <w:r w:rsidR="00272F76">
        <w:fldChar w:fldCharType="begin"/>
      </w:r>
      <w:r w:rsidR="00272F76">
        <w:instrText xml:space="preserve"> STYLEREF 5 \s </w:instrText>
      </w:r>
      <w:r w:rsidR="00272F76">
        <w:fldChar w:fldCharType="separate"/>
      </w:r>
      <w:r w:rsidR="00C407F4">
        <w:rPr>
          <w:noProof/>
        </w:rPr>
        <w:t>E</w:t>
      </w:r>
      <w:r w:rsidR="00272F76">
        <w:rPr>
          <w:noProof/>
        </w:rPr>
        <w:fldChar w:fldCharType="end"/>
      </w:r>
      <w:r w:rsidRPr="00323BFA">
        <w:noBreakHyphen/>
      </w:r>
      <w:r w:rsidR="00272F76">
        <w:fldChar w:fldCharType="begin"/>
      </w:r>
      <w:r w:rsidR="00272F76">
        <w:instrText xml:space="preserve"> SEQ Figure_Apx \* ARABIC \s 5 </w:instrText>
      </w:r>
      <w:r w:rsidR="00272F76">
        <w:fldChar w:fldCharType="separate"/>
      </w:r>
      <w:r w:rsidR="00C407F4">
        <w:rPr>
          <w:noProof/>
        </w:rPr>
        <w:t>1</w:t>
      </w:r>
      <w:r w:rsidR="00272F76">
        <w:rPr>
          <w:noProof/>
        </w:rPr>
        <w:fldChar w:fldCharType="end"/>
      </w:r>
      <w:r w:rsidRPr="00323BFA">
        <w:t>.</w:t>
      </w:r>
      <w:r w:rsidRPr="007352B2">
        <w:t xml:space="preserve"> </w:t>
      </w:r>
      <w:r>
        <w:t>Examples of Industrial Market Segments at Risk of Relocating Offshore</w:t>
      </w:r>
      <w:bookmarkEnd w:id="1064"/>
    </w:p>
    <w:p w14:paraId="2B02DD91" w14:textId="77777777" w:rsidR="002A4C2F" w:rsidRDefault="002A4C2F" w:rsidP="00742FC0">
      <w:pPr>
        <w:jc w:val="center"/>
      </w:pPr>
      <w:r>
        <w:rPr>
          <w:noProof/>
        </w:rPr>
        <w:drawing>
          <wp:inline distT="0" distB="0" distL="0" distR="0" wp14:anchorId="6AE8663C" wp14:editId="70A70926">
            <wp:extent cx="5469467" cy="2727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l="18794" t="37321" r="33568" b="20444"/>
                    <a:stretch>
                      <a:fillRect/>
                    </a:stretch>
                  </pic:blipFill>
                  <pic:spPr bwMode="auto">
                    <a:xfrm>
                      <a:off x="0" y="0"/>
                      <a:ext cx="5472188" cy="2728719"/>
                    </a:xfrm>
                    <a:prstGeom prst="rect">
                      <a:avLst/>
                    </a:prstGeom>
                    <a:noFill/>
                    <a:ln>
                      <a:noFill/>
                    </a:ln>
                  </pic:spPr>
                </pic:pic>
              </a:graphicData>
            </a:graphic>
          </wp:inline>
        </w:drawing>
      </w:r>
    </w:p>
    <w:p w14:paraId="27FAC7B6" w14:textId="77777777" w:rsidR="00742FC0" w:rsidRPr="001A5D37" w:rsidRDefault="00742FC0" w:rsidP="00742FC0">
      <w:pPr>
        <w:jc w:val="center"/>
        <w:rPr>
          <w:rFonts w:cs="Arial"/>
          <w:i/>
          <w:sz w:val="16"/>
          <w:szCs w:val="16"/>
        </w:rPr>
      </w:pPr>
      <w:r w:rsidRPr="001A5D37">
        <w:rPr>
          <w:rFonts w:cs="Arial"/>
          <w:i/>
          <w:sz w:val="16"/>
          <w:szCs w:val="16"/>
        </w:rPr>
        <w:t xml:space="preserve">Source: </w:t>
      </w:r>
      <w:r w:rsidRPr="00742FC0">
        <w:rPr>
          <w:rFonts w:cs="Arial"/>
          <w:i/>
          <w:sz w:val="16"/>
          <w:szCs w:val="16"/>
        </w:rPr>
        <w:t>Sirkin, H. et al. U.S. Manufacturing Nears the Tipping Point, The Boston Consulting Group, March 2012.</w:t>
      </w:r>
    </w:p>
    <w:p w14:paraId="5ACC6842" w14:textId="77777777" w:rsidR="00742FC0" w:rsidRDefault="00742FC0" w:rsidP="002A4C2F"/>
    <w:p w14:paraId="6EC88F54" w14:textId="77777777" w:rsidR="007352B2" w:rsidRDefault="007352B2" w:rsidP="007352B2">
      <w:pPr>
        <w:pStyle w:val="Caption"/>
      </w:pPr>
      <w:bookmarkStart w:id="1065" w:name="_Toc485125551"/>
      <w:r w:rsidRPr="00323BFA">
        <w:lastRenderedPageBreak/>
        <w:t xml:space="preserve">Figure </w:t>
      </w:r>
      <w:r w:rsidR="00272F76">
        <w:fldChar w:fldCharType="begin"/>
      </w:r>
      <w:r w:rsidR="00272F76">
        <w:instrText xml:space="preserve"> STYLEREF 5 \s </w:instrText>
      </w:r>
      <w:r w:rsidR="00272F76">
        <w:fldChar w:fldCharType="separate"/>
      </w:r>
      <w:r w:rsidR="00C407F4">
        <w:rPr>
          <w:noProof/>
        </w:rPr>
        <w:t>E</w:t>
      </w:r>
      <w:r w:rsidR="00272F76">
        <w:rPr>
          <w:noProof/>
        </w:rPr>
        <w:fldChar w:fldCharType="end"/>
      </w:r>
      <w:r w:rsidRPr="00323BFA">
        <w:noBreakHyphen/>
      </w:r>
      <w:r w:rsidR="00272F76">
        <w:fldChar w:fldCharType="begin"/>
      </w:r>
      <w:r w:rsidR="00272F76">
        <w:instrText xml:space="preserve"> SEQ Figure_Apx \* ARABIC \s 5 </w:instrText>
      </w:r>
      <w:r w:rsidR="00272F76">
        <w:fldChar w:fldCharType="separate"/>
      </w:r>
      <w:r w:rsidR="00C407F4">
        <w:rPr>
          <w:noProof/>
        </w:rPr>
        <w:t>2</w:t>
      </w:r>
      <w:r w:rsidR="00272F76">
        <w:rPr>
          <w:noProof/>
        </w:rPr>
        <w:fldChar w:fldCharType="end"/>
      </w:r>
      <w:r w:rsidRPr="00323BFA">
        <w:t>.</w:t>
      </w:r>
      <w:r w:rsidRPr="007352B2">
        <w:t xml:space="preserve"> </w:t>
      </w:r>
      <w:r>
        <w:t>Example Trends in PG&amp;E Electric Energy Usage (Indexed to 1990 Usage = 1)</w:t>
      </w:r>
      <w:bookmarkEnd w:id="1065"/>
    </w:p>
    <w:p w14:paraId="1F2F842D" w14:textId="77777777" w:rsidR="00742FC0" w:rsidRDefault="00064586" w:rsidP="00742FC0">
      <w:pPr>
        <w:jc w:val="center"/>
        <w:rPr>
          <w:highlight w:val="yellow"/>
        </w:rPr>
      </w:pPr>
      <w:r w:rsidRPr="00C26591">
        <w:rPr>
          <w:noProof/>
        </w:rPr>
        <w:drawing>
          <wp:inline distT="0" distB="0" distL="0" distR="0" wp14:anchorId="5316F2A9" wp14:editId="326820FA">
            <wp:extent cx="5275298" cy="4774630"/>
            <wp:effectExtent l="19050" t="19050" r="2095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4840" b="3802"/>
                    <a:stretch/>
                  </pic:blipFill>
                  <pic:spPr bwMode="auto">
                    <a:xfrm>
                      <a:off x="0" y="0"/>
                      <a:ext cx="5279252" cy="477820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7CEE7328" w14:textId="77777777" w:rsidR="00742FC0" w:rsidRDefault="00742FC0" w:rsidP="00742FC0">
      <w:pPr>
        <w:jc w:val="center"/>
        <w:rPr>
          <w:rFonts w:cs="Arial"/>
          <w:i/>
          <w:sz w:val="16"/>
          <w:szCs w:val="16"/>
        </w:rPr>
      </w:pPr>
      <w:r w:rsidRPr="001A5D37">
        <w:rPr>
          <w:rFonts w:cs="Arial"/>
          <w:i/>
          <w:sz w:val="16"/>
          <w:szCs w:val="16"/>
        </w:rPr>
        <w:t xml:space="preserve">Source: </w:t>
      </w:r>
      <w:r w:rsidRPr="00742FC0">
        <w:rPr>
          <w:rFonts w:cs="Arial"/>
          <w:i/>
          <w:sz w:val="16"/>
          <w:szCs w:val="16"/>
        </w:rPr>
        <w:t>Energy use trend analysis provided by CEC.</w:t>
      </w:r>
      <w:r w:rsidRPr="00742FC0" w:rsidDel="002A4C2F">
        <w:rPr>
          <w:rFonts w:cs="Arial"/>
          <w:i/>
          <w:sz w:val="16"/>
          <w:szCs w:val="16"/>
        </w:rPr>
        <w:t xml:space="preserve"> </w:t>
      </w:r>
    </w:p>
    <w:p w14:paraId="62C4CA4D" w14:textId="77777777" w:rsidR="00064586" w:rsidRDefault="00064586" w:rsidP="00742FC0"/>
    <w:p w14:paraId="3291E715" w14:textId="77777777" w:rsidR="00064586" w:rsidRDefault="00064586" w:rsidP="00064586">
      <w:r w:rsidRPr="00064586">
        <w:t>The value</w:t>
      </w:r>
      <w:r>
        <w:t>s</w:t>
      </w:r>
      <w:r w:rsidRPr="00064586">
        <w:t xml:space="preserve"> of all applicable </w:t>
      </w:r>
      <w:r>
        <w:t>ET</w:t>
      </w:r>
      <w:r w:rsidRPr="00064586">
        <w:t xml:space="preserve"> multipliers w</w:t>
      </w:r>
      <w:r>
        <w:t>ere</w:t>
      </w:r>
      <w:r w:rsidRPr="00064586">
        <w:t xml:space="preserve"> summed for each market segment to define an ET UES multiplier, provided in Table </w:t>
      </w:r>
      <w:r>
        <w:t>E-</w:t>
      </w:r>
      <w:r w:rsidR="007352B2">
        <w:t>5</w:t>
      </w:r>
      <w:r>
        <w:t>,</w:t>
      </w:r>
      <w:r w:rsidRPr="00064586">
        <w:t xml:space="preserve"> to forecast segment level potential net savings using the following equation: </w:t>
      </w:r>
    </w:p>
    <w:p w14:paraId="225AD4D1" w14:textId="77777777" w:rsidR="0081097F" w:rsidRDefault="0081097F" w:rsidP="00064586"/>
    <w:p w14:paraId="11A314A5" w14:textId="77777777" w:rsidR="00064586" w:rsidRPr="004C3E4D" w:rsidRDefault="00064586" w:rsidP="00064586">
      <w:pPr>
        <w:pStyle w:val="Caption"/>
        <w:rPr>
          <w:lang w:val="en-CA"/>
        </w:rPr>
      </w:pPr>
      <w:r w:rsidRPr="00321BF9">
        <w:t xml:space="preserve">Equation </w:t>
      </w:r>
      <w:r w:rsidR="00272F76">
        <w:fldChar w:fldCharType="begin"/>
      </w:r>
      <w:r w:rsidR="00272F76">
        <w:instrText xml:space="preserve"> SEQ Equation \* ARABIC </w:instrText>
      </w:r>
      <w:r w:rsidR="00272F76">
        <w:fldChar w:fldCharType="separate"/>
      </w:r>
      <w:r w:rsidR="00C407F4">
        <w:rPr>
          <w:noProof/>
        </w:rPr>
        <w:t>5</w:t>
      </w:r>
      <w:r w:rsidR="00272F76">
        <w:rPr>
          <w:noProof/>
        </w:rPr>
        <w:fldChar w:fldCharType="end"/>
      </w:r>
      <w:r w:rsidRPr="00321BF9">
        <w:t>.</w:t>
      </w:r>
      <w:r w:rsidR="0081097F">
        <w:t xml:space="preserve"> Emerging Technology</w:t>
      </w:r>
      <w:r>
        <w:t xml:space="preserve"> Segment Net Savings Potential</w:t>
      </w:r>
    </w:p>
    <w:p w14:paraId="385BB2B1" w14:textId="77777777" w:rsidR="00064586" w:rsidRPr="007352B2" w:rsidRDefault="0081097F" w:rsidP="00064586">
      <w:pPr>
        <w:ind w:left="720"/>
        <w:jc w:val="center"/>
        <w:rPr>
          <w:rFonts w:ascii="Cambria Math" w:hAnsi="Cambria Math" w:cs="Cambria Math"/>
          <w:i/>
        </w:rPr>
      </w:pPr>
      <w:r w:rsidRPr="007352B2">
        <w:rPr>
          <w:rFonts w:ascii="Cambria Math" w:hAnsi="Cambria Math" w:cs="Cambria Math"/>
          <w:i/>
        </w:rPr>
        <w:t>ET</w:t>
      </w:r>
      <w:r w:rsidR="00064586" w:rsidRPr="007352B2">
        <w:rPr>
          <w:rFonts w:ascii="Cambria Math" w:hAnsi="Cambria Math" w:cs="Cambria Math"/>
          <w:i/>
        </w:rPr>
        <w:t xml:space="preserve"> segment level EE net savings potential = </w:t>
      </w:r>
      <w:r w:rsidRPr="007352B2">
        <w:rPr>
          <w:rFonts w:ascii="Cambria Math" w:hAnsi="Cambria Math" w:cs="Cambria Math"/>
          <w:i/>
        </w:rPr>
        <w:t>ET</w:t>
      </w:r>
      <w:r w:rsidR="00064586" w:rsidRPr="007352B2">
        <w:rPr>
          <w:rFonts w:ascii="Cambria Math" w:hAnsi="Cambria Math" w:cs="Cambria Math"/>
          <w:i/>
        </w:rPr>
        <w:t xml:space="preserve"> UES Multiplier x Annual Segment Consumption</w:t>
      </w:r>
      <w:r w:rsidR="00064586" w:rsidRPr="007352B2">
        <w:rPr>
          <w:rStyle w:val="FootnoteReference"/>
          <w:rFonts w:cs="Cambria Math"/>
          <w:i/>
        </w:rPr>
        <w:footnoteReference w:id="190"/>
      </w:r>
    </w:p>
    <w:p w14:paraId="30E30558" w14:textId="77777777" w:rsidR="00064586" w:rsidRDefault="00064586" w:rsidP="00064586">
      <w:pPr>
        <w:rPr>
          <w:highlight w:val="yellow"/>
        </w:rPr>
      </w:pPr>
    </w:p>
    <w:p w14:paraId="1050E108" w14:textId="77777777" w:rsidR="00064586" w:rsidRDefault="00064586" w:rsidP="00742FC0"/>
    <w:p w14:paraId="09D59E24" w14:textId="77777777" w:rsidR="00064586" w:rsidRDefault="00064586" w:rsidP="00742FC0"/>
    <w:p w14:paraId="63208153" w14:textId="77777777" w:rsidR="00064586" w:rsidRDefault="00064586" w:rsidP="00742FC0"/>
    <w:p w14:paraId="710E3A78" w14:textId="77777777" w:rsidR="00064586" w:rsidRDefault="00064586" w:rsidP="00064586">
      <w:pPr>
        <w:pStyle w:val="Caption"/>
      </w:pPr>
      <w:bookmarkStart w:id="1066" w:name="_Toc485125621"/>
      <w:r>
        <w:lastRenderedPageBreak/>
        <w:t xml:space="preserve">Table </w:t>
      </w:r>
      <w:r w:rsidR="00272F76">
        <w:fldChar w:fldCharType="begin"/>
      </w:r>
      <w:r w:rsidR="00272F76">
        <w:instrText xml:space="preserve"> STYLEREF 5 \s </w:instrText>
      </w:r>
      <w:r w:rsidR="00272F76">
        <w:fldChar w:fldCharType="separate"/>
      </w:r>
      <w:r w:rsidR="00C407F4">
        <w:rPr>
          <w:noProof/>
        </w:rPr>
        <w:t>E</w:t>
      </w:r>
      <w:r w:rsidR="00272F76">
        <w:rPr>
          <w:noProof/>
        </w:rPr>
        <w:fldChar w:fldCharType="end"/>
      </w:r>
      <w:r>
        <w:noBreakHyphen/>
      </w:r>
      <w:r w:rsidR="00272F76">
        <w:fldChar w:fldCharType="begin"/>
      </w:r>
      <w:r w:rsidR="00272F76">
        <w:instrText xml:space="preserve"> SEQ Table_Apx \* ARABIC \s 5 </w:instrText>
      </w:r>
      <w:r w:rsidR="00272F76">
        <w:fldChar w:fldCharType="separate"/>
      </w:r>
      <w:r w:rsidR="00C407F4">
        <w:rPr>
          <w:noProof/>
        </w:rPr>
        <w:t>5</w:t>
      </w:r>
      <w:r w:rsidR="00272F76">
        <w:rPr>
          <w:noProof/>
        </w:rPr>
        <w:fldChar w:fldCharType="end"/>
      </w:r>
      <w:r>
        <w:t xml:space="preserve">. </w:t>
      </w:r>
      <w:r w:rsidR="0081097F" w:rsidRPr="0081097F">
        <w:t xml:space="preserve">Emerging Technologies UES </w:t>
      </w:r>
      <w:r w:rsidR="0081097F">
        <w:t xml:space="preserve">Multipliers </w:t>
      </w:r>
      <w:r w:rsidR="0081097F" w:rsidRPr="0081097F">
        <w:t>by Segment and Fuel</w:t>
      </w:r>
      <w:bookmarkEnd w:id="1066"/>
    </w:p>
    <w:tbl>
      <w:tblPr>
        <w:tblStyle w:val="EnergyTable1"/>
        <w:tblW w:w="7549" w:type="dxa"/>
        <w:tblLayout w:type="fixed"/>
        <w:tblLook w:val="04A0" w:firstRow="1" w:lastRow="0" w:firstColumn="1" w:lastColumn="0" w:noHBand="0" w:noVBand="1"/>
      </w:tblPr>
      <w:tblGrid>
        <w:gridCol w:w="2880"/>
        <w:gridCol w:w="1530"/>
        <w:gridCol w:w="3139"/>
      </w:tblGrid>
      <w:tr w:rsidR="00064586" w14:paraId="6539E5C9" w14:textId="77777777" w:rsidTr="005F49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0" w:type="dxa"/>
          </w:tcPr>
          <w:p w14:paraId="49E60E52" w14:textId="77777777" w:rsidR="00064586" w:rsidRPr="00E01C42" w:rsidRDefault="00064586" w:rsidP="001839BE">
            <w:pPr>
              <w:rPr>
                <w:rFonts w:ascii="Arial Narrow" w:hAnsi="Arial Narrow" w:cs="Arial"/>
                <w:color w:val="FFFFFF" w:themeColor="background1"/>
                <w:szCs w:val="18"/>
              </w:rPr>
            </w:pPr>
            <w:r w:rsidRPr="00E01C42">
              <w:rPr>
                <w:rFonts w:ascii="Arial Narrow" w:hAnsi="Arial Narrow" w:cstheme="majorHAnsi"/>
                <w:color w:val="FFFFFF" w:themeColor="background1"/>
                <w:szCs w:val="18"/>
              </w:rPr>
              <w:t>Segment</w:t>
            </w:r>
          </w:p>
        </w:tc>
        <w:tc>
          <w:tcPr>
            <w:tcW w:w="1530" w:type="dxa"/>
          </w:tcPr>
          <w:p w14:paraId="19C03C07" w14:textId="77777777" w:rsidR="00064586" w:rsidRPr="00E01C42" w:rsidRDefault="0081097F" w:rsidP="001839BE">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Pr>
                <w:rFonts w:ascii="Arial Narrow" w:hAnsi="Arial Narrow" w:cstheme="majorHAnsi"/>
                <w:color w:val="FFFFFF" w:themeColor="background1"/>
                <w:szCs w:val="18"/>
              </w:rPr>
              <w:t>UES Multiplier (kWh)</w:t>
            </w:r>
          </w:p>
        </w:tc>
        <w:tc>
          <w:tcPr>
            <w:tcW w:w="3139" w:type="dxa"/>
          </w:tcPr>
          <w:p w14:paraId="7ECBA305" w14:textId="77777777" w:rsidR="00064586" w:rsidRPr="00E01C42" w:rsidRDefault="0081097F" w:rsidP="001839BE">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Pr>
                <w:rFonts w:ascii="Arial Narrow" w:hAnsi="Arial Narrow" w:cstheme="majorHAnsi"/>
                <w:color w:val="FFFFFF" w:themeColor="background1"/>
                <w:szCs w:val="18"/>
              </w:rPr>
              <w:t>UES Multiplier (therm)</w:t>
            </w:r>
          </w:p>
        </w:tc>
      </w:tr>
      <w:tr w:rsidR="0081097F" w14:paraId="00F4CE31"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79312A4E" w14:textId="77777777" w:rsidR="0081097F" w:rsidRPr="0081097F" w:rsidRDefault="0081097F" w:rsidP="0081097F">
            <w:pPr>
              <w:rPr>
                <w:rFonts w:ascii="Arial Narrow" w:hAnsi="Arial Narrow" w:cs="Arial"/>
                <w:szCs w:val="20"/>
              </w:rPr>
            </w:pPr>
            <w:r w:rsidRPr="0081097F">
              <w:rPr>
                <w:rFonts w:ascii="Arial Narrow" w:hAnsi="Arial Narrow"/>
                <w:szCs w:val="20"/>
              </w:rPr>
              <w:t>Ind - Petroleum</w:t>
            </w:r>
          </w:p>
        </w:tc>
        <w:tc>
          <w:tcPr>
            <w:tcW w:w="1530" w:type="dxa"/>
            <w:vAlign w:val="top"/>
          </w:tcPr>
          <w:p w14:paraId="6E30EDD1"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0.175%</w:t>
            </w:r>
          </w:p>
        </w:tc>
        <w:tc>
          <w:tcPr>
            <w:tcW w:w="3139" w:type="dxa"/>
            <w:vAlign w:val="top"/>
          </w:tcPr>
          <w:p w14:paraId="662051F3"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1.218%</w:t>
            </w:r>
          </w:p>
        </w:tc>
      </w:tr>
      <w:tr w:rsidR="0081097F" w14:paraId="6B9A3192"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4A96EB64" w14:textId="77777777" w:rsidR="0081097F" w:rsidRPr="0081097F" w:rsidRDefault="0081097F" w:rsidP="0081097F">
            <w:pPr>
              <w:rPr>
                <w:rFonts w:ascii="Arial Narrow" w:hAnsi="Arial Narrow" w:cs="Arial"/>
                <w:szCs w:val="20"/>
              </w:rPr>
            </w:pPr>
            <w:r w:rsidRPr="0081097F">
              <w:rPr>
                <w:rFonts w:ascii="Arial Narrow" w:hAnsi="Arial Narrow"/>
                <w:szCs w:val="20"/>
              </w:rPr>
              <w:t>Ind – Food</w:t>
            </w:r>
          </w:p>
        </w:tc>
        <w:tc>
          <w:tcPr>
            <w:tcW w:w="1530" w:type="dxa"/>
            <w:vAlign w:val="top"/>
          </w:tcPr>
          <w:p w14:paraId="1AD14102"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1.658%</w:t>
            </w:r>
          </w:p>
        </w:tc>
        <w:tc>
          <w:tcPr>
            <w:tcW w:w="3139" w:type="dxa"/>
            <w:vAlign w:val="top"/>
          </w:tcPr>
          <w:p w14:paraId="68B7BB52"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9.178%</w:t>
            </w:r>
          </w:p>
        </w:tc>
      </w:tr>
      <w:tr w:rsidR="0081097F" w14:paraId="52FE286D"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156CA6C0" w14:textId="77777777" w:rsidR="0081097F" w:rsidRPr="0081097F" w:rsidRDefault="0081097F" w:rsidP="0081097F">
            <w:pPr>
              <w:rPr>
                <w:rFonts w:ascii="Arial Narrow" w:hAnsi="Arial Narrow" w:cs="Arial"/>
                <w:szCs w:val="20"/>
              </w:rPr>
            </w:pPr>
            <w:r w:rsidRPr="0081097F">
              <w:rPr>
                <w:rFonts w:ascii="Arial Narrow" w:hAnsi="Arial Narrow"/>
                <w:szCs w:val="20"/>
              </w:rPr>
              <w:t>Ind - Electronics</w:t>
            </w:r>
          </w:p>
        </w:tc>
        <w:tc>
          <w:tcPr>
            <w:tcW w:w="1530" w:type="dxa"/>
            <w:vAlign w:val="top"/>
          </w:tcPr>
          <w:p w14:paraId="0445DF35"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0.815%</w:t>
            </w:r>
          </w:p>
        </w:tc>
        <w:tc>
          <w:tcPr>
            <w:tcW w:w="3139" w:type="dxa"/>
            <w:vAlign w:val="top"/>
          </w:tcPr>
          <w:p w14:paraId="0790A45D"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1.366%</w:t>
            </w:r>
          </w:p>
        </w:tc>
      </w:tr>
      <w:tr w:rsidR="0081097F" w14:paraId="5B97AE48"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7B61B09D" w14:textId="77777777" w:rsidR="0081097F" w:rsidRPr="0081097F" w:rsidRDefault="0081097F" w:rsidP="0081097F">
            <w:pPr>
              <w:rPr>
                <w:rFonts w:ascii="Arial Narrow" w:hAnsi="Arial Narrow" w:cs="Arial"/>
                <w:szCs w:val="20"/>
              </w:rPr>
            </w:pPr>
            <w:r w:rsidRPr="0081097F">
              <w:rPr>
                <w:rFonts w:ascii="Arial Narrow" w:hAnsi="Arial Narrow"/>
                <w:szCs w:val="20"/>
              </w:rPr>
              <w:t>Ind - Stone-Glass-Clay</w:t>
            </w:r>
          </w:p>
        </w:tc>
        <w:tc>
          <w:tcPr>
            <w:tcW w:w="1530" w:type="dxa"/>
            <w:vAlign w:val="top"/>
          </w:tcPr>
          <w:p w14:paraId="6DC18120"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0.968%</w:t>
            </w:r>
          </w:p>
        </w:tc>
        <w:tc>
          <w:tcPr>
            <w:tcW w:w="3139" w:type="dxa"/>
            <w:vAlign w:val="top"/>
          </w:tcPr>
          <w:p w14:paraId="33839FD6"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0.994%</w:t>
            </w:r>
          </w:p>
        </w:tc>
      </w:tr>
      <w:tr w:rsidR="0081097F" w14:paraId="69046BDD"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6505DC51" w14:textId="77777777" w:rsidR="0081097F" w:rsidRPr="0081097F" w:rsidRDefault="0081097F" w:rsidP="0081097F">
            <w:pPr>
              <w:rPr>
                <w:rFonts w:ascii="Arial Narrow" w:hAnsi="Arial Narrow" w:cs="Arial"/>
                <w:szCs w:val="20"/>
              </w:rPr>
            </w:pPr>
            <w:r w:rsidRPr="0081097F">
              <w:rPr>
                <w:rFonts w:ascii="Arial Narrow" w:hAnsi="Arial Narrow"/>
                <w:szCs w:val="20"/>
              </w:rPr>
              <w:t>Ind - Chemicals</w:t>
            </w:r>
          </w:p>
        </w:tc>
        <w:tc>
          <w:tcPr>
            <w:tcW w:w="1530" w:type="dxa"/>
            <w:vAlign w:val="top"/>
          </w:tcPr>
          <w:p w14:paraId="2CE1F94D"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0.926%</w:t>
            </w:r>
          </w:p>
        </w:tc>
        <w:tc>
          <w:tcPr>
            <w:tcW w:w="3139" w:type="dxa"/>
            <w:vAlign w:val="top"/>
          </w:tcPr>
          <w:p w14:paraId="7425CBB2"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9.185%</w:t>
            </w:r>
          </w:p>
        </w:tc>
      </w:tr>
      <w:tr w:rsidR="0081097F" w14:paraId="62630124"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69AAF565" w14:textId="77777777" w:rsidR="0081097F" w:rsidRPr="0081097F" w:rsidRDefault="0081097F" w:rsidP="0081097F">
            <w:pPr>
              <w:rPr>
                <w:rFonts w:ascii="Arial Narrow" w:hAnsi="Arial Narrow" w:cs="Arial"/>
                <w:szCs w:val="20"/>
              </w:rPr>
            </w:pPr>
            <w:r w:rsidRPr="0081097F">
              <w:rPr>
                <w:rFonts w:ascii="Arial Narrow" w:hAnsi="Arial Narrow"/>
                <w:szCs w:val="20"/>
              </w:rPr>
              <w:t>Ind - Plastics</w:t>
            </w:r>
          </w:p>
        </w:tc>
        <w:tc>
          <w:tcPr>
            <w:tcW w:w="1530" w:type="dxa"/>
            <w:vAlign w:val="top"/>
          </w:tcPr>
          <w:p w14:paraId="5E95040C"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0.935%</w:t>
            </w:r>
          </w:p>
        </w:tc>
        <w:tc>
          <w:tcPr>
            <w:tcW w:w="3139" w:type="dxa"/>
            <w:vAlign w:val="top"/>
          </w:tcPr>
          <w:p w14:paraId="15C930D4"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3.580%</w:t>
            </w:r>
          </w:p>
        </w:tc>
      </w:tr>
      <w:tr w:rsidR="0081097F" w14:paraId="621397F6"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0B2FB0E7" w14:textId="77777777" w:rsidR="0081097F" w:rsidRPr="0081097F" w:rsidRDefault="0081097F" w:rsidP="0081097F">
            <w:pPr>
              <w:rPr>
                <w:rFonts w:ascii="Arial Narrow" w:hAnsi="Arial Narrow" w:cs="Arial"/>
                <w:szCs w:val="20"/>
              </w:rPr>
            </w:pPr>
            <w:r w:rsidRPr="0081097F">
              <w:rPr>
                <w:rFonts w:ascii="Arial Narrow" w:hAnsi="Arial Narrow"/>
                <w:szCs w:val="20"/>
              </w:rPr>
              <w:t>Ind - Fabricated Metals</w:t>
            </w:r>
          </w:p>
        </w:tc>
        <w:tc>
          <w:tcPr>
            <w:tcW w:w="1530" w:type="dxa"/>
            <w:vAlign w:val="top"/>
          </w:tcPr>
          <w:p w14:paraId="3FA233D5"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0.967%</w:t>
            </w:r>
          </w:p>
        </w:tc>
        <w:tc>
          <w:tcPr>
            <w:tcW w:w="3139" w:type="dxa"/>
            <w:vAlign w:val="top"/>
          </w:tcPr>
          <w:p w14:paraId="4CAB48C5"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9.472%</w:t>
            </w:r>
          </w:p>
        </w:tc>
      </w:tr>
      <w:tr w:rsidR="0081097F" w14:paraId="279A9F27"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24B9B5E0" w14:textId="77777777" w:rsidR="0081097F" w:rsidRPr="0081097F" w:rsidRDefault="0081097F" w:rsidP="0081097F">
            <w:pPr>
              <w:rPr>
                <w:rFonts w:ascii="Arial Narrow" w:hAnsi="Arial Narrow" w:cs="Arial"/>
                <w:szCs w:val="20"/>
              </w:rPr>
            </w:pPr>
            <w:r w:rsidRPr="0081097F">
              <w:rPr>
                <w:rFonts w:ascii="Arial Narrow" w:hAnsi="Arial Narrow"/>
                <w:szCs w:val="20"/>
              </w:rPr>
              <w:t>Ind - Primary Metals</w:t>
            </w:r>
          </w:p>
        </w:tc>
        <w:tc>
          <w:tcPr>
            <w:tcW w:w="1530" w:type="dxa"/>
            <w:vAlign w:val="top"/>
          </w:tcPr>
          <w:p w14:paraId="03830F5F"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0.261%</w:t>
            </w:r>
          </w:p>
        </w:tc>
        <w:tc>
          <w:tcPr>
            <w:tcW w:w="3139" w:type="dxa"/>
            <w:vAlign w:val="top"/>
          </w:tcPr>
          <w:p w14:paraId="55F15D71"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8.612%</w:t>
            </w:r>
          </w:p>
        </w:tc>
      </w:tr>
      <w:tr w:rsidR="0081097F" w14:paraId="49F2CDE4"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71D8729B" w14:textId="77777777" w:rsidR="0081097F" w:rsidRPr="0081097F" w:rsidRDefault="0081097F" w:rsidP="0081097F">
            <w:pPr>
              <w:rPr>
                <w:rFonts w:ascii="Arial Narrow" w:hAnsi="Arial Narrow" w:cs="Arial"/>
                <w:szCs w:val="20"/>
              </w:rPr>
            </w:pPr>
            <w:r w:rsidRPr="0081097F">
              <w:rPr>
                <w:rFonts w:ascii="Arial Narrow" w:hAnsi="Arial Narrow"/>
                <w:szCs w:val="20"/>
              </w:rPr>
              <w:t>Ind - Industrial Machinery</w:t>
            </w:r>
          </w:p>
        </w:tc>
        <w:tc>
          <w:tcPr>
            <w:tcW w:w="1530" w:type="dxa"/>
            <w:vAlign w:val="top"/>
          </w:tcPr>
          <w:p w14:paraId="17B1A38A"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1.933%</w:t>
            </w:r>
          </w:p>
        </w:tc>
        <w:tc>
          <w:tcPr>
            <w:tcW w:w="3139" w:type="dxa"/>
            <w:vAlign w:val="top"/>
          </w:tcPr>
          <w:p w14:paraId="14DBA919"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3.744%</w:t>
            </w:r>
          </w:p>
        </w:tc>
      </w:tr>
      <w:tr w:rsidR="0081097F" w14:paraId="7EA463D8"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02D18B4F" w14:textId="77777777" w:rsidR="0081097F" w:rsidRPr="0081097F" w:rsidRDefault="0081097F" w:rsidP="0081097F">
            <w:pPr>
              <w:rPr>
                <w:rFonts w:ascii="Arial Narrow" w:hAnsi="Arial Narrow" w:cs="Arial"/>
                <w:szCs w:val="20"/>
              </w:rPr>
            </w:pPr>
            <w:r w:rsidRPr="0081097F">
              <w:rPr>
                <w:rFonts w:ascii="Arial Narrow" w:hAnsi="Arial Narrow"/>
                <w:szCs w:val="20"/>
              </w:rPr>
              <w:t>Ind - Transportation Equipment</w:t>
            </w:r>
          </w:p>
        </w:tc>
        <w:tc>
          <w:tcPr>
            <w:tcW w:w="1530" w:type="dxa"/>
            <w:vAlign w:val="top"/>
          </w:tcPr>
          <w:p w14:paraId="3BDA0342"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0.784%</w:t>
            </w:r>
          </w:p>
        </w:tc>
        <w:tc>
          <w:tcPr>
            <w:tcW w:w="3139" w:type="dxa"/>
            <w:vAlign w:val="top"/>
          </w:tcPr>
          <w:p w14:paraId="35BBBF3D"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1.295%</w:t>
            </w:r>
          </w:p>
        </w:tc>
      </w:tr>
      <w:tr w:rsidR="0081097F" w14:paraId="436E77B8"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039749C3" w14:textId="77777777" w:rsidR="0081097F" w:rsidRPr="0081097F" w:rsidRDefault="0081097F" w:rsidP="0081097F">
            <w:pPr>
              <w:rPr>
                <w:rFonts w:ascii="Arial Narrow" w:hAnsi="Arial Narrow" w:cs="Arial"/>
                <w:szCs w:val="20"/>
              </w:rPr>
            </w:pPr>
            <w:r w:rsidRPr="0081097F">
              <w:rPr>
                <w:rFonts w:ascii="Arial Narrow" w:hAnsi="Arial Narrow"/>
                <w:szCs w:val="20"/>
              </w:rPr>
              <w:t>Ind - Paper</w:t>
            </w:r>
          </w:p>
        </w:tc>
        <w:tc>
          <w:tcPr>
            <w:tcW w:w="1530" w:type="dxa"/>
            <w:vAlign w:val="top"/>
          </w:tcPr>
          <w:p w14:paraId="5DF56DB8"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0.710%</w:t>
            </w:r>
          </w:p>
        </w:tc>
        <w:tc>
          <w:tcPr>
            <w:tcW w:w="3139" w:type="dxa"/>
            <w:vAlign w:val="top"/>
          </w:tcPr>
          <w:p w14:paraId="2B7F084F"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1.868%</w:t>
            </w:r>
          </w:p>
        </w:tc>
      </w:tr>
      <w:tr w:rsidR="0081097F" w14:paraId="1C10C19D"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7FF3B072" w14:textId="77777777" w:rsidR="0081097F" w:rsidRPr="0081097F" w:rsidRDefault="0081097F" w:rsidP="0081097F">
            <w:pPr>
              <w:rPr>
                <w:rFonts w:ascii="Arial Narrow" w:hAnsi="Arial Narrow" w:cs="Arial"/>
                <w:szCs w:val="20"/>
              </w:rPr>
            </w:pPr>
            <w:r w:rsidRPr="0081097F">
              <w:rPr>
                <w:rFonts w:ascii="Arial Narrow" w:hAnsi="Arial Narrow"/>
                <w:szCs w:val="20"/>
              </w:rPr>
              <w:t>Ind - Printing &amp; Publishing</w:t>
            </w:r>
          </w:p>
        </w:tc>
        <w:tc>
          <w:tcPr>
            <w:tcW w:w="1530" w:type="dxa"/>
            <w:vAlign w:val="top"/>
          </w:tcPr>
          <w:p w14:paraId="42C5071D"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0.990%</w:t>
            </w:r>
          </w:p>
        </w:tc>
        <w:tc>
          <w:tcPr>
            <w:tcW w:w="3139" w:type="dxa"/>
            <w:vAlign w:val="top"/>
          </w:tcPr>
          <w:p w14:paraId="1BAECD90"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1.022%</w:t>
            </w:r>
          </w:p>
        </w:tc>
      </w:tr>
      <w:tr w:rsidR="0081097F" w14:paraId="7EBC3AAB"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49E075A2" w14:textId="77777777" w:rsidR="0081097F" w:rsidRPr="0081097F" w:rsidRDefault="0081097F" w:rsidP="0081097F">
            <w:pPr>
              <w:rPr>
                <w:rFonts w:ascii="Arial Narrow" w:hAnsi="Arial Narrow" w:cs="Arial"/>
                <w:szCs w:val="20"/>
              </w:rPr>
            </w:pPr>
            <w:r w:rsidRPr="0081097F">
              <w:rPr>
                <w:rFonts w:ascii="Arial Narrow" w:hAnsi="Arial Narrow"/>
                <w:szCs w:val="20"/>
              </w:rPr>
              <w:t>Ind - Textiles</w:t>
            </w:r>
          </w:p>
        </w:tc>
        <w:tc>
          <w:tcPr>
            <w:tcW w:w="1530" w:type="dxa"/>
            <w:vAlign w:val="top"/>
          </w:tcPr>
          <w:p w14:paraId="430D9A46"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0.474%</w:t>
            </w:r>
          </w:p>
        </w:tc>
        <w:tc>
          <w:tcPr>
            <w:tcW w:w="3139" w:type="dxa"/>
            <w:vAlign w:val="top"/>
          </w:tcPr>
          <w:p w14:paraId="7BE441C6"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0.951%</w:t>
            </w:r>
          </w:p>
        </w:tc>
      </w:tr>
      <w:tr w:rsidR="0081097F" w14:paraId="34555DB0"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1623A823" w14:textId="77777777" w:rsidR="0081097F" w:rsidRPr="0081097F" w:rsidRDefault="0081097F" w:rsidP="0081097F">
            <w:pPr>
              <w:rPr>
                <w:rFonts w:ascii="Arial Narrow" w:hAnsi="Arial Narrow" w:cs="Arial"/>
                <w:szCs w:val="20"/>
              </w:rPr>
            </w:pPr>
            <w:r w:rsidRPr="0081097F">
              <w:rPr>
                <w:rFonts w:ascii="Arial Narrow" w:hAnsi="Arial Narrow"/>
                <w:szCs w:val="20"/>
              </w:rPr>
              <w:t>Ind - Lumber &amp; Furniture</w:t>
            </w:r>
          </w:p>
        </w:tc>
        <w:tc>
          <w:tcPr>
            <w:tcW w:w="1530" w:type="dxa"/>
            <w:vAlign w:val="top"/>
          </w:tcPr>
          <w:p w14:paraId="70F5FD7C"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0.852%</w:t>
            </w:r>
          </w:p>
        </w:tc>
        <w:tc>
          <w:tcPr>
            <w:tcW w:w="3139" w:type="dxa"/>
            <w:vAlign w:val="top"/>
          </w:tcPr>
          <w:p w14:paraId="280A75C9"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1.828%</w:t>
            </w:r>
          </w:p>
        </w:tc>
      </w:tr>
      <w:tr w:rsidR="0081097F" w14:paraId="4B67FC90"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49F7EF38" w14:textId="77777777" w:rsidR="0081097F" w:rsidRPr="0081097F" w:rsidRDefault="0081097F" w:rsidP="0081097F">
            <w:pPr>
              <w:rPr>
                <w:rFonts w:ascii="Arial Narrow" w:hAnsi="Arial Narrow" w:cs="Arial"/>
                <w:szCs w:val="20"/>
              </w:rPr>
            </w:pPr>
            <w:r w:rsidRPr="0081097F">
              <w:rPr>
                <w:rFonts w:ascii="Arial Narrow" w:hAnsi="Arial Narrow"/>
                <w:szCs w:val="20"/>
              </w:rPr>
              <w:t>Ind - All Other Industrial</w:t>
            </w:r>
          </w:p>
        </w:tc>
        <w:tc>
          <w:tcPr>
            <w:tcW w:w="1530" w:type="dxa"/>
            <w:vAlign w:val="top"/>
          </w:tcPr>
          <w:p w14:paraId="47A11FB8"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4.523%</w:t>
            </w:r>
          </w:p>
        </w:tc>
        <w:tc>
          <w:tcPr>
            <w:tcW w:w="3139" w:type="dxa"/>
            <w:vAlign w:val="top"/>
          </w:tcPr>
          <w:p w14:paraId="0B4AB0A9"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4.579%</w:t>
            </w:r>
          </w:p>
        </w:tc>
      </w:tr>
      <w:tr w:rsidR="0081097F" w14:paraId="2FAB63AC"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6F5110DA" w14:textId="77777777" w:rsidR="0081097F" w:rsidRPr="0081097F" w:rsidRDefault="0081097F" w:rsidP="0081097F">
            <w:pPr>
              <w:rPr>
                <w:rFonts w:ascii="Arial Narrow" w:hAnsi="Arial Narrow" w:cs="Arial"/>
                <w:szCs w:val="20"/>
              </w:rPr>
            </w:pPr>
            <w:r w:rsidRPr="0081097F">
              <w:rPr>
                <w:rFonts w:ascii="Arial Narrow" w:hAnsi="Arial Narrow"/>
                <w:szCs w:val="20"/>
              </w:rPr>
              <w:t>Ag - Irrigated Agriculture</w:t>
            </w:r>
          </w:p>
        </w:tc>
        <w:tc>
          <w:tcPr>
            <w:tcW w:w="1530" w:type="dxa"/>
            <w:vAlign w:val="top"/>
          </w:tcPr>
          <w:p w14:paraId="140074A8"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4.809%</w:t>
            </w:r>
          </w:p>
        </w:tc>
        <w:tc>
          <w:tcPr>
            <w:tcW w:w="3139" w:type="dxa"/>
            <w:vAlign w:val="top"/>
          </w:tcPr>
          <w:p w14:paraId="70881570"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0.000%</w:t>
            </w:r>
          </w:p>
        </w:tc>
      </w:tr>
      <w:tr w:rsidR="0081097F" w14:paraId="6B3AAA36"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5D1B8C3C" w14:textId="77777777" w:rsidR="0081097F" w:rsidRPr="0081097F" w:rsidRDefault="0081097F" w:rsidP="0081097F">
            <w:pPr>
              <w:rPr>
                <w:rFonts w:ascii="Arial Narrow" w:hAnsi="Arial Narrow" w:cs="Arial"/>
                <w:szCs w:val="20"/>
              </w:rPr>
            </w:pPr>
            <w:r w:rsidRPr="0081097F">
              <w:rPr>
                <w:rFonts w:ascii="Arial Narrow" w:hAnsi="Arial Narrow"/>
                <w:szCs w:val="20"/>
              </w:rPr>
              <w:t>Ag - Post-Harvest Processing</w:t>
            </w:r>
          </w:p>
        </w:tc>
        <w:tc>
          <w:tcPr>
            <w:tcW w:w="1530" w:type="dxa"/>
            <w:vAlign w:val="top"/>
          </w:tcPr>
          <w:p w14:paraId="04DFAFF8"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4.095%</w:t>
            </w:r>
          </w:p>
        </w:tc>
        <w:tc>
          <w:tcPr>
            <w:tcW w:w="3139" w:type="dxa"/>
            <w:vAlign w:val="top"/>
          </w:tcPr>
          <w:p w14:paraId="146E6C3A"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9.240%</w:t>
            </w:r>
          </w:p>
        </w:tc>
      </w:tr>
      <w:tr w:rsidR="0081097F" w14:paraId="7E9CA57B"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44A0BBD9" w14:textId="77777777" w:rsidR="0081097F" w:rsidRPr="0081097F" w:rsidRDefault="0081097F" w:rsidP="0081097F">
            <w:pPr>
              <w:rPr>
                <w:rFonts w:ascii="Arial Narrow" w:hAnsi="Arial Narrow" w:cs="Arial"/>
                <w:szCs w:val="20"/>
              </w:rPr>
            </w:pPr>
            <w:r w:rsidRPr="0081097F">
              <w:rPr>
                <w:rFonts w:ascii="Arial Narrow" w:hAnsi="Arial Narrow"/>
                <w:szCs w:val="20"/>
              </w:rPr>
              <w:t>Ag - Dairies</w:t>
            </w:r>
          </w:p>
        </w:tc>
        <w:tc>
          <w:tcPr>
            <w:tcW w:w="1530" w:type="dxa"/>
            <w:vAlign w:val="top"/>
          </w:tcPr>
          <w:p w14:paraId="655352C4"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1.648%</w:t>
            </w:r>
          </w:p>
        </w:tc>
        <w:tc>
          <w:tcPr>
            <w:tcW w:w="3139" w:type="dxa"/>
            <w:vAlign w:val="top"/>
          </w:tcPr>
          <w:p w14:paraId="489B085D"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9.240%</w:t>
            </w:r>
          </w:p>
        </w:tc>
      </w:tr>
      <w:tr w:rsidR="0081097F" w14:paraId="5BF0688B"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5A856DBF" w14:textId="77777777" w:rsidR="0081097F" w:rsidRPr="0081097F" w:rsidRDefault="0081097F" w:rsidP="0081097F">
            <w:pPr>
              <w:rPr>
                <w:rFonts w:ascii="Arial Narrow" w:hAnsi="Arial Narrow" w:cs="Arial"/>
                <w:szCs w:val="20"/>
              </w:rPr>
            </w:pPr>
            <w:r w:rsidRPr="0081097F">
              <w:rPr>
                <w:rFonts w:ascii="Arial Narrow" w:hAnsi="Arial Narrow"/>
                <w:szCs w:val="20"/>
              </w:rPr>
              <w:t>Ag - Refrigerated Warehouses</w:t>
            </w:r>
          </w:p>
        </w:tc>
        <w:tc>
          <w:tcPr>
            <w:tcW w:w="1530" w:type="dxa"/>
            <w:vAlign w:val="top"/>
          </w:tcPr>
          <w:p w14:paraId="4BD02136"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4.095%</w:t>
            </w:r>
          </w:p>
        </w:tc>
        <w:tc>
          <w:tcPr>
            <w:tcW w:w="3139" w:type="dxa"/>
            <w:vAlign w:val="top"/>
          </w:tcPr>
          <w:p w14:paraId="0A96F2E1"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0.000%</w:t>
            </w:r>
          </w:p>
        </w:tc>
      </w:tr>
      <w:tr w:rsidR="0081097F" w14:paraId="7A4C0ECC"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30E78F4A" w14:textId="77777777" w:rsidR="0081097F" w:rsidRPr="0081097F" w:rsidRDefault="0081097F" w:rsidP="0081097F">
            <w:pPr>
              <w:rPr>
                <w:rFonts w:ascii="Arial Narrow" w:hAnsi="Arial Narrow" w:cs="Arial"/>
                <w:szCs w:val="20"/>
              </w:rPr>
            </w:pPr>
            <w:r w:rsidRPr="0081097F">
              <w:rPr>
                <w:rFonts w:ascii="Arial Narrow" w:hAnsi="Arial Narrow"/>
                <w:szCs w:val="20"/>
              </w:rPr>
              <w:t>Ag - Wineries and Vineyards</w:t>
            </w:r>
          </w:p>
        </w:tc>
        <w:tc>
          <w:tcPr>
            <w:tcW w:w="1530" w:type="dxa"/>
            <w:vAlign w:val="top"/>
          </w:tcPr>
          <w:p w14:paraId="3E70C7D9"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1.675%</w:t>
            </w:r>
          </w:p>
        </w:tc>
        <w:tc>
          <w:tcPr>
            <w:tcW w:w="3139" w:type="dxa"/>
            <w:vAlign w:val="top"/>
          </w:tcPr>
          <w:p w14:paraId="07AFB1FE"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9.240%</w:t>
            </w:r>
          </w:p>
        </w:tc>
      </w:tr>
      <w:tr w:rsidR="0081097F" w14:paraId="5ED55BDA" w14:textId="77777777" w:rsidTr="005F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52E0AAC9" w14:textId="77777777" w:rsidR="0081097F" w:rsidRPr="0081097F" w:rsidRDefault="0081097F" w:rsidP="0081097F">
            <w:pPr>
              <w:rPr>
                <w:rFonts w:ascii="Arial Narrow" w:hAnsi="Arial Narrow" w:cs="Arial"/>
                <w:szCs w:val="20"/>
              </w:rPr>
            </w:pPr>
            <w:r w:rsidRPr="0081097F">
              <w:rPr>
                <w:rFonts w:ascii="Arial Narrow" w:hAnsi="Arial Narrow"/>
                <w:szCs w:val="20"/>
              </w:rPr>
              <w:t>Ag - Concentrated Animal Feeding Operation</w:t>
            </w:r>
          </w:p>
        </w:tc>
        <w:tc>
          <w:tcPr>
            <w:tcW w:w="1530" w:type="dxa"/>
            <w:vAlign w:val="top"/>
          </w:tcPr>
          <w:p w14:paraId="1004B278"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0.957%</w:t>
            </w:r>
          </w:p>
        </w:tc>
        <w:tc>
          <w:tcPr>
            <w:tcW w:w="3139" w:type="dxa"/>
            <w:vAlign w:val="top"/>
          </w:tcPr>
          <w:p w14:paraId="1F3F6A15"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0.440%</w:t>
            </w:r>
          </w:p>
        </w:tc>
      </w:tr>
      <w:tr w:rsidR="0081097F" w14:paraId="1F53F66F" w14:textId="77777777" w:rsidTr="005F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top"/>
          </w:tcPr>
          <w:p w14:paraId="3A31AB30" w14:textId="77777777" w:rsidR="0081097F" w:rsidRPr="0081097F" w:rsidRDefault="0081097F" w:rsidP="0081097F">
            <w:pPr>
              <w:rPr>
                <w:rFonts w:ascii="Arial Narrow" w:hAnsi="Arial Narrow" w:cs="Arial"/>
                <w:szCs w:val="20"/>
              </w:rPr>
            </w:pPr>
            <w:r w:rsidRPr="0081097F">
              <w:rPr>
                <w:rFonts w:ascii="Arial Narrow" w:hAnsi="Arial Narrow"/>
                <w:szCs w:val="20"/>
              </w:rPr>
              <w:t>Ag - Greenhouses</w:t>
            </w:r>
          </w:p>
        </w:tc>
        <w:tc>
          <w:tcPr>
            <w:tcW w:w="1530" w:type="dxa"/>
            <w:vAlign w:val="top"/>
          </w:tcPr>
          <w:p w14:paraId="1E8126FB"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4.095%</w:t>
            </w:r>
          </w:p>
        </w:tc>
        <w:tc>
          <w:tcPr>
            <w:tcW w:w="3139" w:type="dxa"/>
            <w:vAlign w:val="top"/>
          </w:tcPr>
          <w:p w14:paraId="5BC13D27"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0.733%</w:t>
            </w:r>
          </w:p>
        </w:tc>
      </w:tr>
    </w:tbl>
    <w:p w14:paraId="7321BE10" w14:textId="77777777" w:rsidR="00064586" w:rsidRPr="001A5D37" w:rsidRDefault="00064586" w:rsidP="00064586">
      <w:pPr>
        <w:keepLines/>
        <w:jc w:val="center"/>
        <w:rPr>
          <w:rFonts w:cs="Arial"/>
          <w:i/>
          <w:sz w:val="16"/>
          <w:szCs w:val="16"/>
        </w:rPr>
      </w:pPr>
      <w:r w:rsidRPr="001A5D37">
        <w:rPr>
          <w:rFonts w:cs="Arial"/>
          <w:i/>
          <w:sz w:val="16"/>
          <w:szCs w:val="16"/>
        </w:rPr>
        <w:t>Source: Navigant analysis</w:t>
      </w:r>
    </w:p>
    <w:p w14:paraId="70855F6D" w14:textId="77777777" w:rsidR="00064586" w:rsidRDefault="00064586" w:rsidP="00742FC0"/>
    <w:p w14:paraId="47AABCED" w14:textId="77777777" w:rsidR="0081097F" w:rsidRDefault="0081097F" w:rsidP="00742FC0"/>
    <w:p w14:paraId="7C1EB253" w14:textId="77777777" w:rsidR="0081097F" w:rsidRDefault="0081097F" w:rsidP="0081097F">
      <w:r>
        <w:t xml:space="preserve">The ET UES multipliers were held constant throughout the 2018 study forecast horizon. The team developed a reference and aggressive case forecast based on a compound annual growth rate (CAGR) by which the portfolio of ETs is expected to be adopted by the market (i.e., penetration). The reference case assumes a CAGR of 2.95%, achieving 21% market penetration within the forecast horizon ending in 2030. The aggressive case assumes a CAGR of 3.36% to achieve market penetration of 32% by 2030.   </w:t>
      </w:r>
    </w:p>
    <w:p w14:paraId="40AC1F60" w14:textId="77777777" w:rsidR="0081097F" w:rsidRDefault="0081097F" w:rsidP="0081097F"/>
    <w:p w14:paraId="263C7E38" w14:textId="77777777" w:rsidR="0081097F" w:rsidRPr="0081097F" w:rsidRDefault="0081097F" w:rsidP="0081097F">
      <w:pPr>
        <w:rPr>
          <w:b/>
          <w:u w:val="single"/>
        </w:rPr>
      </w:pPr>
      <w:r>
        <w:rPr>
          <w:b/>
          <w:u w:val="single"/>
        </w:rPr>
        <w:t>Other Input Assumptions</w:t>
      </w:r>
    </w:p>
    <w:p w14:paraId="79C2E3BC" w14:textId="77777777" w:rsidR="0081097F" w:rsidRDefault="0081097F" w:rsidP="0081097F">
      <w:r>
        <w:t>The model uses a universal EUL of 15 years to accommodate the broad range of emerging technology adoption curves.</w:t>
      </w:r>
    </w:p>
    <w:p w14:paraId="44A7A8BF" w14:textId="77777777" w:rsidR="0081097F" w:rsidRDefault="0081097F" w:rsidP="0081097F"/>
    <w:p w14:paraId="6F016E31" w14:textId="77777777" w:rsidR="0081097F" w:rsidRDefault="0081097F" w:rsidP="0081097F">
      <w:r>
        <w:t>A ratio of kW to kWh of 0.000195 was applied.</w:t>
      </w:r>
    </w:p>
    <w:p w14:paraId="24ED4098" w14:textId="77777777" w:rsidR="0081097F" w:rsidRDefault="0081097F" w:rsidP="0081097F">
      <w:r>
        <w:lastRenderedPageBreak/>
        <w:t xml:space="preserve"> </w:t>
      </w:r>
    </w:p>
    <w:p w14:paraId="3CD3C52F" w14:textId="77777777" w:rsidR="0081097F" w:rsidRDefault="0081097F" w:rsidP="0081097F">
      <w:r>
        <w:t xml:space="preserve">Finally, costs for electricity and natural gas savings are estimated at $0.42/kWh and $2.83/therm, and are applied consistently for all utilities and across all Industrial and Agricultural sectors. Costs are based on an analysis of industrial and agricultural programs operating throughout 2016, and reflect costs that are higher than average for the portfolio based on the expectation that ETs will be more expensive than more established technologies, and so will require higher incentives and EM&amp;V costs to verify performance. </w:t>
      </w:r>
    </w:p>
    <w:p w14:paraId="23407E3B" w14:textId="77777777" w:rsidR="00181744" w:rsidRDefault="00181744" w:rsidP="0081097F">
      <w:pPr>
        <w:sectPr w:rsidR="00181744" w:rsidSect="00146A54">
          <w:pgSz w:w="12240" w:h="15840" w:code="1"/>
          <w:pgMar w:top="1440" w:right="1440" w:bottom="1440" w:left="1440" w:header="720" w:footer="720" w:gutter="0"/>
          <w:pgNumType w:start="1" w:chapStyle="5"/>
          <w:cols w:space="720"/>
          <w:docGrid w:linePitch="360"/>
        </w:sectPr>
      </w:pPr>
    </w:p>
    <w:p w14:paraId="7C377552" w14:textId="77777777" w:rsidR="00E86334" w:rsidRDefault="00E86334" w:rsidP="00E86334">
      <w:pPr>
        <w:pStyle w:val="Heading5"/>
      </w:pPr>
      <w:bookmarkStart w:id="1067" w:name="_Ref483566421"/>
      <w:bookmarkStart w:id="1068" w:name="_Toc484092530"/>
      <w:bookmarkStart w:id="1069" w:name="_Toc484172735"/>
      <w:bookmarkStart w:id="1070" w:name="_Toc484183082"/>
      <w:bookmarkStart w:id="1071" w:name="_Toc485126603"/>
      <w:r>
        <w:lastRenderedPageBreak/>
        <w:t>Low Income Programs</w:t>
      </w:r>
      <w:bookmarkEnd w:id="1067"/>
      <w:bookmarkEnd w:id="1068"/>
      <w:bookmarkEnd w:id="1069"/>
      <w:bookmarkEnd w:id="1070"/>
      <w:bookmarkEnd w:id="1071"/>
    </w:p>
    <w:p w14:paraId="769CCD76" w14:textId="77777777" w:rsidR="00E86334" w:rsidRDefault="00E86334" w:rsidP="00E86334">
      <w:pPr>
        <w:pStyle w:val="Heading6"/>
      </w:pPr>
      <w:bookmarkStart w:id="1072" w:name="_Toc484092531"/>
      <w:bookmarkStart w:id="1073" w:name="_Toc484172736"/>
      <w:bookmarkStart w:id="1074" w:name="_Toc484183083"/>
      <w:bookmarkStart w:id="1075" w:name="_Toc485126604"/>
      <w:r>
        <w:t>PG&amp;E</w:t>
      </w:r>
      <w:bookmarkEnd w:id="1072"/>
      <w:bookmarkEnd w:id="1073"/>
      <w:bookmarkEnd w:id="1074"/>
      <w:bookmarkEnd w:id="1075"/>
      <w:r>
        <w:t xml:space="preserve"> </w:t>
      </w:r>
    </w:p>
    <w:p w14:paraId="78831FAD" w14:textId="77777777" w:rsidR="00E86334" w:rsidRDefault="00BB59F5" w:rsidP="00E86334">
      <w:pPr>
        <w:pStyle w:val="Caption"/>
      </w:pPr>
      <w:bookmarkStart w:id="1076" w:name="_Toc484436983"/>
      <w:bookmarkStart w:id="1077" w:name="_Toc485125622"/>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1</w:t>
      </w:r>
      <w:r w:rsidR="00272F76">
        <w:rPr>
          <w:noProof/>
        </w:rPr>
        <w:fldChar w:fldCharType="end"/>
      </w:r>
      <w:r w:rsidRPr="006F2DA9">
        <w:t>.</w:t>
      </w:r>
      <w:r w:rsidR="00E86334">
        <w:t xml:space="preserve"> PG&amp;E Households Treated</w:t>
      </w:r>
      <w:bookmarkEnd w:id="1076"/>
      <w:bookmarkEnd w:id="1077"/>
    </w:p>
    <w:tbl>
      <w:tblPr>
        <w:tblStyle w:val="EnergyTable1"/>
        <w:tblW w:w="6198" w:type="dxa"/>
        <w:tblLook w:val="04A0" w:firstRow="1" w:lastRow="0" w:firstColumn="1" w:lastColumn="0" w:noHBand="0" w:noVBand="1"/>
      </w:tblPr>
      <w:tblGrid>
        <w:gridCol w:w="1350"/>
        <w:gridCol w:w="1616"/>
        <w:gridCol w:w="1616"/>
        <w:gridCol w:w="1616"/>
      </w:tblGrid>
      <w:tr w:rsidR="00E86334" w:rsidRPr="00B37F3E" w14:paraId="6BA127B7" w14:textId="77777777" w:rsidTr="000D7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9631AC5" w14:textId="77777777" w:rsidR="00E86334" w:rsidRPr="00B37F3E" w:rsidRDefault="00E86334" w:rsidP="00E86334">
            <w:pPr>
              <w:spacing w:line="240" w:lineRule="auto"/>
              <w:rPr>
                <w:rFonts w:ascii="Arial Narrow" w:hAnsi="Arial Narrow"/>
                <w:bCs/>
                <w:szCs w:val="20"/>
              </w:rPr>
            </w:pPr>
          </w:p>
        </w:tc>
        <w:tc>
          <w:tcPr>
            <w:tcW w:w="1616" w:type="dxa"/>
            <w:noWrap/>
            <w:hideMark/>
          </w:tcPr>
          <w:p w14:paraId="4A06D933" w14:textId="77777777" w:rsidR="00E86334" w:rsidRPr="00B37F3E" w:rsidRDefault="00E86334" w:rsidP="00E86334">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Single Family </w:t>
            </w:r>
          </w:p>
        </w:tc>
        <w:tc>
          <w:tcPr>
            <w:tcW w:w="1616" w:type="dxa"/>
            <w:noWrap/>
            <w:hideMark/>
          </w:tcPr>
          <w:p w14:paraId="03C74702" w14:textId="77777777" w:rsidR="00E86334" w:rsidRPr="00B37F3E" w:rsidRDefault="00E86334" w:rsidP="00E86334">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Multifamily</w:t>
            </w:r>
          </w:p>
        </w:tc>
        <w:tc>
          <w:tcPr>
            <w:tcW w:w="1616" w:type="dxa"/>
            <w:noWrap/>
            <w:hideMark/>
          </w:tcPr>
          <w:p w14:paraId="0EFBC42A" w14:textId="77777777" w:rsidR="00E86334" w:rsidRPr="00B37F3E" w:rsidRDefault="00E86334" w:rsidP="00E86334">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Mobile Home</w:t>
            </w:r>
          </w:p>
        </w:tc>
      </w:tr>
      <w:tr w:rsidR="00E86334" w:rsidRPr="00B37F3E" w14:paraId="0DAF60A2" w14:textId="77777777" w:rsidTr="000D7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207D9AFB" w14:textId="77777777" w:rsidR="00E86334" w:rsidRPr="00B37F3E" w:rsidRDefault="00E86334" w:rsidP="00E86334">
            <w:pPr>
              <w:spacing w:line="240" w:lineRule="auto"/>
              <w:rPr>
                <w:rFonts w:ascii="Arial Narrow" w:hAnsi="Arial Narrow"/>
                <w:b/>
                <w:szCs w:val="20"/>
              </w:rPr>
            </w:pPr>
            <w:r w:rsidRPr="00B37F3E">
              <w:rPr>
                <w:rFonts w:ascii="Arial Narrow" w:hAnsi="Arial Narrow"/>
                <w:b/>
                <w:szCs w:val="20"/>
              </w:rPr>
              <w:t>First Time Treatment</w:t>
            </w:r>
          </w:p>
        </w:tc>
      </w:tr>
      <w:tr w:rsidR="00E86334" w:rsidRPr="00B37F3E" w14:paraId="1537520A" w14:textId="77777777" w:rsidTr="000D70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C1AEB57"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2017</w:t>
            </w:r>
          </w:p>
        </w:tc>
        <w:tc>
          <w:tcPr>
            <w:tcW w:w="1616" w:type="dxa"/>
            <w:noWrap/>
            <w:hideMark/>
          </w:tcPr>
          <w:p w14:paraId="4FC31CD4"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46,636</w:t>
            </w:r>
          </w:p>
        </w:tc>
        <w:tc>
          <w:tcPr>
            <w:tcW w:w="1616" w:type="dxa"/>
            <w:noWrap/>
            <w:hideMark/>
          </w:tcPr>
          <w:p w14:paraId="0B35E203"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12,604</w:t>
            </w:r>
          </w:p>
        </w:tc>
        <w:tc>
          <w:tcPr>
            <w:tcW w:w="1616" w:type="dxa"/>
            <w:noWrap/>
            <w:hideMark/>
          </w:tcPr>
          <w:p w14:paraId="2D2C3D45"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3,781</w:t>
            </w:r>
          </w:p>
        </w:tc>
      </w:tr>
      <w:tr w:rsidR="00E86334" w:rsidRPr="00B37F3E" w14:paraId="795F1F9B" w14:textId="77777777" w:rsidTr="000D7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6531889"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2018</w:t>
            </w:r>
          </w:p>
        </w:tc>
        <w:tc>
          <w:tcPr>
            <w:tcW w:w="1616" w:type="dxa"/>
            <w:noWrap/>
            <w:hideMark/>
          </w:tcPr>
          <w:p w14:paraId="3CE0FD83"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34,977</w:t>
            </w:r>
          </w:p>
        </w:tc>
        <w:tc>
          <w:tcPr>
            <w:tcW w:w="1616" w:type="dxa"/>
            <w:noWrap/>
            <w:hideMark/>
          </w:tcPr>
          <w:p w14:paraId="1E6A57D8"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9,453</w:t>
            </w:r>
          </w:p>
        </w:tc>
        <w:tc>
          <w:tcPr>
            <w:tcW w:w="1616" w:type="dxa"/>
            <w:noWrap/>
            <w:hideMark/>
          </w:tcPr>
          <w:p w14:paraId="70B8B75B"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2,836</w:t>
            </w:r>
          </w:p>
        </w:tc>
      </w:tr>
      <w:tr w:rsidR="00E86334" w:rsidRPr="00B37F3E" w14:paraId="4A4C08EB" w14:textId="77777777" w:rsidTr="000D70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14C7FC2"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2019</w:t>
            </w:r>
          </w:p>
        </w:tc>
        <w:tc>
          <w:tcPr>
            <w:tcW w:w="1616" w:type="dxa"/>
            <w:noWrap/>
            <w:hideMark/>
          </w:tcPr>
          <w:p w14:paraId="7ECE1874"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33,053</w:t>
            </w:r>
          </w:p>
        </w:tc>
        <w:tc>
          <w:tcPr>
            <w:tcW w:w="1616" w:type="dxa"/>
            <w:noWrap/>
            <w:hideMark/>
          </w:tcPr>
          <w:p w14:paraId="438D1852"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8,933</w:t>
            </w:r>
          </w:p>
        </w:tc>
        <w:tc>
          <w:tcPr>
            <w:tcW w:w="1616" w:type="dxa"/>
            <w:noWrap/>
            <w:hideMark/>
          </w:tcPr>
          <w:p w14:paraId="16EAD723"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2,680</w:t>
            </w:r>
          </w:p>
        </w:tc>
      </w:tr>
      <w:tr w:rsidR="00E86334" w:rsidRPr="00B37F3E" w14:paraId="48FD41B3" w14:textId="77777777" w:rsidTr="000D7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1FF09D8"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2020</w:t>
            </w:r>
          </w:p>
        </w:tc>
        <w:tc>
          <w:tcPr>
            <w:tcW w:w="1616" w:type="dxa"/>
            <w:noWrap/>
            <w:hideMark/>
          </w:tcPr>
          <w:p w14:paraId="10298195"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17,471</w:t>
            </w:r>
          </w:p>
        </w:tc>
        <w:tc>
          <w:tcPr>
            <w:tcW w:w="1616" w:type="dxa"/>
            <w:noWrap/>
            <w:hideMark/>
          </w:tcPr>
          <w:p w14:paraId="235CEA00"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4,722</w:t>
            </w:r>
          </w:p>
        </w:tc>
        <w:tc>
          <w:tcPr>
            <w:tcW w:w="1616" w:type="dxa"/>
            <w:noWrap/>
            <w:hideMark/>
          </w:tcPr>
          <w:p w14:paraId="3E89D6AB"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1,417</w:t>
            </w:r>
          </w:p>
        </w:tc>
      </w:tr>
      <w:tr w:rsidR="00E86334" w:rsidRPr="00B37F3E" w14:paraId="2541E0CF" w14:textId="77777777" w:rsidTr="000D70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36CE593A" w14:textId="77777777" w:rsidR="00E86334" w:rsidRPr="00B37F3E" w:rsidRDefault="00E86334" w:rsidP="00E86334">
            <w:pPr>
              <w:spacing w:line="240" w:lineRule="auto"/>
              <w:rPr>
                <w:rFonts w:ascii="Arial Narrow" w:hAnsi="Arial Narrow"/>
                <w:b/>
                <w:szCs w:val="20"/>
              </w:rPr>
            </w:pPr>
            <w:r w:rsidRPr="00B37F3E">
              <w:rPr>
                <w:rFonts w:ascii="Arial Narrow" w:hAnsi="Arial Narrow"/>
                <w:b/>
                <w:szCs w:val="20"/>
              </w:rPr>
              <w:t>Retreatment</w:t>
            </w:r>
          </w:p>
        </w:tc>
      </w:tr>
      <w:tr w:rsidR="00E86334" w:rsidRPr="00B37F3E" w14:paraId="6836F644" w14:textId="77777777" w:rsidTr="000D7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6B5A3DC3"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2017</w:t>
            </w:r>
          </w:p>
        </w:tc>
        <w:tc>
          <w:tcPr>
            <w:tcW w:w="1616" w:type="dxa"/>
            <w:noWrap/>
          </w:tcPr>
          <w:p w14:paraId="00005682"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19,987</w:t>
            </w:r>
          </w:p>
        </w:tc>
        <w:tc>
          <w:tcPr>
            <w:tcW w:w="1616" w:type="dxa"/>
            <w:noWrap/>
          </w:tcPr>
          <w:p w14:paraId="280365A9"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5,402</w:t>
            </w:r>
          </w:p>
        </w:tc>
        <w:tc>
          <w:tcPr>
            <w:tcW w:w="1616" w:type="dxa"/>
            <w:noWrap/>
          </w:tcPr>
          <w:p w14:paraId="255FD339"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1,621</w:t>
            </w:r>
          </w:p>
        </w:tc>
      </w:tr>
      <w:tr w:rsidR="00E86334" w:rsidRPr="00B37F3E" w14:paraId="58823C2F" w14:textId="77777777" w:rsidTr="000D70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1F927043"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2018</w:t>
            </w:r>
          </w:p>
        </w:tc>
        <w:tc>
          <w:tcPr>
            <w:tcW w:w="1616" w:type="dxa"/>
            <w:noWrap/>
          </w:tcPr>
          <w:p w14:paraId="4FE980D9"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34,977</w:t>
            </w:r>
          </w:p>
        </w:tc>
        <w:tc>
          <w:tcPr>
            <w:tcW w:w="1616" w:type="dxa"/>
            <w:noWrap/>
          </w:tcPr>
          <w:p w14:paraId="4C00DBC0"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9,453</w:t>
            </w:r>
          </w:p>
        </w:tc>
        <w:tc>
          <w:tcPr>
            <w:tcW w:w="1616" w:type="dxa"/>
            <w:noWrap/>
          </w:tcPr>
          <w:p w14:paraId="57FB2333"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2,836</w:t>
            </w:r>
          </w:p>
        </w:tc>
      </w:tr>
      <w:tr w:rsidR="00E86334" w:rsidRPr="00B37F3E" w14:paraId="4D562D84" w14:textId="77777777" w:rsidTr="000D7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174BBD0E"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2019</w:t>
            </w:r>
          </w:p>
        </w:tc>
        <w:tc>
          <w:tcPr>
            <w:tcW w:w="1616" w:type="dxa"/>
            <w:noWrap/>
          </w:tcPr>
          <w:p w14:paraId="4FA07DBA"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40,398</w:t>
            </w:r>
          </w:p>
        </w:tc>
        <w:tc>
          <w:tcPr>
            <w:tcW w:w="1616" w:type="dxa"/>
            <w:noWrap/>
          </w:tcPr>
          <w:p w14:paraId="5B0438E3"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10,918</w:t>
            </w:r>
          </w:p>
        </w:tc>
        <w:tc>
          <w:tcPr>
            <w:tcW w:w="1616" w:type="dxa"/>
            <w:noWrap/>
          </w:tcPr>
          <w:p w14:paraId="4C074105"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3,276</w:t>
            </w:r>
          </w:p>
        </w:tc>
      </w:tr>
      <w:tr w:rsidR="00E86334" w:rsidRPr="00B37F3E" w14:paraId="020A75D8" w14:textId="77777777" w:rsidTr="000D70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7E1CEC7A"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2020</w:t>
            </w:r>
            <w:r w:rsidR="000D7073" w:rsidRPr="00B37F3E">
              <w:rPr>
                <w:rFonts w:ascii="Arial Narrow" w:hAnsi="Arial Narrow"/>
                <w:b/>
                <w:bCs/>
                <w:szCs w:val="20"/>
              </w:rPr>
              <w:t xml:space="preserve"> -2030*</w:t>
            </w:r>
          </w:p>
        </w:tc>
        <w:tc>
          <w:tcPr>
            <w:tcW w:w="1616" w:type="dxa"/>
            <w:noWrap/>
          </w:tcPr>
          <w:p w14:paraId="36A9081F"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59,653</w:t>
            </w:r>
          </w:p>
        </w:tc>
        <w:tc>
          <w:tcPr>
            <w:tcW w:w="1616" w:type="dxa"/>
            <w:noWrap/>
          </w:tcPr>
          <w:p w14:paraId="0DA95439"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16,122</w:t>
            </w:r>
          </w:p>
        </w:tc>
        <w:tc>
          <w:tcPr>
            <w:tcW w:w="1616" w:type="dxa"/>
            <w:noWrap/>
          </w:tcPr>
          <w:p w14:paraId="3410C2B5"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4,837</w:t>
            </w:r>
          </w:p>
        </w:tc>
      </w:tr>
    </w:tbl>
    <w:p w14:paraId="66579C02" w14:textId="77777777" w:rsidR="000D7073" w:rsidRDefault="000D7073" w:rsidP="000D7073">
      <w:pPr>
        <w:spacing w:line="240" w:lineRule="auto"/>
        <w:jc w:val="center"/>
      </w:pPr>
      <w:r>
        <w:t>*Annual treatment</w:t>
      </w:r>
    </w:p>
    <w:p w14:paraId="4A08EFF1" w14:textId="77777777" w:rsidR="00E86334" w:rsidRDefault="00E86334" w:rsidP="00E86334"/>
    <w:p w14:paraId="53E9BAA7" w14:textId="77777777" w:rsidR="000D7073" w:rsidRPr="00E86334" w:rsidRDefault="000D7073" w:rsidP="00E86334"/>
    <w:p w14:paraId="48AA8B28" w14:textId="77777777" w:rsidR="00E86334" w:rsidRDefault="00BB59F5" w:rsidP="00E86334">
      <w:pPr>
        <w:pStyle w:val="Caption"/>
      </w:pPr>
      <w:bookmarkStart w:id="1078" w:name="_Toc484436984"/>
      <w:bookmarkStart w:id="1079" w:name="_Toc485125623"/>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2</w:t>
      </w:r>
      <w:r w:rsidR="00272F76">
        <w:rPr>
          <w:noProof/>
        </w:rPr>
        <w:fldChar w:fldCharType="end"/>
      </w:r>
      <w:r w:rsidRPr="006F2DA9">
        <w:t xml:space="preserve">. </w:t>
      </w:r>
      <w:r w:rsidR="00E86334">
        <w:t>PG&amp;E UES</w:t>
      </w:r>
      <w:bookmarkEnd w:id="1078"/>
      <w:bookmarkEnd w:id="1079"/>
    </w:p>
    <w:tbl>
      <w:tblPr>
        <w:tblStyle w:val="EnergyTable1"/>
        <w:tblW w:w="9150" w:type="dxa"/>
        <w:tblLayout w:type="fixed"/>
        <w:tblLook w:val="04A0" w:firstRow="1" w:lastRow="0" w:firstColumn="1" w:lastColumn="0" w:noHBand="0" w:noVBand="1"/>
      </w:tblPr>
      <w:tblGrid>
        <w:gridCol w:w="1440"/>
        <w:gridCol w:w="1047"/>
        <w:gridCol w:w="720"/>
        <w:gridCol w:w="925"/>
        <w:gridCol w:w="10"/>
        <w:gridCol w:w="908"/>
        <w:gridCol w:w="677"/>
        <w:gridCol w:w="918"/>
        <w:gridCol w:w="17"/>
        <w:gridCol w:w="901"/>
        <w:gridCol w:w="684"/>
        <w:gridCol w:w="903"/>
      </w:tblGrid>
      <w:tr w:rsidR="000D7073" w:rsidRPr="00B37F3E" w14:paraId="310A4B72" w14:textId="77777777" w:rsidTr="000D7073">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A96C59" w14:textId="77777777" w:rsidR="000D7073" w:rsidRPr="000D7073" w:rsidRDefault="000D7073" w:rsidP="000D7073">
            <w:pPr>
              <w:spacing w:line="240" w:lineRule="auto"/>
              <w:rPr>
                <w:rFonts w:ascii="Arial Narrow" w:hAnsi="Arial Narrow"/>
                <w:szCs w:val="20"/>
              </w:rPr>
            </w:pPr>
          </w:p>
        </w:tc>
        <w:tc>
          <w:tcPr>
            <w:tcW w:w="2702" w:type="dxa"/>
            <w:gridSpan w:val="4"/>
            <w:noWrap/>
            <w:hideMark/>
          </w:tcPr>
          <w:p w14:paraId="6BAE84F8" w14:textId="77777777" w:rsidR="000D7073" w:rsidRPr="000D7073" w:rsidRDefault="000D7073" w:rsidP="000D707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Single Family </w:t>
            </w:r>
          </w:p>
        </w:tc>
        <w:tc>
          <w:tcPr>
            <w:tcW w:w="2520" w:type="dxa"/>
            <w:gridSpan w:val="4"/>
            <w:noWrap/>
            <w:hideMark/>
          </w:tcPr>
          <w:p w14:paraId="21301ADA" w14:textId="77777777" w:rsidR="000D7073" w:rsidRPr="000D7073" w:rsidRDefault="000D7073" w:rsidP="000D707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2488" w:type="dxa"/>
            <w:gridSpan w:val="3"/>
            <w:noWrap/>
            <w:hideMark/>
          </w:tcPr>
          <w:p w14:paraId="4D82E14E" w14:textId="77777777" w:rsidR="000D7073" w:rsidRPr="000D7073" w:rsidRDefault="000D7073" w:rsidP="000D707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Mobile Home</w:t>
            </w:r>
          </w:p>
        </w:tc>
      </w:tr>
      <w:tr w:rsidR="000D7073" w:rsidRPr="00B37F3E" w14:paraId="1872F9DB" w14:textId="77777777" w:rsidTr="000D707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FD33A5"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 </w:t>
            </w:r>
          </w:p>
        </w:tc>
        <w:tc>
          <w:tcPr>
            <w:tcW w:w="1047" w:type="dxa"/>
            <w:noWrap/>
            <w:hideMark/>
          </w:tcPr>
          <w:p w14:paraId="76B33BF8"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720" w:type="dxa"/>
            <w:noWrap/>
            <w:hideMark/>
          </w:tcPr>
          <w:p w14:paraId="5510A33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25" w:type="dxa"/>
            <w:noWrap/>
            <w:hideMark/>
          </w:tcPr>
          <w:p w14:paraId="7A513948"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190F7EFD"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77" w:type="dxa"/>
            <w:noWrap/>
            <w:hideMark/>
          </w:tcPr>
          <w:p w14:paraId="02875EE5"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18" w:type="dxa"/>
            <w:noWrap/>
            <w:hideMark/>
          </w:tcPr>
          <w:p w14:paraId="1E502666"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03DDDB2C"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84" w:type="dxa"/>
            <w:noWrap/>
            <w:hideMark/>
          </w:tcPr>
          <w:p w14:paraId="712DCF5E"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03" w:type="dxa"/>
            <w:noWrap/>
            <w:hideMark/>
          </w:tcPr>
          <w:p w14:paraId="057945A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0D7073" w14:paraId="1AF97435"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0DE811A4"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First Time Treatment</w:t>
            </w:r>
          </w:p>
        </w:tc>
      </w:tr>
      <w:tr w:rsidR="000D7073" w:rsidRPr="00B37F3E" w14:paraId="46459F96" w14:textId="77777777" w:rsidTr="000D707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EBCE7F"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2017</w:t>
            </w:r>
          </w:p>
        </w:tc>
        <w:tc>
          <w:tcPr>
            <w:tcW w:w="1047" w:type="dxa"/>
            <w:noWrap/>
            <w:hideMark/>
          </w:tcPr>
          <w:p w14:paraId="675DD5A5"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720" w:type="dxa"/>
            <w:noWrap/>
            <w:hideMark/>
          </w:tcPr>
          <w:p w14:paraId="15DA105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925" w:type="dxa"/>
            <w:noWrap/>
            <w:hideMark/>
          </w:tcPr>
          <w:p w14:paraId="69B23EBC"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918" w:type="dxa"/>
            <w:gridSpan w:val="2"/>
            <w:noWrap/>
            <w:hideMark/>
          </w:tcPr>
          <w:p w14:paraId="761D9DA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677" w:type="dxa"/>
            <w:noWrap/>
            <w:hideMark/>
          </w:tcPr>
          <w:p w14:paraId="69368E1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918" w:type="dxa"/>
            <w:noWrap/>
            <w:hideMark/>
          </w:tcPr>
          <w:p w14:paraId="6CF735C4"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918" w:type="dxa"/>
            <w:gridSpan w:val="2"/>
            <w:noWrap/>
            <w:hideMark/>
          </w:tcPr>
          <w:p w14:paraId="62D69FB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684" w:type="dxa"/>
            <w:noWrap/>
            <w:hideMark/>
          </w:tcPr>
          <w:p w14:paraId="5EBAA8C4"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903" w:type="dxa"/>
            <w:noWrap/>
            <w:hideMark/>
          </w:tcPr>
          <w:p w14:paraId="39E94D42"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0D7073" w:rsidRPr="00B37F3E" w14:paraId="4B234CED"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0829AF"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2018</w:t>
            </w:r>
          </w:p>
        </w:tc>
        <w:tc>
          <w:tcPr>
            <w:tcW w:w="1047" w:type="dxa"/>
            <w:noWrap/>
            <w:hideMark/>
          </w:tcPr>
          <w:p w14:paraId="6C3429DD"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720" w:type="dxa"/>
            <w:noWrap/>
            <w:hideMark/>
          </w:tcPr>
          <w:p w14:paraId="2836F6E7"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925" w:type="dxa"/>
            <w:noWrap/>
            <w:hideMark/>
          </w:tcPr>
          <w:p w14:paraId="5FAAB9E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918" w:type="dxa"/>
            <w:gridSpan w:val="2"/>
            <w:noWrap/>
            <w:hideMark/>
          </w:tcPr>
          <w:p w14:paraId="33A9F54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677" w:type="dxa"/>
            <w:noWrap/>
            <w:hideMark/>
          </w:tcPr>
          <w:p w14:paraId="1A32BCDF"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918" w:type="dxa"/>
            <w:noWrap/>
            <w:hideMark/>
          </w:tcPr>
          <w:p w14:paraId="27846CF6"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918" w:type="dxa"/>
            <w:gridSpan w:val="2"/>
            <w:noWrap/>
            <w:hideMark/>
          </w:tcPr>
          <w:p w14:paraId="1E54EAD1"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684" w:type="dxa"/>
            <w:noWrap/>
            <w:hideMark/>
          </w:tcPr>
          <w:p w14:paraId="3AC11869"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903" w:type="dxa"/>
            <w:noWrap/>
            <w:hideMark/>
          </w:tcPr>
          <w:p w14:paraId="1CD24EB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0D7073" w:rsidRPr="00B37F3E" w14:paraId="7602B63D" w14:textId="77777777" w:rsidTr="000D707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4AF6A4"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2019</w:t>
            </w:r>
          </w:p>
        </w:tc>
        <w:tc>
          <w:tcPr>
            <w:tcW w:w="1047" w:type="dxa"/>
            <w:noWrap/>
            <w:hideMark/>
          </w:tcPr>
          <w:p w14:paraId="6AE4C38C"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720" w:type="dxa"/>
            <w:noWrap/>
            <w:hideMark/>
          </w:tcPr>
          <w:p w14:paraId="652EC71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925" w:type="dxa"/>
            <w:noWrap/>
            <w:hideMark/>
          </w:tcPr>
          <w:p w14:paraId="4E99D471"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918" w:type="dxa"/>
            <w:gridSpan w:val="2"/>
            <w:noWrap/>
            <w:hideMark/>
          </w:tcPr>
          <w:p w14:paraId="7E77C744"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677" w:type="dxa"/>
            <w:noWrap/>
            <w:hideMark/>
          </w:tcPr>
          <w:p w14:paraId="54248233"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918" w:type="dxa"/>
            <w:noWrap/>
            <w:hideMark/>
          </w:tcPr>
          <w:p w14:paraId="17A3BA2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918" w:type="dxa"/>
            <w:gridSpan w:val="2"/>
            <w:noWrap/>
            <w:hideMark/>
          </w:tcPr>
          <w:p w14:paraId="7F29BCB7"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684" w:type="dxa"/>
            <w:noWrap/>
            <w:hideMark/>
          </w:tcPr>
          <w:p w14:paraId="7F39A20D"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903" w:type="dxa"/>
            <w:noWrap/>
            <w:hideMark/>
          </w:tcPr>
          <w:p w14:paraId="610ACA6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0D7073" w:rsidRPr="00B37F3E" w14:paraId="359C6CB4"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163B8B" w14:textId="77777777" w:rsidR="000D7073" w:rsidRPr="000D7073" w:rsidRDefault="006D01BF" w:rsidP="000D7073">
            <w:pPr>
              <w:spacing w:line="240" w:lineRule="auto"/>
              <w:rPr>
                <w:rFonts w:ascii="Arial Narrow" w:hAnsi="Arial Narrow"/>
                <w:b/>
                <w:bCs/>
                <w:szCs w:val="20"/>
              </w:rPr>
            </w:pPr>
            <w:r>
              <w:rPr>
                <w:rFonts w:ascii="Arial Narrow" w:hAnsi="Arial Narrow"/>
                <w:b/>
                <w:bCs/>
                <w:szCs w:val="20"/>
              </w:rPr>
              <w:t>2020</w:t>
            </w:r>
          </w:p>
        </w:tc>
        <w:tc>
          <w:tcPr>
            <w:tcW w:w="1047" w:type="dxa"/>
            <w:noWrap/>
            <w:hideMark/>
          </w:tcPr>
          <w:p w14:paraId="2CF7273A"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720" w:type="dxa"/>
            <w:noWrap/>
            <w:hideMark/>
          </w:tcPr>
          <w:p w14:paraId="20A8ACD8"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925" w:type="dxa"/>
            <w:noWrap/>
            <w:hideMark/>
          </w:tcPr>
          <w:p w14:paraId="01FBACF8"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918" w:type="dxa"/>
            <w:gridSpan w:val="2"/>
            <w:noWrap/>
            <w:hideMark/>
          </w:tcPr>
          <w:p w14:paraId="2F27590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677" w:type="dxa"/>
            <w:noWrap/>
            <w:hideMark/>
          </w:tcPr>
          <w:p w14:paraId="138FE89F"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918" w:type="dxa"/>
            <w:noWrap/>
            <w:hideMark/>
          </w:tcPr>
          <w:p w14:paraId="12DBDC47"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918" w:type="dxa"/>
            <w:gridSpan w:val="2"/>
            <w:noWrap/>
            <w:hideMark/>
          </w:tcPr>
          <w:p w14:paraId="179E5255"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684" w:type="dxa"/>
            <w:noWrap/>
            <w:hideMark/>
          </w:tcPr>
          <w:p w14:paraId="2FC945BF"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903" w:type="dxa"/>
            <w:noWrap/>
            <w:hideMark/>
          </w:tcPr>
          <w:p w14:paraId="5785731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0D7073" w:rsidRPr="000D7073" w14:paraId="0A777015" w14:textId="77777777" w:rsidTr="000D707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4D031633"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Retreatment</w:t>
            </w:r>
          </w:p>
        </w:tc>
      </w:tr>
      <w:tr w:rsidR="000D7073" w:rsidRPr="00B37F3E" w14:paraId="589FCEE7"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138908"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2017</w:t>
            </w:r>
          </w:p>
        </w:tc>
        <w:tc>
          <w:tcPr>
            <w:tcW w:w="1047" w:type="dxa"/>
            <w:noWrap/>
            <w:hideMark/>
          </w:tcPr>
          <w:p w14:paraId="3F7CC29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720" w:type="dxa"/>
            <w:noWrap/>
            <w:hideMark/>
          </w:tcPr>
          <w:p w14:paraId="3042B82F"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925" w:type="dxa"/>
            <w:noWrap/>
            <w:hideMark/>
          </w:tcPr>
          <w:p w14:paraId="0AA0B0EE"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918" w:type="dxa"/>
            <w:gridSpan w:val="2"/>
            <w:noWrap/>
            <w:hideMark/>
          </w:tcPr>
          <w:p w14:paraId="51B0435F"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677" w:type="dxa"/>
            <w:noWrap/>
            <w:hideMark/>
          </w:tcPr>
          <w:p w14:paraId="72157417"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918" w:type="dxa"/>
            <w:noWrap/>
            <w:hideMark/>
          </w:tcPr>
          <w:p w14:paraId="3C139BBA"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918" w:type="dxa"/>
            <w:gridSpan w:val="2"/>
            <w:noWrap/>
            <w:hideMark/>
          </w:tcPr>
          <w:p w14:paraId="574A14B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684" w:type="dxa"/>
            <w:noWrap/>
            <w:hideMark/>
          </w:tcPr>
          <w:p w14:paraId="5008E09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903" w:type="dxa"/>
            <w:noWrap/>
            <w:hideMark/>
          </w:tcPr>
          <w:p w14:paraId="7F9D8261"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17.8</w:t>
            </w:r>
          </w:p>
        </w:tc>
      </w:tr>
      <w:tr w:rsidR="000D7073" w:rsidRPr="00B37F3E" w14:paraId="61408221" w14:textId="77777777" w:rsidTr="000D707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D163F1"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2018</w:t>
            </w:r>
          </w:p>
        </w:tc>
        <w:tc>
          <w:tcPr>
            <w:tcW w:w="1047" w:type="dxa"/>
            <w:noWrap/>
            <w:hideMark/>
          </w:tcPr>
          <w:p w14:paraId="4CF3B6DE"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720" w:type="dxa"/>
            <w:noWrap/>
            <w:hideMark/>
          </w:tcPr>
          <w:p w14:paraId="3CBB43D5"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925" w:type="dxa"/>
            <w:noWrap/>
            <w:hideMark/>
          </w:tcPr>
          <w:p w14:paraId="77260C68"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918" w:type="dxa"/>
            <w:gridSpan w:val="2"/>
            <w:noWrap/>
            <w:hideMark/>
          </w:tcPr>
          <w:p w14:paraId="09B6DD4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677" w:type="dxa"/>
            <w:noWrap/>
            <w:hideMark/>
          </w:tcPr>
          <w:p w14:paraId="4754C5FD"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918" w:type="dxa"/>
            <w:noWrap/>
            <w:hideMark/>
          </w:tcPr>
          <w:p w14:paraId="1A3C4DC9"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918" w:type="dxa"/>
            <w:gridSpan w:val="2"/>
            <w:noWrap/>
            <w:hideMark/>
          </w:tcPr>
          <w:p w14:paraId="1680C774"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684" w:type="dxa"/>
            <w:noWrap/>
            <w:hideMark/>
          </w:tcPr>
          <w:p w14:paraId="65705FCA"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903" w:type="dxa"/>
            <w:noWrap/>
            <w:hideMark/>
          </w:tcPr>
          <w:p w14:paraId="2317C07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17.8</w:t>
            </w:r>
          </w:p>
        </w:tc>
      </w:tr>
      <w:tr w:rsidR="000D7073" w:rsidRPr="00B37F3E" w14:paraId="61E35A78"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CD1C76"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2019</w:t>
            </w:r>
          </w:p>
        </w:tc>
        <w:tc>
          <w:tcPr>
            <w:tcW w:w="1047" w:type="dxa"/>
            <w:noWrap/>
            <w:hideMark/>
          </w:tcPr>
          <w:p w14:paraId="11C980A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720" w:type="dxa"/>
            <w:noWrap/>
            <w:hideMark/>
          </w:tcPr>
          <w:p w14:paraId="7A588F4E"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925" w:type="dxa"/>
            <w:noWrap/>
            <w:hideMark/>
          </w:tcPr>
          <w:p w14:paraId="327EACF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918" w:type="dxa"/>
            <w:gridSpan w:val="2"/>
            <w:noWrap/>
            <w:hideMark/>
          </w:tcPr>
          <w:p w14:paraId="40BEE696"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677" w:type="dxa"/>
            <w:noWrap/>
            <w:hideMark/>
          </w:tcPr>
          <w:p w14:paraId="76A0D451"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918" w:type="dxa"/>
            <w:noWrap/>
            <w:hideMark/>
          </w:tcPr>
          <w:p w14:paraId="12FE20BD"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918" w:type="dxa"/>
            <w:gridSpan w:val="2"/>
            <w:noWrap/>
            <w:hideMark/>
          </w:tcPr>
          <w:p w14:paraId="3A3AA92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684" w:type="dxa"/>
            <w:noWrap/>
            <w:hideMark/>
          </w:tcPr>
          <w:p w14:paraId="77775936"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903" w:type="dxa"/>
            <w:noWrap/>
            <w:hideMark/>
          </w:tcPr>
          <w:p w14:paraId="38A660F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17.8</w:t>
            </w:r>
          </w:p>
        </w:tc>
      </w:tr>
      <w:tr w:rsidR="000D7073" w:rsidRPr="00B37F3E" w14:paraId="3CF929C0" w14:textId="77777777" w:rsidTr="000D707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128CE6"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2020 - 2030</w:t>
            </w:r>
          </w:p>
        </w:tc>
        <w:tc>
          <w:tcPr>
            <w:tcW w:w="1047" w:type="dxa"/>
            <w:noWrap/>
            <w:hideMark/>
          </w:tcPr>
          <w:p w14:paraId="64B4558E"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720" w:type="dxa"/>
            <w:noWrap/>
            <w:hideMark/>
          </w:tcPr>
          <w:p w14:paraId="7543080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925" w:type="dxa"/>
            <w:noWrap/>
            <w:hideMark/>
          </w:tcPr>
          <w:p w14:paraId="27987792"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918" w:type="dxa"/>
            <w:gridSpan w:val="2"/>
            <w:noWrap/>
            <w:hideMark/>
          </w:tcPr>
          <w:p w14:paraId="1F2FF355"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677" w:type="dxa"/>
            <w:noWrap/>
            <w:hideMark/>
          </w:tcPr>
          <w:p w14:paraId="0D96CED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918" w:type="dxa"/>
            <w:noWrap/>
            <w:hideMark/>
          </w:tcPr>
          <w:p w14:paraId="6D88A74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918" w:type="dxa"/>
            <w:gridSpan w:val="2"/>
            <w:noWrap/>
            <w:hideMark/>
          </w:tcPr>
          <w:p w14:paraId="2E852A1A"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684" w:type="dxa"/>
            <w:noWrap/>
            <w:hideMark/>
          </w:tcPr>
          <w:p w14:paraId="45ACF7FE"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903" w:type="dxa"/>
            <w:noWrap/>
            <w:hideMark/>
          </w:tcPr>
          <w:p w14:paraId="17B2AF3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17.8</w:t>
            </w:r>
          </w:p>
        </w:tc>
      </w:tr>
    </w:tbl>
    <w:p w14:paraId="3DC370E2" w14:textId="77777777" w:rsidR="00B37F3E" w:rsidRDefault="00B37F3E" w:rsidP="00B37F3E"/>
    <w:p w14:paraId="0DCE688B" w14:textId="77777777" w:rsidR="00B37F3E" w:rsidRDefault="00B37F3E">
      <w:pPr>
        <w:spacing w:line="240" w:lineRule="auto"/>
      </w:pPr>
      <w:r>
        <w:br w:type="page"/>
      </w:r>
    </w:p>
    <w:p w14:paraId="428D5930" w14:textId="77777777" w:rsidR="000D7073" w:rsidRDefault="000D7073" w:rsidP="000D7073">
      <w:pPr>
        <w:pStyle w:val="Heading6"/>
      </w:pPr>
      <w:bookmarkStart w:id="1080" w:name="_Toc484092532"/>
      <w:bookmarkStart w:id="1081" w:name="_Toc484172737"/>
      <w:bookmarkStart w:id="1082" w:name="_Toc484183084"/>
      <w:bookmarkStart w:id="1083" w:name="_Toc485126605"/>
      <w:r>
        <w:lastRenderedPageBreak/>
        <w:t>SCE</w:t>
      </w:r>
      <w:bookmarkEnd w:id="1080"/>
      <w:bookmarkEnd w:id="1081"/>
      <w:bookmarkEnd w:id="1082"/>
      <w:bookmarkEnd w:id="1083"/>
    </w:p>
    <w:p w14:paraId="43A36539" w14:textId="77777777" w:rsidR="000D7073" w:rsidRDefault="00BB59F5" w:rsidP="000D7073">
      <w:pPr>
        <w:pStyle w:val="Caption"/>
      </w:pPr>
      <w:bookmarkStart w:id="1084" w:name="_Toc484436985"/>
      <w:bookmarkStart w:id="1085" w:name="_Toc485125624"/>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3</w:t>
      </w:r>
      <w:r w:rsidR="00272F76">
        <w:rPr>
          <w:noProof/>
        </w:rPr>
        <w:fldChar w:fldCharType="end"/>
      </w:r>
      <w:r w:rsidRPr="006F2DA9">
        <w:t xml:space="preserve">. </w:t>
      </w:r>
      <w:r w:rsidR="000D7073">
        <w:t>SCE Households Treated</w:t>
      </w:r>
      <w:bookmarkEnd w:id="1084"/>
      <w:bookmarkEnd w:id="1085"/>
    </w:p>
    <w:tbl>
      <w:tblPr>
        <w:tblStyle w:val="EnergyTable1"/>
        <w:tblW w:w="6198" w:type="dxa"/>
        <w:tblLook w:val="04A0" w:firstRow="1" w:lastRow="0" w:firstColumn="1" w:lastColumn="0" w:noHBand="0" w:noVBand="1"/>
      </w:tblPr>
      <w:tblGrid>
        <w:gridCol w:w="1350"/>
        <w:gridCol w:w="1616"/>
        <w:gridCol w:w="1616"/>
        <w:gridCol w:w="1616"/>
      </w:tblGrid>
      <w:tr w:rsidR="000D7073" w:rsidRPr="00B37F3E" w14:paraId="0635E474" w14:textId="77777777" w:rsidTr="007D30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E6F0CED" w14:textId="77777777" w:rsidR="000D7073" w:rsidRPr="00B37F3E" w:rsidRDefault="000D7073" w:rsidP="007D30B3">
            <w:pPr>
              <w:spacing w:line="240" w:lineRule="auto"/>
              <w:rPr>
                <w:rFonts w:ascii="Arial Narrow" w:hAnsi="Arial Narrow"/>
                <w:bCs/>
                <w:szCs w:val="20"/>
              </w:rPr>
            </w:pPr>
          </w:p>
        </w:tc>
        <w:tc>
          <w:tcPr>
            <w:tcW w:w="1616" w:type="dxa"/>
            <w:noWrap/>
            <w:hideMark/>
          </w:tcPr>
          <w:p w14:paraId="354FDC68" w14:textId="77777777" w:rsidR="000D7073" w:rsidRPr="00B37F3E"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Single Family </w:t>
            </w:r>
          </w:p>
        </w:tc>
        <w:tc>
          <w:tcPr>
            <w:tcW w:w="1616" w:type="dxa"/>
            <w:noWrap/>
            <w:hideMark/>
          </w:tcPr>
          <w:p w14:paraId="53C74272" w14:textId="77777777" w:rsidR="000D7073" w:rsidRPr="00B37F3E"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Multifamily</w:t>
            </w:r>
          </w:p>
        </w:tc>
        <w:tc>
          <w:tcPr>
            <w:tcW w:w="1616" w:type="dxa"/>
            <w:noWrap/>
            <w:hideMark/>
          </w:tcPr>
          <w:p w14:paraId="1E4CDFE4" w14:textId="77777777" w:rsidR="000D7073" w:rsidRPr="00B37F3E"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Mobile Home</w:t>
            </w:r>
          </w:p>
        </w:tc>
      </w:tr>
      <w:tr w:rsidR="000D7073" w:rsidRPr="00B37F3E" w14:paraId="34386886"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5C89F993" w14:textId="77777777" w:rsidR="000D7073" w:rsidRPr="00B37F3E" w:rsidRDefault="000D7073" w:rsidP="007D30B3">
            <w:pPr>
              <w:spacing w:line="240" w:lineRule="auto"/>
              <w:rPr>
                <w:rFonts w:ascii="Arial Narrow" w:hAnsi="Arial Narrow"/>
                <w:b/>
                <w:szCs w:val="20"/>
              </w:rPr>
            </w:pPr>
            <w:r w:rsidRPr="00B37F3E">
              <w:rPr>
                <w:rFonts w:ascii="Arial Narrow" w:hAnsi="Arial Narrow"/>
                <w:b/>
                <w:szCs w:val="20"/>
              </w:rPr>
              <w:t>First Time Treatment</w:t>
            </w:r>
          </w:p>
        </w:tc>
      </w:tr>
      <w:tr w:rsidR="00AE06FA" w:rsidRPr="00B37F3E" w14:paraId="60BB8377"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30EBAA3"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2017</w:t>
            </w:r>
          </w:p>
        </w:tc>
        <w:tc>
          <w:tcPr>
            <w:tcW w:w="1616" w:type="dxa"/>
            <w:noWrap/>
            <w:vAlign w:val="bottom"/>
          </w:tcPr>
          <w:p w14:paraId="171AF6E1"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25,069 </w:t>
            </w:r>
          </w:p>
        </w:tc>
        <w:tc>
          <w:tcPr>
            <w:tcW w:w="1616" w:type="dxa"/>
            <w:noWrap/>
            <w:vAlign w:val="bottom"/>
          </w:tcPr>
          <w:p w14:paraId="007DCC5D"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7,504 </w:t>
            </w:r>
          </w:p>
        </w:tc>
        <w:tc>
          <w:tcPr>
            <w:tcW w:w="1616" w:type="dxa"/>
            <w:noWrap/>
            <w:vAlign w:val="bottom"/>
          </w:tcPr>
          <w:p w14:paraId="7515CF38"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3,949 </w:t>
            </w:r>
          </w:p>
        </w:tc>
      </w:tr>
      <w:tr w:rsidR="00AE06FA" w:rsidRPr="00B37F3E" w14:paraId="73CE6CE1"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4AF55CF"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2018</w:t>
            </w:r>
          </w:p>
        </w:tc>
        <w:tc>
          <w:tcPr>
            <w:tcW w:w="1616" w:type="dxa"/>
            <w:noWrap/>
            <w:vAlign w:val="bottom"/>
          </w:tcPr>
          <w:p w14:paraId="257B970E"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26,322 </w:t>
            </w:r>
          </w:p>
        </w:tc>
        <w:tc>
          <w:tcPr>
            <w:tcW w:w="1616" w:type="dxa"/>
            <w:noWrap/>
            <w:vAlign w:val="bottom"/>
          </w:tcPr>
          <w:p w14:paraId="115EB80D"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7,879 </w:t>
            </w:r>
          </w:p>
        </w:tc>
        <w:tc>
          <w:tcPr>
            <w:tcW w:w="1616" w:type="dxa"/>
            <w:noWrap/>
            <w:vAlign w:val="bottom"/>
          </w:tcPr>
          <w:p w14:paraId="79C77488"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4,146 </w:t>
            </w:r>
          </w:p>
        </w:tc>
      </w:tr>
      <w:tr w:rsidR="00AE06FA" w:rsidRPr="00B37F3E" w14:paraId="5FCF1EDF"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133EE18"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2019</w:t>
            </w:r>
          </w:p>
        </w:tc>
        <w:tc>
          <w:tcPr>
            <w:tcW w:w="1616" w:type="dxa"/>
            <w:noWrap/>
            <w:vAlign w:val="bottom"/>
          </w:tcPr>
          <w:p w14:paraId="50420062"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27,638 </w:t>
            </w:r>
          </w:p>
        </w:tc>
        <w:tc>
          <w:tcPr>
            <w:tcW w:w="1616" w:type="dxa"/>
            <w:noWrap/>
            <w:vAlign w:val="bottom"/>
          </w:tcPr>
          <w:p w14:paraId="0F159E80"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8,273 </w:t>
            </w:r>
          </w:p>
        </w:tc>
        <w:tc>
          <w:tcPr>
            <w:tcW w:w="1616" w:type="dxa"/>
            <w:noWrap/>
            <w:vAlign w:val="bottom"/>
          </w:tcPr>
          <w:p w14:paraId="4B6E4162"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4,353 </w:t>
            </w:r>
          </w:p>
        </w:tc>
      </w:tr>
      <w:tr w:rsidR="00AE06FA" w:rsidRPr="00B37F3E" w14:paraId="71D32211"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7E03BC9"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2020</w:t>
            </w:r>
          </w:p>
        </w:tc>
        <w:tc>
          <w:tcPr>
            <w:tcW w:w="1616" w:type="dxa"/>
            <w:noWrap/>
            <w:vAlign w:val="bottom"/>
          </w:tcPr>
          <w:p w14:paraId="606261A3"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29,020 </w:t>
            </w:r>
          </w:p>
        </w:tc>
        <w:tc>
          <w:tcPr>
            <w:tcW w:w="1616" w:type="dxa"/>
            <w:noWrap/>
            <w:vAlign w:val="bottom"/>
          </w:tcPr>
          <w:p w14:paraId="39489F54"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8,686 </w:t>
            </w:r>
          </w:p>
        </w:tc>
        <w:tc>
          <w:tcPr>
            <w:tcW w:w="1616" w:type="dxa"/>
            <w:noWrap/>
            <w:vAlign w:val="bottom"/>
          </w:tcPr>
          <w:p w14:paraId="32152FAF"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4,571 </w:t>
            </w:r>
          </w:p>
        </w:tc>
      </w:tr>
      <w:tr w:rsidR="000D7073" w:rsidRPr="00B37F3E" w14:paraId="571BFA71"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4BCEC9AE" w14:textId="77777777" w:rsidR="000D7073" w:rsidRPr="00AE06FA" w:rsidRDefault="000D7073" w:rsidP="007D30B3">
            <w:pPr>
              <w:spacing w:line="240" w:lineRule="auto"/>
              <w:rPr>
                <w:rFonts w:ascii="Arial Narrow" w:hAnsi="Arial Narrow"/>
                <w:b/>
                <w:szCs w:val="20"/>
              </w:rPr>
            </w:pPr>
            <w:r w:rsidRPr="00AE06FA">
              <w:rPr>
                <w:rFonts w:ascii="Arial Narrow" w:hAnsi="Arial Narrow"/>
                <w:b/>
                <w:szCs w:val="20"/>
              </w:rPr>
              <w:t>Retreatment</w:t>
            </w:r>
          </w:p>
        </w:tc>
      </w:tr>
      <w:tr w:rsidR="00AE06FA" w:rsidRPr="00B37F3E" w14:paraId="068FDCA4"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67639FE8"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2017</w:t>
            </w:r>
          </w:p>
        </w:tc>
        <w:tc>
          <w:tcPr>
            <w:tcW w:w="1616" w:type="dxa"/>
            <w:noWrap/>
            <w:vAlign w:val="bottom"/>
          </w:tcPr>
          <w:p w14:paraId="73FA85D5"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12,347 </w:t>
            </w:r>
          </w:p>
        </w:tc>
        <w:tc>
          <w:tcPr>
            <w:tcW w:w="1616" w:type="dxa"/>
            <w:noWrap/>
            <w:vAlign w:val="bottom"/>
          </w:tcPr>
          <w:p w14:paraId="6CED3490"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3,696 </w:t>
            </w:r>
          </w:p>
        </w:tc>
        <w:tc>
          <w:tcPr>
            <w:tcW w:w="1616" w:type="dxa"/>
            <w:noWrap/>
            <w:vAlign w:val="bottom"/>
          </w:tcPr>
          <w:p w14:paraId="63065FA3"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1,945 </w:t>
            </w:r>
          </w:p>
        </w:tc>
      </w:tr>
      <w:tr w:rsidR="00AE06FA" w:rsidRPr="00B37F3E" w14:paraId="0F711CC4"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58102CAF"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2018</w:t>
            </w:r>
          </w:p>
        </w:tc>
        <w:tc>
          <w:tcPr>
            <w:tcW w:w="1616" w:type="dxa"/>
            <w:noWrap/>
            <w:vAlign w:val="bottom"/>
          </w:tcPr>
          <w:p w14:paraId="7F8F1CBF"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12,965 </w:t>
            </w:r>
          </w:p>
        </w:tc>
        <w:tc>
          <w:tcPr>
            <w:tcW w:w="1616" w:type="dxa"/>
            <w:noWrap/>
            <w:vAlign w:val="bottom"/>
          </w:tcPr>
          <w:p w14:paraId="304ED029"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3,881 </w:t>
            </w:r>
          </w:p>
        </w:tc>
        <w:tc>
          <w:tcPr>
            <w:tcW w:w="1616" w:type="dxa"/>
            <w:noWrap/>
            <w:vAlign w:val="bottom"/>
          </w:tcPr>
          <w:p w14:paraId="5A9489A3"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2,042 </w:t>
            </w:r>
          </w:p>
        </w:tc>
      </w:tr>
      <w:tr w:rsidR="00AE06FA" w:rsidRPr="00B37F3E" w14:paraId="002E7A65"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016949EC"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2019</w:t>
            </w:r>
          </w:p>
        </w:tc>
        <w:tc>
          <w:tcPr>
            <w:tcW w:w="1616" w:type="dxa"/>
            <w:noWrap/>
            <w:vAlign w:val="bottom"/>
          </w:tcPr>
          <w:p w14:paraId="3F45977C"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13,613 </w:t>
            </w:r>
          </w:p>
        </w:tc>
        <w:tc>
          <w:tcPr>
            <w:tcW w:w="1616" w:type="dxa"/>
            <w:noWrap/>
            <w:vAlign w:val="bottom"/>
          </w:tcPr>
          <w:p w14:paraId="6BD14517"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4,075 </w:t>
            </w:r>
          </w:p>
        </w:tc>
        <w:tc>
          <w:tcPr>
            <w:tcW w:w="1616" w:type="dxa"/>
            <w:noWrap/>
            <w:vAlign w:val="bottom"/>
          </w:tcPr>
          <w:p w14:paraId="56546EE0"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2,144 </w:t>
            </w:r>
          </w:p>
        </w:tc>
      </w:tr>
      <w:tr w:rsidR="00AE06FA" w:rsidRPr="00B37F3E" w14:paraId="4187FA0A"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121A2134"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2020 -2030*</w:t>
            </w:r>
          </w:p>
        </w:tc>
        <w:tc>
          <w:tcPr>
            <w:tcW w:w="1616" w:type="dxa"/>
            <w:noWrap/>
            <w:vAlign w:val="bottom"/>
          </w:tcPr>
          <w:p w14:paraId="0F787753"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14,294 </w:t>
            </w:r>
          </w:p>
        </w:tc>
        <w:tc>
          <w:tcPr>
            <w:tcW w:w="1616" w:type="dxa"/>
            <w:noWrap/>
            <w:vAlign w:val="bottom"/>
          </w:tcPr>
          <w:p w14:paraId="1B866C2D"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4,278 </w:t>
            </w:r>
          </w:p>
        </w:tc>
        <w:tc>
          <w:tcPr>
            <w:tcW w:w="1616" w:type="dxa"/>
            <w:noWrap/>
            <w:vAlign w:val="bottom"/>
          </w:tcPr>
          <w:p w14:paraId="0EF0A8CA"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2,251 </w:t>
            </w:r>
          </w:p>
        </w:tc>
      </w:tr>
    </w:tbl>
    <w:p w14:paraId="1890355D" w14:textId="77777777" w:rsidR="000D7073" w:rsidRDefault="000D7073" w:rsidP="000D7073">
      <w:pPr>
        <w:spacing w:line="240" w:lineRule="auto"/>
        <w:jc w:val="center"/>
      </w:pPr>
      <w:r>
        <w:t>*Annual treatment</w:t>
      </w:r>
    </w:p>
    <w:p w14:paraId="6F5C018E" w14:textId="77777777" w:rsidR="000D7073" w:rsidRDefault="000D7073" w:rsidP="000D7073"/>
    <w:p w14:paraId="37B49D72" w14:textId="77777777" w:rsidR="000D7073" w:rsidRPr="00E86334" w:rsidRDefault="000D7073" w:rsidP="000D7073"/>
    <w:p w14:paraId="2708F7CE" w14:textId="77777777" w:rsidR="000D7073" w:rsidRDefault="00BB59F5" w:rsidP="000D7073">
      <w:pPr>
        <w:pStyle w:val="Caption"/>
      </w:pPr>
      <w:bookmarkStart w:id="1086" w:name="_Toc484436986"/>
      <w:bookmarkStart w:id="1087" w:name="_Toc485125625"/>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4</w:t>
      </w:r>
      <w:r w:rsidR="00272F76">
        <w:rPr>
          <w:noProof/>
        </w:rPr>
        <w:fldChar w:fldCharType="end"/>
      </w:r>
      <w:r w:rsidRPr="006F2DA9">
        <w:t xml:space="preserve">. </w:t>
      </w:r>
      <w:r w:rsidR="000D7073">
        <w:t>SCE UES</w:t>
      </w:r>
      <w:bookmarkEnd w:id="1086"/>
      <w:bookmarkEnd w:id="1087"/>
    </w:p>
    <w:tbl>
      <w:tblPr>
        <w:tblStyle w:val="EnergyTable1"/>
        <w:tblW w:w="9150" w:type="dxa"/>
        <w:tblLayout w:type="fixed"/>
        <w:tblLook w:val="04A0" w:firstRow="1" w:lastRow="0" w:firstColumn="1" w:lastColumn="0" w:noHBand="0" w:noVBand="1"/>
      </w:tblPr>
      <w:tblGrid>
        <w:gridCol w:w="1440"/>
        <w:gridCol w:w="1047"/>
        <w:gridCol w:w="720"/>
        <w:gridCol w:w="925"/>
        <w:gridCol w:w="10"/>
        <w:gridCol w:w="908"/>
        <w:gridCol w:w="677"/>
        <w:gridCol w:w="918"/>
        <w:gridCol w:w="17"/>
        <w:gridCol w:w="901"/>
        <w:gridCol w:w="684"/>
        <w:gridCol w:w="903"/>
      </w:tblGrid>
      <w:tr w:rsidR="000D7073" w:rsidRPr="00B37F3E" w14:paraId="21C20ABF" w14:textId="77777777" w:rsidTr="007D30B3">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176810" w14:textId="77777777" w:rsidR="000D7073" w:rsidRPr="000D7073" w:rsidRDefault="000D7073" w:rsidP="007D30B3">
            <w:pPr>
              <w:spacing w:line="240" w:lineRule="auto"/>
              <w:rPr>
                <w:rFonts w:ascii="Arial Narrow" w:hAnsi="Arial Narrow"/>
                <w:szCs w:val="20"/>
              </w:rPr>
            </w:pPr>
          </w:p>
        </w:tc>
        <w:tc>
          <w:tcPr>
            <w:tcW w:w="2702" w:type="dxa"/>
            <w:gridSpan w:val="4"/>
            <w:noWrap/>
            <w:hideMark/>
          </w:tcPr>
          <w:p w14:paraId="02FFF992" w14:textId="77777777" w:rsidR="000D7073" w:rsidRPr="000D7073"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Single Family </w:t>
            </w:r>
          </w:p>
        </w:tc>
        <w:tc>
          <w:tcPr>
            <w:tcW w:w="2520" w:type="dxa"/>
            <w:gridSpan w:val="4"/>
            <w:noWrap/>
            <w:hideMark/>
          </w:tcPr>
          <w:p w14:paraId="3115FBA8" w14:textId="77777777" w:rsidR="000D7073" w:rsidRPr="000D7073"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2488" w:type="dxa"/>
            <w:gridSpan w:val="3"/>
            <w:noWrap/>
            <w:hideMark/>
          </w:tcPr>
          <w:p w14:paraId="3364168E" w14:textId="77777777" w:rsidR="000D7073" w:rsidRPr="000D7073"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Mobile Home</w:t>
            </w:r>
          </w:p>
        </w:tc>
      </w:tr>
      <w:tr w:rsidR="000D7073" w:rsidRPr="00B37F3E" w14:paraId="006551A1"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230DF7" w14:textId="77777777" w:rsidR="000D7073" w:rsidRPr="000D7073" w:rsidRDefault="000D7073" w:rsidP="007D30B3">
            <w:pPr>
              <w:spacing w:line="240" w:lineRule="auto"/>
              <w:rPr>
                <w:rFonts w:ascii="Arial Narrow" w:hAnsi="Arial Narrow"/>
                <w:b/>
                <w:bCs/>
                <w:szCs w:val="20"/>
              </w:rPr>
            </w:pPr>
            <w:r w:rsidRPr="000D7073">
              <w:rPr>
                <w:rFonts w:ascii="Arial Narrow" w:hAnsi="Arial Narrow"/>
                <w:b/>
                <w:bCs/>
                <w:szCs w:val="20"/>
              </w:rPr>
              <w:t> </w:t>
            </w:r>
          </w:p>
        </w:tc>
        <w:tc>
          <w:tcPr>
            <w:tcW w:w="1047" w:type="dxa"/>
            <w:noWrap/>
            <w:hideMark/>
          </w:tcPr>
          <w:p w14:paraId="57DB88A2"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720" w:type="dxa"/>
            <w:noWrap/>
            <w:hideMark/>
          </w:tcPr>
          <w:p w14:paraId="1C1588C5"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25" w:type="dxa"/>
            <w:noWrap/>
            <w:hideMark/>
          </w:tcPr>
          <w:p w14:paraId="012C9FD9"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27FCF6BD"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77" w:type="dxa"/>
            <w:noWrap/>
            <w:hideMark/>
          </w:tcPr>
          <w:p w14:paraId="2E927F43"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18" w:type="dxa"/>
            <w:noWrap/>
            <w:hideMark/>
          </w:tcPr>
          <w:p w14:paraId="45290112"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511AFBEC"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84" w:type="dxa"/>
            <w:noWrap/>
            <w:hideMark/>
          </w:tcPr>
          <w:p w14:paraId="133F6FF1"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03" w:type="dxa"/>
            <w:noWrap/>
            <w:hideMark/>
          </w:tcPr>
          <w:p w14:paraId="03B636EA"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B37F3E" w14:paraId="79C55AD5"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49F93DD1" w14:textId="77777777" w:rsidR="000D7073" w:rsidRPr="000D7073" w:rsidRDefault="000D7073" w:rsidP="007D30B3">
            <w:pPr>
              <w:spacing w:line="240" w:lineRule="auto"/>
              <w:rPr>
                <w:rFonts w:ascii="Arial Narrow" w:hAnsi="Arial Narrow"/>
                <w:b/>
                <w:bCs/>
                <w:szCs w:val="20"/>
              </w:rPr>
            </w:pPr>
            <w:r w:rsidRPr="000D7073">
              <w:rPr>
                <w:rFonts w:ascii="Arial Narrow" w:hAnsi="Arial Narrow"/>
                <w:b/>
                <w:bCs/>
                <w:szCs w:val="20"/>
              </w:rPr>
              <w:t>First Time Treatment</w:t>
            </w:r>
          </w:p>
        </w:tc>
      </w:tr>
      <w:tr w:rsidR="00A13EF0" w:rsidRPr="00B37F3E" w14:paraId="5DBFE808"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3A98CA"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1047" w:type="dxa"/>
            <w:noWrap/>
          </w:tcPr>
          <w:p w14:paraId="1A043728"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0.1034</w:t>
            </w:r>
          </w:p>
        </w:tc>
        <w:tc>
          <w:tcPr>
            <w:tcW w:w="720" w:type="dxa"/>
            <w:noWrap/>
          </w:tcPr>
          <w:p w14:paraId="2EC4AEBB"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527</w:t>
            </w:r>
          </w:p>
        </w:tc>
        <w:tc>
          <w:tcPr>
            <w:tcW w:w="925" w:type="dxa"/>
            <w:noWrap/>
            <w:vAlign w:val="top"/>
          </w:tcPr>
          <w:p w14:paraId="4A70146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918" w:type="dxa"/>
            <w:gridSpan w:val="2"/>
            <w:noWrap/>
          </w:tcPr>
          <w:p w14:paraId="48CC60EE"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0.0375</w:t>
            </w:r>
          </w:p>
        </w:tc>
        <w:tc>
          <w:tcPr>
            <w:tcW w:w="677" w:type="dxa"/>
            <w:noWrap/>
          </w:tcPr>
          <w:p w14:paraId="63AF614D"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348</w:t>
            </w:r>
          </w:p>
        </w:tc>
        <w:tc>
          <w:tcPr>
            <w:tcW w:w="918" w:type="dxa"/>
            <w:noWrap/>
            <w:vAlign w:val="top"/>
          </w:tcPr>
          <w:p w14:paraId="5A34B4D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918" w:type="dxa"/>
            <w:gridSpan w:val="2"/>
            <w:noWrap/>
          </w:tcPr>
          <w:p w14:paraId="33099AB5"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0.0417</w:t>
            </w:r>
          </w:p>
        </w:tc>
        <w:tc>
          <w:tcPr>
            <w:tcW w:w="684" w:type="dxa"/>
            <w:noWrap/>
          </w:tcPr>
          <w:p w14:paraId="1280D0FF"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272</w:t>
            </w:r>
          </w:p>
        </w:tc>
        <w:tc>
          <w:tcPr>
            <w:tcW w:w="903" w:type="dxa"/>
            <w:noWrap/>
            <w:vAlign w:val="top"/>
          </w:tcPr>
          <w:p w14:paraId="72DE85C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A13EF0" w:rsidRPr="00B37F3E" w14:paraId="65BA6330"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6355DBD"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1047" w:type="dxa"/>
            <w:noWrap/>
          </w:tcPr>
          <w:p w14:paraId="6859E58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0.0983</w:t>
            </w:r>
          </w:p>
        </w:tc>
        <w:tc>
          <w:tcPr>
            <w:tcW w:w="720" w:type="dxa"/>
            <w:noWrap/>
          </w:tcPr>
          <w:p w14:paraId="5BC7BCB8"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501</w:t>
            </w:r>
          </w:p>
        </w:tc>
        <w:tc>
          <w:tcPr>
            <w:tcW w:w="925" w:type="dxa"/>
            <w:noWrap/>
            <w:vAlign w:val="top"/>
          </w:tcPr>
          <w:p w14:paraId="189FB3A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918" w:type="dxa"/>
            <w:gridSpan w:val="2"/>
            <w:noWrap/>
          </w:tcPr>
          <w:p w14:paraId="41BC4BE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0.0356</w:t>
            </w:r>
          </w:p>
        </w:tc>
        <w:tc>
          <w:tcPr>
            <w:tcW w:w="677" w:type="dxa"/>
            <w:noWrap/>
          </w:tcPr>
          <w:p w14:paraId="6FB90A9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331</w:t>
            </w:r>
          </w:p>
        </w:tc>
        <w:tc>
          <w:tcPr>
            <w:tcW w:w="918" w:type="dxa"/>
            <w:noWrap/>
            <w:vAlign w:val="top"/>
          </w:tcPr>
          <w:p w14:paraId="28D8916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918" w:type="dxa"/>
            <w:gridSpan w:val="2"/>
            <w:noWrap/>
          </w:tcPr>
          <w:p w14:paraId="175020E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0.0407</w:t>
            </w:r>
          </w:p>
        </w:tc>
        <w:tc>
          <w:tcPr>
            <w:tcW w:w="684" w:type="dxa"/>
            <w:noWrap/>
          </w:tcPr>
          <w:p w14:paraId="780BD027"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266</w:t>
            </w:r>
          </w:p>
        </w:tc>
        <w:tc>
          <w:tcPr>
            <w:tcW w:w="903" w:type="dxa"/>
            <w:noWrap/>
            <w:vAlign w:val="top"/>
          </w:tcPr>
          <w:p w14:paraId="783D60E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A13EF0" w:rsidRPr="00B37F3E" w14:paraId="20630101"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7C2558"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1047" w:type="dxa"/>
            <w:noWrap/>
          </w:tcPr>
          <w:p w14:paraId="47B172F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0.0906</w:t>
            </w:r>
          </w:p>
        </w:tc>
        <w:tc>
          <w:tcPr>
            <w:tcW w:w="720" w:type="dxa"/>
            <w:noWrap/>
          </w:tcPr>
          <w:p w14:paraId="7D93567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462</w:t>
            </w:r>
          </w:p>
        </w:tc>
        <w:tc>
          <w:tcPr>
            <w:tcW w:w="925" w:type="dxa"/>
            <w:noWrap/>
            <w:vAlign w:val="top"/>
          </w:tcPr>
          <w:p w14:paraId="18685DE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918" w:type="dxa"/>
            <w:gridSpan w:val="2"/>
            <w:noWrap/>
          </w:tcPr>
          <w:p w14:paraId="76E6745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0.0322</w:t>
            </w:r>
          </w:p>
        </w:tc>
        <w:tc>
          <w:tcPr>
            <w:tcW w:w="677" w:type="dxa"/>
            <w:noWrap/>
          </w:tcPr>
          <w:p w14:paraId="020A84F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299</w:t>
            </w:r>
          </w:p>
        </w:tc>
        <w:tc>
          <w:tcPr>
            <w:tcW w:w="918" w:type="dxa"/>
            <w:noWrap/>
            <w:vAlign w:val="top"/>
          </w:tcPr>
          <w:p w14:paraId="689B399D"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918" w:type="dxa"/>
            <w:gridSpan w:val="2"/>
            <w:noWrap/>
          </w:tcPr>
          <w:p w14:paraId="25FE25FD"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0.0371</w:t>
            </w:r>
          </w:p>
        </w:tc>
        <w:tc>
          <w:tcPr>
            <w:tcW w:w="684" w:type="dxa"/>
            <w:noWrap/>
          </w:tcPr>
          <w:p w14:paraId="22041F3F"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242</w:t>
            </w:r>
          </w:p>
        </w:tc>
        <w:tc>
          <w:tcPr>
            <w:tcW w:w="903" w:type="dxa"/>
            <w:noWrap/>
            <w:vAlign w:val="top"/>
          </w:tcPr>
          <w:p w14:paraId="132F808B"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A13EF0" w:rsidRPr="00B37F3E" w14:paraId="5B89FAB4"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2A5929" w14:textId="77777777" w:rsidR="00A13EF0" w:rsidRPr="000D7073" w:rsidRDefault="00A13EF0" w:rsidP="00A13EF0">
            <w:pPr>
              <w:spacing w:line="240" w:lineRule="auto"/>
              <w:rPr>
                <w:rFonts w:ascii="Arial Narrow" w:hAnsi="Arial Narrow"/>
                <w:b/>
                <w:bCs/>
                <w:szCs w:val="20"/>
              </w:rPr>
            </w:pPr>
            <w:r>
              <w:rPr>
                <w:rFonts w:ascii="Arial Narrow" w:hAnsi="Arial Narrow"/>
                <w:b/>
                <w:bCs/>
                <w:szCs w:val="20"/>
              </w:rPr>
              <w:t>2020</w:t>
            </w:r>
          </w:p>
        </w:tc>
        <w:tc>
          <w:tcPr>
            <w:tcW w:w="1047" w:type="dxa"/>
            <w:noWrap/>
          </w:tcPr>
          <w:p w14:paraId="20AB2C8C"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0.0867</w:t>
            </w:r>
          </w:p>
        </w:tc>
        <w:tc>
          <w:tcPr>
            <w:tcW w:w="720" w:type="dxa"/>
            <w:noWrap/>
          </w:tcPr>
          <w:p w14:paraId="61D8C89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442</w:t>
            </w:r>
          </w:p>
        </w:tc>
        <w:tc>
          <w:tcPr>
            <w:tcW w:w="925" w:type="dxa"/>
            <w:noWrap/>
            <w:vAlign w:val="top"/>
          </w:tcPr>
          <w:p w14:paraId="5494C2A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918" w:type="dxa"/>
            <w:gridSpan w:val="2"/>
            <w:noWrap/>
          </w:tcPr>
          <w:p w14:paraId="69FCE43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0.0305</w:t>
            </w:r>
          </w:p>
        </w:tc>
        <w:tc>
          <w:tcPr>
            <w:tcW w:w="677" w:type="dxa"/>
            <w:noWrap/>
          </w:tcPr>
          <w:p w14:paraId="25CC5133"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283</w:t>
            </w:r>
          </w:p>
        </w:tc>
        <w:tc>
          <w:tcPr>
            <w:tcW w:w="918" w:type="dxa"/>
            <w:noWrap/>
            <w:vAlign w:val="top"/>
          </w:tcPr>
          <w:p w14:paraId="2A53D9FC"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918" w:type="dxa"/>
            <w:gridSpan w:val="2"/>
            <w:noWrap/>
          </w:tcPr>
          <w:p w14:paraId="6DDE64D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0.0354</w:t>
            </w:r>
          </w:p>
        </w:tc>
        <w:tc>
          <w:tcPr>
            <w:tcW w:w="684" w:type="dxa"/>
            <w:noWrap/>
          </w:tcPr>
          <w:p w14:paraId="07CEC90C"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231</w:t>
            </w:r>
          </w:p>
        </w:tc>
        <w:tc>
          <w:tcPr>
            <w:tcW w:w="903" w:type="dxa"/>
            <w:noWrap/>
            <w:vAlign w:val="top"/>
          </w:tcPr>
          <w:p w14:paraId="2303957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0D7073" w:rsidRPr="000D7073" w14:paraId="259590CC"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5763AAA0" w14:textId="77777777" w:rsidR="000D7073" w:rsidRPr="000D7073" w:rsidRDefault="000D7073" w:rsidP="007D30B3">
            <w:pPr>
              <w:spacing w:line="240" w:lineRule="auto"/>
              <w:rPr>
                <w:rFonts w:ascii="Arial Narrow" w:hAnsi="Arial Narrow"/>
                <w:b/>
                <w:bCs/>
                <w:szCs w:val="20"/>
              </w:rPr>
            </w:pPr>
            <w:r w:rsidRPr="000D7073">
              <w:rPr>
                <w:rFonts w:ascii="Arial Narrow" w:hAnsi="Arial Narrow"/>
                <w:b/>
                <w:bCs/>
                <w:szCs w:val="20"/>
              </w:rPr>
              <w:t>Retreatment</w:t>
            </w:r>
          </w:p>
        </w:tc>
      </w:tr>
      <w:tr w:rsidR="00A13EF0" w:rsidRPr="00B37F3E" w14:paraId="5A2D8A5C"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E09F53"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1047" w:type="dxa"/>
            <w:noWrap/>
          </w:tcPr>
          <w:p w14:paraId="454D1C5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0.0286</w:t>
            </w:r>
          </w:p>
        </w:tc>
        <w:tc>
          <w:tcPr>
            <w:tcW w:w="720" w:type="dxa"/>
            <w:noWrap/>
          </w:tcPr>
          <w:p w14:paraId="3A45836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146</w:t>
            </w:r>
          </w:p>
        </w:tc>
        <w:tc>
          <w:tcPr>
            <w:tcW w:w="925" w:type="dxa"/>
            <w:noWrap/>
            <w:vAlign w:val="top"/>
          </w:tcPr>
          <w:p w14:paraId="17D011E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918" w:type="dxa"/>
            <w:gridSpan w:val="2"/>
            <w:noWrap/>
          </w:tcPr>
          <w:p w14:paraId="244B262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0.0103</w:t>
            </w:r>
          </w:p>
        </w:tc>
        <w:tc>
          <w:tcPr>
            <w:tcW w:w="677" w:type="dxa"/>
            <w:noWrap/>
          </w:tcPr>
          <w:p w14:paraId="720292B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96</w:t>
            </w:r>
          </w:p>
        </w:tc>
        <w:tc>
          <w:tcPr>
            <w:tcW w:w="918" w:type="dxa"/>
            <w:noWrap/>
            <w:vAlign w:val="top"/>
          </w:tcPr>
          <w:p w14:paraId="67C317F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918" w:type="dxa"/>
            <w:gridSpan w:val="2"/>
            <w:noWrap/>
          </w:tcPr>
          <w:p w14:paraId="427B8CC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0.0001</w:t>
            </w:r>
          </w:p>
        </w:tc>
        <w:tc>
          <w:tcPr>
            <w:tcW w:w="684" w:type="dxa"/>
            <w:noWrap/>
          </w:tcPr>
          <w:p w14:paraId="18D4F95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75</w:t>
            </w:r>
          </w:p>
        </w:tc>
        <w:tc>
          <w:tcPr>
            <w:tcW w:w="903" w:type="dxa"/>
            <w:noWrap/>
            <w:vAlign w:val="top"/>
          </w:tcPr>
          <w:p w14:paraId="3D6EAE9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r w:rsidR="00A13EF0" w:rsidRPr="00B37F3E" w14:paraId="240C75BE"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21D6A6"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1047" w:type="dxa"/>
            <w:noWrap/>
          </w:tcPr>
          <w:p w14:paraId="4D344F0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0.0273</w:t>
            </w:r>
          </w:p>
        </w:tc>
        <w:tc>
          <w:tcPr>
            <w:tcW w:w="720" w:type="dxa"/>
            <w:noWrap/>
          </w:tcPr>
          <w:p w14:paraId="6AC7DC1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139</w:t>
            </w:r>
          </w:p>
        </w:tc>
        <w:tc>
          <w:tcPr>
            <w:tcW w:w="925" w:type="dxa"/>
            <w:noWrap/>
            <w:vAlign w:val="top"/>
          </w:tcPr>
          <w:p w14:paraId="10541CF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918" w:type="dxa"/>
            <w:gridSpan w:val="2"/>
            <w:noWrap/>
          </w:tcPr>
          <w:p w14:paraId="05E77D0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0.0099</w:t>
            </w:r>
          </w:p>
        </w:tc>
        <w:tc>
          <w:tcPr>
            <w:tcW w:w="677" w:type="dxa"/>
            <w:noWrap/>
          </w:tcPr>
          <w:p w14:paraId="1CB36A5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92</w:t>
            </w:r>
          </w:p>
        </w:tc>
        <w:tc>
          <w:tcPr>
            <w:tcW w:w="918" w:type="dxa"/>
            <w:noWrap/>
            <w:vAlign w:val="top"/>
          </w:tcPr>
          <w:p w14:paraId="2A02DFA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918" w:type="dxa"/>
            <w:gridSpan w:val="2"/>
            <w:noWrap/>
          </w:tcPr>
          <w:p w14:paraId="4B49BF1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0.0001</w:t>
            </w:r>
          </w:p>
        </w:tc>
        <w:tc>
          <w:tcPr>
            <w:tcW w:w="684" w:type="dxa"/>
            <w:noWrap/>
          </w:tcPr>
          <w:p w14:paraId="67339CA8"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74</w:t>
            </w:r>
          </w:p>
        </w:tc>
        <w:tc>
          <w:tcPr>
            <w:tcW w:w="903" w:type="dxa"/>
            <w:noWrap/>
            <w:vAlign w:val="top"/>
          </w:tcPr>
          <w:p w14:paraId="420DBCB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r w:rsidR="00A13EF0" w:rsidRPr="00B37F3E" w14:paraId="08020439"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0DD0A5"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1047" w:type="dxa"/>
            <w:noWrap/>
          </w:tcPr>
          <w:p w14:paraId="6609FC8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0.0251</w:t>
            </w:r>
          </w:p>
        </w:tc>
        <w:tc>
          <w:tcPr>
            <w:tcW w:w="720" w:type="dxa"/>
            <w:noWrap/>
          </w:tcPr>
          <w:p w14:paraId="2829451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128</w:t>
            </w:r>
          </w:p>
        </w:tc>
        <w:tc>
          <w:tcPr>
            <w:tcW w:w="925" w:type="dxa"/>
            <w:noWrap/>
            <w:vAlign w:val="top"/>
          </w:tcPr>
          <w:p w14:paraId="524C8E3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918" w:type="dxa"/>
            <w:gridSpan w:val="2"/>
            <w:noWrap/>
          </w:tcPr>
          <w:p w14:paraId="5DF8044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0.0089</w:t>
            </w:r>
          </w:p>
        </w:tc>
        <w:tc>
          <w:tcPr>
            <w:tcW w:w="677" w:type="dxa"/>
            <w:noWrap/>
          </w:tcPr>
          <w:p w14:paraId="0EC827A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83</w:t>
            </w:r>
          </w:p>
        </w:tc>
        <w:tc>
          <w:tcPr>
            <w:tcW w:w="918" w:type="dxa"/>
            <w:noWrap/>
            <w:vAlign w:val="top"/>
          </w:tcPr>
          <w:p w14:paraId="2FA5023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918" w:type="dxa"/>
            <w:gridSpan w:val="2"/>
            <w:noWrap/>
          </w:tcPr>
          <w:p w14:paraId="6851B5D7"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0.0001</w:t>
            </w:r>
          </w:p>
        </w:tc>
        <w:tc>
          <w:tcPr>
            <w:tcW w:w="684" w:type="dxa"/>
            <w:noWrap/>
          </w:tcPr>
          <w:p w14:paraId="21B9E11C"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67</w:t>
            </w:r>
          </w:p>
        </w:tc>
        <w:tc>
          <w:tcPr>
            <w:tcW w:w="903" w:type="dxa"/>
            <w:noWrap/>
            <w:vAlign w:val="top"/>
          </w:tcPr>
          <w:p w14:paraId="72FDA72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r w:rsidR="00A13EF0" w:rsidRPr="00B37F3E" w14:paraId="171653B1"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68A0CC"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2020 - 2030</w:t>
            </w:r>
          </w:p>
        </w:tc>
        <w:tc>
          <w:tcPr>
            <w:tcW w:w="1047" w:type="dxa"/>
            <w:noWrap/>
          </w:tcPr>
          <w:p w14:paraId="58EDA4C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0.0239</w:t>
            </w:r>
          </w:p>
        </w:tc>
        <w:tc>
          <w:tcPr>
            <w:tcW w:w="720" w:type="dxa"/>
            <w:noWrap/>
          </w:tcPr>
          <w:p w14:paraId="2FD63025"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122</w:t>
            </w:r>
          </w:p>
        </w:tc>
        <w:tc>
          <w:tcPr>
            <w:tcW w:w="925" w:type="dxa"/>
            <w:noWrap/>
            <w:vAlign w:val="top"/>
          </w:tcPr>
          <w:p w14:paraId="4701BF7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918" w:type="dxa"/>
            <w:gridSpan w:val="2"/>
            <w:noWrap/>
          </w:tcPr>
          <w:p w14:paraId="291B8277"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0.0084</w:t>
            </w:r>
          </w:p>
        </w:tc>
        <w:tc>
          <w:tcPr>
            <w:tcW w:w="677" w:type="dxa"/>
            <w:noWrap/>
          </w:tcPr>
          <w:p w14:paraId="1F68CC3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78</w:t>
            </w:r>
          </w:p>
        </w:tc>
        <w:tc>
          <w:tcPr>
            <w:tcW w:w="918" w:type="dxa"/>
            <w:noWrap/>
            <w:vAlign w:val="top"/>
          </w:tcPr>
          <w:p w14:paraId="126F7B0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918" w:type="dxa"/>
            <w:gridSpan w:val="2"/>
            <w:noWrap/>
          </w:tcPr>
          <w:p w14:paraId="59CE961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0.0002</w:t>
            </w:r>
          </w:p>
        </w:tc>
        <w:tc>
          <w:tcPr>
            <w:tcW w:w="684" w:type="dxa"/>
            <w:noWrap/>
          </w:tcPr>
          <w:p w14:paraId="65613AE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64</w:t>
            </w:r>
          </w:p>
        </w:tc>
        <w:tc>
          <w:tcPr>
            <w:tcW w:w="903" w:type="dxa"/>
            <w:noWrap/>
            <w:vAlign w:val="top"/>
          </w:tcPr>
          <w:p w14:paraId="5E1CEF5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bl>
    <w:p w14:paraId="4E956F89" w14:textId="77777777" w:rsidR="00B37F3E" w:rsidRDefault="00B37F3E" w:rsidP="00B37F3E"/>
    <w:p w14:paraId="55E4CA7D" w14:textId="77777777" w:rsidR="00B37F3E" w:rsidRDefault="00B37F3E">
      <w:pPr>
        <w:spacing w:line="240" w:lineRule="auto"/>
      </w:pPr>
      <w:r>
        <w:br w:type="page"/>
      </w:r>
    </w:p>
    <w:p w14:paraId="4538F095" w14:textId="77777777" w:rsidR="00B37F3E" w:rsidRDefault="00B37F3E" w:rsidP="00B37F3E"/>
    <w:p w14:paraId="34724F6F" w14:textId="77777777" w:rsidR="000D7073" w:rsidRDefault="000D7073" w:rsidP="000D7073">
      <w:pPr>
        <w:pStyle w:val="Heading6"/>
      </w:pPr>
      <w:bookmarkStart w:id="1088" w:name="_Toc484092533"/>
      <w:bookmarkStart w:id="1089" w:name="_Toc484172738"/>
      <w:bookmarkStart w:id="1090" w:name="_Toc484183085"/>
      <w:bookmarkStart w:id="1091" w:name="_Toc485126606"/>
      <w:r>
        <w:t>SCG</w:t>
      </w:r>
      <w:bookmarkEnd w:id="1088"/>
      <w:bookmarkEnd w:id="1089"/>
      <w:bookmarkEnd w:id="1090"/>
      <w:bookmarkEnd w:id="1091"/>
    </w:p>
    <w:p w14:paraId="205E1DDB" w14:textId="77777777" w:rsidR="000D7073" w:rsidRDefault="00BB59F5" w:rsidP="000D7073">
      <w:pPr>
        <w:pStyle w:val="Caption"/>
      </w:pPr>
      <w:bookmarkStart w:id="1092" w:name="_Toc484436987"/>
      <w:bookmarkStart w:id="1093" w:name="_Toc485125626"/>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5</w:t>
      </w:r>
      <w:r w:rsidR="00272F76">
        <w:rPr>
          <w:noProof/>
        </w:rPr>
        <w:fldChar w:fldCharType="end"/>
      </w:r>
      <w:r w:rsidRPr="006F2DA9">
        <w:t xml:space="preserve">. </w:t>
      </w:r>
      <w:r w:rsidR="000D7073">
        <w:t>SC</w:t>
      </w:r>
      <w:r w:rsidR="00AE06FA">
        <w:t>G</w:t>
      </w:r>
      <w:r w:rsidR="000D7073">
        <w:t xml:space="preserve"> Households Treated</w:t>
      </w:r>
      <w:bookmarkEnd w:id="1092"/>
      <w:bookmarkEnd w:id="1093"/>
    </w:p>
    <w:tbl>
      <w:tblPr>
        <w:tblStyle w:val="EnergyTable1"/>
        <w:tblW w:w="6198" w:type="dxa"/>
        <w:tblLook w:val="04A0" w:firstRow="1" w:lastRow="0" w:firstColumn="1" w:lastColumn="0" w:noHBand="0" w:noVBand="1"/>
      </w:tblPr>
      <w:tblGrid>
        <w:gridCol w:w="1350"/>
        <w:gridCol w:w="1616"/>
        <w:gridCol w:w="1616"/>
        <w:gridCol w:w="1616"/>
      </w:tblGrid>
      <w:tr w:rsidR="000D7073" w:rsidRPr="00AE06FA" w14:paraId="6376177F" w14:textId="77777777" w:rsidTr="007D30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5AC2DCE" w14:textId="77777777" w:rsidR="000D7073" w:rsidRPr="00AE06FA" w:rsidRDefault="000D7073" w:rsidP="007D30B3">
            <w:pPr>
              <w:spacing w:line="240" w:lineRule="auto"/>
              <w:rPr>
                <w:rFonts w:ascii="Arial Narrow" w:hAnsi="Arial Narrow"/>
                <w:bCs/>
                <w:szCs w:val="20"/>
              </w:rPr>
            </w:pPr>
          </w:p>
        </w:tc>
        <w:tc>
          <w:tcPr>
            <w:tcW w:w="1616" w:type="dxa"/>
            <w:noWrap/>
            <w:hideMark/>
          </w:tcPr>
          <w:p w14:paraId="49660A1B" w14:textId="77777777" w:rsidR="000D7073" w:rsidRPr="00AE06FA"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Single Family </w:t>
            </w:r>
          </w:p>
        </w:tc>
        <w:tc>
          <w:tcPr>
            <w:tcW w:w="1616" w:type="dxa"/>
            <w:noWrap/>
            <w:hideMark/>
          </w:tcPr>
          <w:p w14:paraId="6A9E9894" w14:textId="77777777" w:rsidR="000D7073" w:rsidRPr="00AE06FA"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AE06FA">
              <w:rPr>
                <w:rFonts w:ascii="Arial Narrow" w:hAnsi="Arial Narrow"/>
                <w:szCs w:val="20"/>
              </w:rPr>
              <w:t>Multifamily</w:t>
            </w:r>
          </w:p>
        </w:tc>
        <w:tc>
          <w:tcPr>
            <w:tcW w:w="1616" w:type="dxa"/>
            <w:noWrap/>
            <w:hideMark/>
          </w:tcPr>
          <w:p w14:paraId="61505FBF" w14:textId="77777777" w:rsidR="000D7073" w:rsidRPr="00AE06FA"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Mobile Home</w:t>
            </w:r>
          </w:p>
        </w:tc>
      </w:tr>
      <w:tr w:rsidR="000D7073" w:rsidRPr="00AE06FA" w14:paraId="2612F89E"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44705FAB" w14:textId="77777777" w:rsidR="000D7073" w:rsidRPr="00AE06FA" w:rsidRDefault="000D7073" w:rsidP="007D30B3">
            <w:pPr>
              <w:spacing w:line="240" w:lineRule="auto"/>
              <w:rPr>
                <w:rFonts w:ascii="Arial Narrow" w:hAnsi="Arial Narrow"/>
                <w:b/>
                <w:szCs w:val="20"/>
              </w:rPr>
            </w:pPr>
            <w:r w:rsidRPr="00AE06FA">
              <w:rPr>
                <w:rFonts w:ascii="Arial Narrow" w:hAnsi="Arial Narrow"/>
                <w:b/>
                <w:szCs w:val="20"/>
              </w:rPr>
              <w:t>First Time Treatment</w:t>
            </w:r>
          </w:p>
        </w:tc>
      </w:tr>
      <w:tr w:rsidR="00AE06FA" w:rsidRPr="00AE06FA" w14:paraId="0CBDA42D"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0D8828A"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2017</w:t>
            </w:r>
          </w:p>
        </w:tc>
        <w:tc>
          <w:tcPr>
            <w:tcW w:w="1616" w:type="dxa"/>
            <w:noWrap/>
            <w:vAlign w:val="bottom"/>
          </w:tcPr>
          <w:p w14:paraId="4D14CA5D"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46,528 </w:t>
            </w:r>
          </w:p>
        </w:tc>
        <w:tc>
          <w:tcPr>
            <w:tcW w:w="1616" w:type="dxa"/>
            <w:noWrap/>
            <w:vAlign w:val="bottom"/>
          </w:tcPr>
          <w:p w14:paraId="31A430A5"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21,751 </w:t>
            </w:r>
          </w:p>
        </w:tc>
        <w:tc>
          <w:tcPr>
            <w:tcW w:w="1616" w:type="dxa"/>
            <w:noWrap/>
            <w:vAlign w:val="bottom"/>
          </w:tcPr>
          <w:p w14:paraId="02EB0223"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4,739 </w:t>
            </w:r>
          </w:p>
        </w:tc>
      </w:tr>
      <w:tr w:rsidR="00AE06FA" w:rsidRPr="00AE06FA" w14:paraId="25B89FE5"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2501350"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2018</w:t>
            </w:r>
          </w:p>
        </w:tc>
        <w:tc>
          <w:tcPr>
            <w:tcW w:w="1616" w:type="dxa"/>
            <w:noWrap/>
            <w:vAlign w:val="bottom"/>
          </w:tcPr>
          <w:p w14:paraId="3501C10A"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48,798 </w:t>
            </w:r>
          </w:p>
        </w:tc>
        <w:tc>
          <w:tcPr>
            <w:tcW w:w="1616" w:type="dxa"/>
            <w:noWrap/>
            <w:vAlign w:val="bottom"/>
          </w:tcPr>
          <w:p w14:paraId="1F577726"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22,812 </w:t>
            </w:r>
          </w:p>
        </w:tc>
        <w:tc>
          <w:tcPr>
            <w:tcW w:w="1616" w:type="dxa"/>
            <w:noWrap/>
            <w:vAlign w:val="bottom"/>
          </w:tcPr>
          <w:p w14:paraId="7982B076"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4,970 </w:t>
            </w:r>
          </w:p>
        </w:tc>
      </w:tr>
      <w:tr w:rsidR="00AE06FA" w:rsidRPr="00AE06FA" w14:paraId="37FAFF61"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6DAE5F0"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2019</w:t>
            </w:r>
          </w:p>
        </w:tc>
        <w:tc>
          <w:tcPr>
            <w:tcW w:w="1616" w:type="dxa"/>
            <w:noWrap/>
            <w:vAlign w:val="bottom"/>
          </w:tcPr>
          <w:p w14:paraId="06B4088D"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51,182 </w:t>
            </w:r>
          </w:p>
        </w:tc>
        <w:tc>
          <w:tcPr>
            <w:tcW w:w="1616" w:type="dxa"/>
            <w:noWrap/>
            <w:vAlign w:val="bottom"/>
          </w:tcPr>
          <w:p w14:paraId="43B8ACF7"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23,927 </w:t>
            </w:r>
          </w:p>
        </w:tc>
        <w:tc>
          <w:tcPr>
            <w:tcW w:w="1616" w:type="dxa"/>
            <w:noWrap/>
            <w:vAlign w:val="bottom"/>
          </w:tcPr>
          <w:p w14:paraId="1ED04BDC"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5,213 </w:t>
            </w:r>
          </w:p>
        </w:tc>
      </w:tr>
      <w:tr w:rsidR="00AE06FA" w:rsidRPr="00AE06FA" w14:paraId="5BF70B3D"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323F884"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2020</w:t>
            </w:r>
          </w:p>
        </w:tc>
        <w:tc>
          <w:tcPr>
            <w:tcW w:w="1616" w:type="dxa"/>
            <w:noWrap/>
            <w:vAlign w:val="bottom"/>
          </w:tcPr>
          <w:p w14:paraId="0601B659"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46,528 </w:t>
            </w:r>
          </w:p>
        </w:tc>
        <w:tc>
          <w:tcPr>
            <w:tcW w:w="1616" w:type="dxa"/>
            <w:noWrap/>
            <w:vAlign w:val="bottom"/>
          </w:tcPr>
          <w:p w14:paraId="0ABD385F"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21,751 </w:t>
            </w:r>
          </w:p>
        </w:tc>
        <w:tc>
          <w:tcPr>
            <w:tcW w:w="1616" w:type="dxa"/>
            <w:noWrap/>
            <w:vAlign w:val="bottom"/>
          </w:tcPr>
          <w:p w14:paraId="1828454B"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4,739 </w:t>
            </w:r>
          </w:p>
        </w:tc>
      </w:tr>
      <w:tr w:rsidR="000D7073" w:rsidRPr="00AE06FA" w14:paraId="0200043F"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2F76F775" w14:textId="77777777" w:rsidR="000D7073" w:rsidRPr="00AE06FA" w:rsidRDefault="000D7073" w:rsidP="007D30B3">
            <w:pPr>
              <w:spacing w:line="240" w:lineRule="auto"/>
              <w:rPr>
                <w:rFonts w:ascii="Arial Narrow" w:hAnsi="Arial Narrow"/>
                <w:b/>
                <w:szCs w:val="20"/>
              </w:rPr>
            </w:pPr>
            <w:r w:rsidRPr="00AE06FA">
              <w:rPr>
                <w:rFonts w:ascii="Arial Narrow" w:hAnsi="Arial Narrow"/>
                <w:b/>
                <w:szCs w:val="20"/>
              </w:rPr>
              <w:t>Retreatment</w:t>
            </w:r>
          </w:p>
        </w:tc>
      </w:tr>
      <w:tr w:rsidR="00AE06FA" w:rsidRPr="00AE06FA" w14:paraId="17732E54"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55AF95F7"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2017</w:t>
            </w:r>
          </w:p>
        </w:tc>
        <w:tc>
          <w:tcPr>
            <w:tcW w:w="1616" w:type="dxa"/>
            <w:noWrap/>
            <w:vAlign w:val="bottom"/>
          </w:tcPr>
          <w:p w14:paraId="4C18FD99"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29,813 </w:t>
            </w:r>
          </w:p>
        </w:tc>
        <w:tc>
          <w:tcPr>
            <w:tcW w:w="1616" w:type="dxa"/>
            <w:noWrap/>
            <w:vAlign w:val="bottom"/>
          </w:tcPr>
          <w:p w14:paraId="75C5B164"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13,937 </w:t>
            </w:r>
          </w:p>
        </w:tc>
        <w:tc>
          <w:tcPr>
            <w:tcW w:w="1616" w:type="dxa"/>
            <w:noWrap/>
            <w:vAlign w:val="bottom"/>
          </w:tcPr>
          <w:p w14:paraId="3C334F3A"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3,037 </w:t>
            </w:r>
          </w:p>
        </w:tc>
      </w:tr>
      <w:tr w:rsidR="00AE06FA" w:rsidRPr="00AE06FA" w14:paraId="1ECB052D"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38C50038"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2018</w:t>
            </w:r>
          </w:p>
        </w:tc>
        <w:tc>
          <w:tcPr>
            <w:tcW w:w="1616" w:type="dxa"/>
            <w:noWrap/>
            <w:vAlign w:val="bottom"/>
          </w:tcPr>
          <w:p w14:paraId="78A6248E"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31,267 </w:t>
            </w:r>
          </w:p>
        </w:tc>
        <w:tc>
          <w:tcPr>
            <w:tcW w:w="1616" w:type="dxa"/>
            <w:noWrap/>
            <w:vAlign w:val="bottom"/>
          </w:tcPr>
          <w:p w14:paraId="18D54EFA"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14,617 </w:t>
            </w:r>
          </w:p>
        </w:tc>
        <w:tc>
          <w:tcPr>
            <w:tcW w:w="1616" w:type="dxa"/>
            <w:noWrap/>
            <w:vAlign w:val="bottom"/>
          </w:tcPr>
          <w:p w14:paraId="4A439C2B"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3,185 </w:t>
            </w:r>
          </w:p>
        </w:tc>
      </w:tr>
      <w:tr w:rsidR="00AE06FA" w:rsidRPr="00AE06FA" w14:paraId="564B8920"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6D9243DF"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2019</w:t>
            </w:r>
          </w:p>
        </w:tc>
        <w:tc>
          <w:tcPr>
            <w:tcW w:w="1616" w:type="dxa"/>
            <w:noWrap/>
            <w:vAlign w:val="bottom"/>
          </w:tcPr>
          <w:p w14:paraId="1F42A884"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32,793 </w:t>
            </w:r>
          </w:p>
        </w:tc>
        <w:tc>
          <w:tcPr>
            <w:tcW w:w="1616" w:type="dxa"/>
            <w:noWrap/>
            <w:vAlign w:val="bottom"/>
          </w:tcPr>
          <w:p w14:paraId="5B479602"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15,330 </w:t>
            </w:r>
          </w:p>
        </w:tc>
        <w:tc>
          <w:tcPr>
            <w:tcW w:w="1616" w:type="dxa"/>
            <w:noWrap/>
            <w:vAlign w:val="bottom"/>
          </w:tcPr>
          <w:p w14:paraId="6452C48F"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3,340 </w:t>
            </w:r>
          </w:p>
        </w:tc>
      </w:tr>
      <w:tr w:rsidR="00AE06FA" w:rsidRPr="00AE06FA" w14:paraId="748C6C5B"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2AD86F09"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2020</w:t>
            </w:r>
          </w:p>
        </w:tc>
        <w:tc>
          <w:tcPr>
            <w:tcW w:w="1616" w:type="dxa"/>
            <w:noWrap/>
            <w:vAlign w:val="bottom"/>
          </w:tcPr>
          <w:p w14:paraId="4C288103"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34,395 </w:t>
            </w:r>
          </w:p>
        </w:tc>
        <w:tc>
          <w:tcPr>
            <w:tcW w:w="1616" w:type="dxa"/>
            <w:noWrap/>
            <w:vAlign w:val="bottom"/>
          </w:tcPr>
          <w:p w14:paraId="48EA3AA3"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16,079 </w:t>
            </w:r>
          </w:p>
        </w:tc>
        <w:tc>
          <w:tcPr>
            <w:tcW w:w="1616" w:type="dxa"/>
            <w:noWrap/>
            <w:vAlign w:val="bottom"/>
          </w:tcPr>
          <w:p w14:paraId="5CD8644B"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3,503 </w:t>
            </w:r>
          </w:p>
        </w:tc>
      </w:tr>
      <w:tr w:rsidR="00AE06FA" w:rsidRPr="00AE06FA" w14:paraId="130A01FD"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4A25DA77"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2021-2030</w:t>
            </w:r>
          </w:p>
        </w:tc>
        <w:tc>
          <w:tcPr>
            <w:tcW w:w="1616" w:type="dxa"/>
            <w:noWrap/>
            <w:vAlign w:val="bottom"/>
          </w:tcPr>
          <w:p w14:paraId="293AE75D"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81,142 </w:t>
            </w:r>
          </w:p>
        </w:tc>
        <w:tc>
          <w:tcPr>
            <w:tcW w:w="1616" w:type="dxa"/>
            <w:noWrap/>
            <w:vAlign w:val="bottom"/>
          </w:tcPr>
          <w:p w14:paraId="53CAB659"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37,932 </w:t>
            </w:r>
          </w:p>
        </w:tc>
        <w:tc>
          <w:tcPr>
            <w:tcW w:w="1616" w:type="dxa"/>
            <w:noWrap/>
            <w:vAlign w:val="bottom"/>
          </w:tcPr>
          <w:p w14:paraId="22C24CD3"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8,265 </w:t>
            </w:r>
          </w:p>
        </w:tc>
      </w:tr>
    </w:tbl>
    <w:p w14:paraId="01FAF765" w14:textId="77777777" w:rsidR="000D7073" w:rsidRDefault="000D7073" w:rsidP="000D7073">
      <w:pPr>
        <w:spacing w:line="240" w:lineRule="auto"/>
        <w:jc w:val="center"/>
      </w:pPr>
      <w:r>
        <w:t>*Annual treatment</w:t>
      </w:r>
    </w:p>
    <w:p w14:paraId="13F17ED0" w14:textId="77777777" w:rsidR="000D7073" w:rsidRDefault="000D7073" w:rsidP="000D7073"/>
    <w:p w14:paraId="329AAFFB" w14:textId="77777777" w:rsidR="000D7073" w:rsidRPr="00E86334" w:rsidRDefault="000D7073" w:rsidP="000D7073"/>
    <w:p w14:paraId="735E066C" w14:textId="77777777" w:rsidR="000D7073" w:rsidRDefault="00BB59F5" w:rsidP="000D7073">
      <w:pPr>
        <w:pStyle w:val="Caption"/>
      </w:pPr>
      <w:bookmarkStart w:id="1094" w:name="_Toc484436988"/>
      <w:bookmarkStart w:id="1095" w:name="_Toc485125627"/>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6</w:t>
      </w:r>
      <w:r w:rsidR="00272F76">
        <w:rPr>
          <w:noProof/>
        </w:rPr>
        <w:fldChar w:fldCharType="end"/>
      </w:r>
      <w:r w:rsidRPr="006F2DA9">
        <w:t xml:space="preserve">. </w:t>
      </w:r>
      <w:r w:rsidR="000D7073">
        <w:t>S</w:t>
      </w:r>
      <w:r w:rsidR="00AE06FA">
        <w:t>CG</w:t>
      </w:r>
      <w:r w:rsidR="000D7073">
        <w:t xml:space="preserve"> UES</w:t>
      </w:r>
      <w:bookmarkEnd w:id="1094"/>
      <w:bookmarkEnd w:id="1095"/>
    </w:p>
    <w:tbl>
      <w:tblPr>
        <w:tblStyle w:val="EnergyTable1"/>
        <w:tblW w:w="9150" w:type="dxa"/>
        <w:tblLayout w:type="fixed"/>
        <w:tblLook w:val="04A0" w:firstRow="1" w:lastRow="0" w:firstColumn="1" w:lastColumn="0" w:noHBand="0" w:noVBand="1"/>
      </w:tblPr>
      <w:tblGrid>
        <w:gridCol w:w="1440"/>
        <w:gridCol w:w="1047"/>
        <w:gridCol w:w="720"/>
        <w:gridCol w:w="925"/>
        <w:gridCol w:w="10"/>
        <w:gridCol w:w="908"/>
        <w:gridCol w:w="677"/>
        <w:gridCol w:w="918"/>
        <w:gridCol w:w="17"/>
        <w:gridCol w:w="901"/>
        <w:gridCol w:w="684"/>
        <w:gridCol w:w="903"/>
      </w:tblGrid>
      <w:tr w:rsidR="000D7073" w:rsidRPr="006D01BF" w14:paraId="728E237E" w14:textId="77777777" w:rsidTr="006D01B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29600E" w14:textId="77777777" w:rsidR="000D7073" w:rsidRPr="000D7073" w:rsidRDefault="000D7073" w:rsidP="006D01BF">
            <w:pPr>
              <w:spacing w:line="240" w:lineRule="auto"/>
              <w:rPr>
                <w:rFonts w:ascii="Arial Narrow" w:hAnsi="Arial Narrow"/>
                <w:szCs w:val="20"/>
              </w:rPr>
            </w:pPr>
          </w:p>
        </w:tc>
        <w:tc>
          <w:tcPr>
            <w:tcW w:w="2702" w:type="dxa"/>
            <w:gridSpan w:val="4"/>
            <w:noWrap/>
            <w:hideMark/>
          </w:tcPr>
          <w:p w14:paraId="4356FEFC"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Single Family</w:t>
            </w:r>
          </w:p>
        </w:tc>
        <w:tc>
          <w:tcPr>
            <w:tcW w:w="2520" w:type="dxa"/>
            <w:gridSpan w:val="4"/>
            <w:noWrap/>
            <w:hideMark/>
          </w:tcPr>
          <w:p w14:paraId="7B80D3CC"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2488" w:type="dxa"/>
            <w:gridSpan w:val="3"/>
            <w:noWrap/>
            <w:hideMark/>
          </w:tcPr>
          <w:p w14:paraId="184A398A"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Mobile Home</w:t>
            </w:r>
          </w:p>
        </w:tc>
      </w:tr>
      <w:tr w:rsidR="000D7073" w:rsidRPr="006D01BF" w14:paraId="4555276B"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F49A19" w14:textId="77777777" w:rsidR="000D7073" w:rsidRPr="000D7073" w:rsidRDefault="000D7073" w:rsidP="006D01BF">
            <w:pPr>
              <w:spacing w:line="240" w:lineRule="auto"/>
              <w:rPr>
                <w:rFonts w:ascii="Arial Narrow" w:hAnsi="Arial Narrow"/>
                <w:b/>
                <w:bCs/>
                <w:szCs w:val="20"/>
              </w:rPr>
            </w:pPr>
          </w:p>
        </w:tc>
        <w:tc>
          <w:tcPr>
            <w:tcW w:w="1047" w:type="dxa"/>
            <w:noWrap/>
            <w:hideMark/>
          </w:tcPr>
          <w:p w14:paraId="2FC89EB4"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720" w:type="dxa"/>
            <w:noWrap/>
            <w:hideMark/>
          </w:tcPr>
          <w:p w14:paraId="3E7D2F44"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25" w:type="dxa"/>
            <w:noWrap/>
            <w:hideMark/>
          </w:tcPr>
          <w:p w14:paraId="638B0F4E"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68D707BD"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77" w:type="dxa"/>
            <w:noWrap/>
            <w:hideMark/>
          </w:tcPr>
          <w:p w14:paraId="1C50C6C9"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18" w:type="dxa"/>
            <w:noWrap/>
            <w:hideMark/>
          </w:tcPr>
          <w:p w14:paraId="61E6E0CA"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714A8211"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84" w:type="dxa"/>
            <w:noWrap/>
            <w:hideMark/>
          </w:tcPr>
          <w:p w14:paraId="526CBA77"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03" w:type="dxa"/>
            <w:noWrap/>
            <w:hideMark/>
          </w:tcPr>
          <w:p w14:paraId="303A3D79"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6D01BF" w14:paraId="25AD8739"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6ED61341"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First Time Treatment</w:t>
            </w:r>
          </w:p>
        </w:tc>
      </w:tr>
      <w:tr w:rsidR="00A13EF0" w:rsidRPr="006D01BF" w14:paraId="0FF4E03D"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294AAF"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1047" w:type="dxa"/>
            <w:noWrap/>
            <w:vAlign w:val="top"/>
          </w:tcPr>
          <w:p w14:paraId="0422DF2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720" w:type="dxa"/>
            <w:noWrap/>
            <w:vAlign w:val="top"/>
          </w:tcPr>
          <w:p w14:paraId="48D7FB97"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925" w:type="dxa"/>
            <w:noWrap/>
          </w:tcPr>
          <w:p w14:paraId="20DBA59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918" w:type="dxa"/>
            <w:gridSpan w:val="2"/>
            <w:noWrap/>
            <w:vAlign w:val="top"/>
          </w:tcPr>
          <w:p w14:paraId="256BCA7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677" w:type="dxa"/>
            <w:noWrap/>
            <w:vAlign w:val="top"/>
          </w:tcPr>
          <w:p w14:paraId="334273A5"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918" w:type="dxa"/>
            <w:noWrap/>
          </w:tcPr>
          <w:p w14:paraId="175B60ED"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918" w:type="dxa"/>
            <w:gridSpan w:val="2"/>
            <w:noWrap/>
            <w:vAlign w:val="top"/>
          </w:tcPr>
          <w:p w14:paraId="27A231B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684" w:type="dxa"/>
            <w:noWrap/>
            <w:vAlign w:val="top"/>
          </w:tcPr>
          <w:p w14:paraId="145A66F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903" w:type="dxa"/>
            <w:noWrap/>
          </w:tcPr>
          <w:p w14:paraId="6B2BF22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6704ED39"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4B4E90"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1047" w:type="dxa"/>
            <w:noWrap/>
            <w:vAlign w:val="top"/>
          </w:tcPr>
          <w:p w14:paraId="2411D25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720" w:type="dxa"/>
            <w:noWrap/>
            <w:vAlign w:val="top"/>
          </w:tcPr>
          <w:p w14:paraId="5ABE256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925" w:type="dxa"/>
            <w:noWrap/>
          </w:tcPr>
          <w:p w14:paraId="4BAD87D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918" w:type="dxa"/>
            <w:gridSpan w:val="2"/>
            <w:noWrap/>
            <w:vAlign w:val="top"/>
          </w:tcPr>
          <w:p w14:paraId="5B40BEA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677" w:type="dxa"/>
            <w:noWrap/>
            <w:vAlign w:val="top"/>
          </w:tcPr>
          <w:p w14:paraId="5DE02447"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918" w:type="dxa"/>
            <w:noWrap/>
          </w:tcPr>
          <w:p w14:paraId="7ADC966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918" w:type="dxa"/>
            <w:gridSpan w:val="2"/>
            <w:noWrap/>
            <w:vAlign w:val="top"/>
          </w:tcPr>
          <w:p w14:paraId="7B83BD3E"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684" w:type="dxa"/>
            <w:noWrap/>
            <w:vAlign w:val="top"/>
          </w:tcPr>
          <w:p w14:paraId="07FFF83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903" w:type="dxa"/>
            <w:noWrap/>
          </w:tcPr>
          <w:p w14:paraId="01E2709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293A879C"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0D844B"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1047" w:type="dxa"/>
            <w:noWrap/>
            <w:vAlign w:val="top"/>
          </w:tcPr>
          <w:p w14:paraId="789900E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720" w:type="dxa"/>
            <w:noWrap/>
            <w:vAlign w:val="top"/>
          </w:tcPr>
          <w:p w14:paraId="20C42E4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925" w:type="dxa"/>
            <w:noWrap/>
          </w:tcPr>
          <w:p w14:paraId="212F3E2B"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918" w:type="dxa"/>
            <w:gridSpan w:val="2"/>
            <w:noWrap/>
            <w:vAlign w:val="top"/>
          </w:tcPr>
          <w:p w14:paraId="2C70C73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677" w:type="dxa"/>
            <w:noWrap/>
            <w:vAlign w:val="top"/>
          </w:tcPr>
          <w:p w14:paraId="7D969F4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918" w:type="dxa"/>
            <w:noWrap/>
          </w:tcPr>
          <w:p w14:paraId="1668758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918" w:type="dxa"/>
            <w:gridSpan w:val="2"/>
            <w:noWrap/>
            <w:vAlign w:val="top"/>
          </w:tcPr>
          <w:p w14:paraId="4070972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684" w:type="dxa"/>
            <w:noWrap/>
            <w:vAlign w:val="top"/>
          </w:tcPr>
          <w:p w14:paraId="3A62887B"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903" w:type="dxa"/>
            <w:noWrap/>
          </w:tcPr>
          <w:p w14:paraId="711AB91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59C884A9"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713B9F" w14:textId="77777777" w:rsidR="00A13EF0" w:rsidRPr="000D7073" w:rsidRDefault="00A13EF0" w:rsidP="00A13EF0">
            <w:pPr>
              <w:spacing w:line="240" w:lineRule="auto"/>
              <w:rPr>
                <w:rFonts w:ascii="Arial Narrow" w:hAnsi="Arial Narrow"/>
                <w:b/>
                <w:bCs/>
                <w:szCs w:val="20"/>
              </w:rPr>
            </w:pPr>
            <w:r>
              <w:rPr>
                <w:rFonts w:ascii="Arial Narrow" w:hAnsi="Arial Narrow"/>
                <w:b/>
                <w:bCs/>
                <w:szCs w:val="20"/>
              </w:rPr>
              <w:t>2020</w:t>
            </w:r>
          </w:p>
        </w:tc>
        <w:tc>
          <w:tcPr>
            <w:tcW w:w="1047" w:type="dxa"/>
            <w:noWrap/>
            <w:vAlign w:val="top"/>
          </w:tcPr>
          <w:p w14:paraId="2409155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720" w:type="dxa"/>
            <w:noWrap/>
            <w:vAlign w:val="top"/>
          </w:tcPr>
          <w:p w14:paraId="0B843E2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925" w:type="dxa"/>
            <w:noWrap/>
          </w:tcPr>
          <w:p w14:paraId="6B51946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918" w:type="dxa"/>
            <w:gridSpan w:val="2"/>
            <w:noWrap/>
            <w:vAlign w:val="top"/>
          </w:tcPr>
          <w:p w14:paraId="33B6B6F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677" w:type="dxa"/>
            <w:noWrap/>
            <w:vAlign w:val="top"/>
          </w:tcPr>
          <w:p w14:paraId="039503B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918" w:type="dxa"/>
            <w:noWrap/>
          </w:tcPr>
          <w:p w14:paraId="06BC0D8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918" w:type="dxa"/>
            <w:gridSpan w:val="2"/>
            <w:noWrap/>
            <w:vAlign w:val="top"/>
          </w:tcPr>
          <w:p w14:paraId="775F8E3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684" w:type="dxa"/>
            <w:noWrap/>
            <w:vAlign w:val="top"/>
          </w:tcPr>
          <w:p w14:paraId="27DED6B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903" w:type="dxa"/>
            <w:noWrap/>
          </w:tcPr>
          <w:p w14:paraId="2ADF764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E06FA" w:rsidRPr="006D01BF" w14:paraId="2A5160C2"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7C963A8E"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Retreatment</w:t>
            </w:r>
          </w:p>
        </w:tc>
      </w:tr>
      <w:tr w:rsidR="00A13EF0" w:rsidRPr="006D01BF" w14:paraId="383BF60E"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F9C008"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1047" w:type="dxa"/>
            <w:noWrap/>
            <w:vAlign w:val="top"/>
          </w:tcPr>
          <w:p w14:paraId="1E48A64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720" w:type="dxa"/>
            <w:noWrap/>
            <w:vAlign w:val="top"/>
          </w:tcPr>
          <w:p w14:paraId="6420EF67"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925" w:type="dxa"/>
            <w:noWrap/>
          </w:tcPr>
          <w:p w14:paraId="5E8D1FE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918" w:type="dxa"/>
            <w:gridSpan w:val="2"/>
            <w:noWrap/>
            <w:vAlign w:val="top"/>
          </w:tcPr>
          <w:p w14:paraId="670EBB4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677" w:type="dxa"/>
            <w:noWrap/>
            <w:vAlign w:val="top"/>
          </w:tcPr>
          <w:p w14:paraId="3B34BB5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918" w:type="dxa"/>
            <w:noWrap/>
          </w:tcPr>
          <w:p w14:paraId="7103B2D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918" w:type="dxa"/>
            <w:gridSpan w:val="2"/>
            <w:noWrap/>
            <w:vAlign w:val="top"/>
          </w:tcPr>
          <w:p w14:paraId="35F027A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684" w:type="dxa"/>
            <w:noWrap/>
            <w:vAlign w:val="top"/>
          </w:tcPr>
          <w:p w14:paraId="592E648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903" w:type="dxa"/>
            <w:noWrap/>
          </w:tcPr>
          <w:p w14:paraId="63D3324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4DFB87A3"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5B3606"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1047" w:type="dxa"/>
            <w:noWrap/>
            <w:vAlign w:val="top"/>
          </w:tcPr>
          <w:p w14:paraId="1934743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720" w:type="dxa"/>
            <w:noWrap/>
            <w:vAlign w:val="top"/>
          </w:tcPr>
          <w:p w14:paraId="0C5A914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925" w:type="dxa"/>
            <w:noWrap/>
          </w:tcPr>
          <w:p w14:paraId="09845F4F"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918" w:type="dxa"/>
            <w:gridSpan w:val="2"/>
            <w:noWrap/>
            <w:vAlign w:val="top"/>
          </w:tcPr>
          <w:p w14:paraId="36491F9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677" w:type="dxa"/>
            <w:noWrap/>
            <w:vAlign w:val="top"/>
          </w:tcPr>
          <w:p w14:paraId="2E4E6935"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918" w:type="dxa"/>
            <w:noWrap/>
          </w:tcPr>
          <w:p w14:paraId="1126DF5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918" w:type="dxa"/>
            <w:gridSpan w:val="2"/>
            <w:noWrap/>
            <w:vAlign w:val="top"/>
          </w:tcPr>
          <w:p w14:paraId="1B51B75D"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684" w:type="dxa"/>
            <w:noWrap/>
            <w:vAlign w:val="top"/>
          </w:tcPr>
          <w:p w14:paraId="28F42036"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903" w:type="dxa"/>
            <w:noWrap/>
          </w:tcPr>
          <w:p w14:paraId="38847EA6"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50B04BBB"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8F502E"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1047" w:type="dxa"/>
            <w:noWrap/>
            <w:vAlign w:val="top"/>
          </w:tcPr>
          <w:p w14:paraId="2603D7FE"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720" w:type="dxa"/>
            <w:noWrap/>
            <w:vAlign w:val="top"/>
          </w:tcPr>
          <w:p w14:paraId="7C81F89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925" w:type="dxa"/>
            <w:noWrap/>
          </w:tcPr>
          <w:p w14:paraId="212AF0CE"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918" w:type="dxa"/>
            <w:gridSpan w:val="2"/>
            <w:noWrap/>
            <w:vAlign w:val="top"/>
          </w:tcPr>
          <w:p w14:paraId="0764E5F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677" w:type="dxa"/>
            <w:noWrap/>
            <w:vAlign w:val="top"/>
          </w:tcPr>
          <w:p w14:paraId="44D78B2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918" w:type="dxa"/>
            <w:noWrap/>
          </w:tcPr>
          <w:p w14:paraId="1C0311A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918" w:type="dxa"/>
            <w:gridSpan w:val="2"/>
            <w:noWrap/>
            <w:vAlign w:val="top"/>
          </w:tcPr>
          <w:p w14:paraId="3CC8A7AE"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684" w:type="dxa"/>
            <w:noWrap/>
            <w:vAlign w:val="top"/>
          </w:tcPr>
          <w:p w14:paraId="78D595A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903" w:type="dxa"/>
            <w:noWrap/>
          </w:tcPr>
          <w:p w14:paraId="34DB008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5DC929E7" w14:textId="77777777" w:rsidTr="007D30B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656151C"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2020 - 2030</w:t>
            </w:r>
          </w:p>
        </w:tc>
        <w:tc>
          <w:tcPr>
            <w:tcW w:w="1047" w:type="dxa"/>
            <w:noWrap/>
            <w:vAlign w:val="top"/>
          </w:tcPr>
          <w:p w14:paraId="7F749448"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720" w:type="dxa"/>
            <w:noWrap/>
            <w:vAlign w:val="top"/>
          </w:tcPr>
          <w:p w14:paraId="3669887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925" w:type="dxa"/>
            <w:noWrap/>
          </w:tcPr>
          <w:p w14:paraId="09A41B5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918" w:type="dxa"/>
            <w:gridSpan w:val="2"/>
            <w:noWrap/>
            <w:vAlign w:val="top"/>
          </w:tcPr>
          <w:p w14:paraId="77B891BE"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677" w:type="dxa"/>
            <w:noWrap/>
            <w:vAlign w:val="top"/>
          </w:tcPr>
          <w:p w14:paraId="7EBC236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918" w:type="dxa"/>
            <w:noWrap/>
          </w:tcPr>
          <w:p w14:paraId="12A615B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918" w:type="dxa"/>
            <w:gridSpan w:val="2"/>
            <w:noWrap/>
            <w:vAlign w:val="top"/>
          </w:tcPr>
          <w:p w14:paraId="089C8A8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684" w:type="dxa"/>
            <w:noWrap/>
            <w:vAlign w:val="top"/>
          </w:tcPr>
          <w:p w14:paraId="787AACC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903" w:type="dxa"/>
            <w:noWrap/>
          </w:tcPr>
          <w:p w14:paraId="15439C2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bl>
    <w:p w14:paraId="09595831" w14:textId="77777777" w:rsidR="00B37F3E" w:rsidRDefault="00B37F3E" w:rsidP="00B37F3E"/>
    <w:p w14:paraId="4398F80A" w14:textId="77777777" w:rsidR="00B37F3E" w:rsidRDefault="00B37F3E">
      <w:pPr>
        <w:spacing w:line="240" w:lineRule="auto"/>
      </w:pPr>
      <w:r>
        <w:br w:type="page"/>
      </w:r>
    </w:p>
    <w:p w14:paraId="5E705FDD" w14:textId="77777777" w:rsidR="000D7073" w:rsidRDefault="000D7073" w:rsidP="000D7073">
      <w:pPr>
        <w:pStyle w:val="Heading6"/>
      </w:pPr>
      <w:bookmarkStart w:id="1096" w:name="_Toc484092534"/>
      <w:bookmarkStart w:id="1097" w:name="_Toc484172739"/>
      <w:bookmarkStart w:id="1098" w:name="_Toc484183086"/>
      <w:bookmarkStart w:id="1099" w:name="_Toc485126607"/>
      <w:r>
        <w:lastRenderedPageBreak/>
        <w:t>SDG&amp;E</w:t>
      </w:r>
      <w:bookmarkEnd w:id="1096"/>
      <w:bookmarkEnd w:id="1097"/>
      <w:bookmarkEnd w:id="1098"/>
      <w:bookmarkEnd w:id="1099"/>
    </w:p>
    <w:p w14:paraId="181A7F06" w14:textId="77777777" w:rsidR="000D7073" w:rsidRDefault="00BB59F5" w:rsidP="000D7073">
      <w:pPr>
        <w:pStyle w:val="Caption"/>
      </w:pPr>
      <w:bookmarkStart w:id="1100" w:name="_Toc484436989"/>
      <w:bookmarkStart w:id="1101" w:name="_Toc485125628"/>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7</w:t>
      </w:r>
      <w:r w:rsidR="00272F76">
        <w:rPr>
          <w:noProof/>
        </w:rPr>
        <w:fldChar w:fldCharType="end"/>
      </w:r>
      <w:r w:rsidRPr="006F2DA9">
        <w:t xml:space="preserve">. </w:t>
      </w:r>
      <w:r>
        <w:t>SDG</w:t>
      </w:r>
      <w:r w:rsidR="000D7073">
        <w:t>&amp;E Households Treated</w:t>
      </w:r>
      <w:bookmarkEnd w:id="1100"/>
      <w:bookmarkEnd w:id="1101"/>
    </w:p>
    <w:tbl>
      <w:tblPr>
        <w:tblStyle w:val="EnergyTable1"/>
        <w:tblW w:w="6198" w:type="dxa"/>
        <w:tblLook w:val="04A0" w:firstRow="1" w:lastRow="0" w:firstColumn="1" w:lastColumn="0" w:noHBand="0" w:noVBand="1"/>
      </w:tblPr>
      <w:tblGrid>
        <w:gridCol w:w="1350"/>
        <w:gridCol w:w="1616"/>
        <w:gridCol w:w="1616"/>
        <w:gridCol w:w="1616"/>
      </w:tblGrid>
      <w:tr w:rsidR="000D7073" w:rsidRPr="006D01BF" w14:paraId="24D108C4" w14:textId="77777777" w:rsidTr="007D30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B87C592" w14:textId="77777777" w:rsidR="000D7073" w:rsidRPr="006D01BF" w:rsidRDefault="000D7073" w:rsidP="007D30B3">
            <w:pPr>
              <w:spacing w:line="240" w:lineRule="auto"/>
              <w:rPr>
                <w:rFonts w:ascii="Arial Narrow" w:hAnsi="Arial Narrow"/>
                <w:bCs/>
                <w:szCs w:val="20"/>
              </w:rPr>
            </w:pPr>
          </w:p>
        </w:tc>
        <w:tc>
          <w:tcPr>
            <w:tcW w:w="1616" w:type="dxa"/>
            <w:noWrap/>
            <w:hideMark/>
          </w:tcPr>
          <w:p w14:paraId="32B35B50" w14:textId="77777777" w:rsidR="000D7073" w:rsidRPr="006D01BF"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D01BF">
              <w:rPr>
                <w:rFonts w:ascii="Arial Narrow" w:hAnsi="Arial Narrow"/>
                <w:szCs w:val="20"/>
              </w:rPr>
              <w:t xml:space="preserve"> Single Family </w:t>
            </w:r>
          </w:p>
        </w:tc>
        <w:tc>
          <w:tcPr>
            <w:tcW w:w="1616" w:type="dxa"/>
            <w:noWrap/>
            <w:hideMark/>
          </w:tcPr>
          <w:p w14:paraId="25C2EDC5" w14:textId="77777777" w:rsidR="000D7073" w:rsidRPr="006D01BF"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D01BF">
              <w:rPr>
                <w:rFonts w:ascii="Arial Narrow" w:hAnsi="Arial Narrow"/>
                <w:szCs w:val="20"/>
              </w:rPr>
              <w:t>Multifamily</w:t>
            </w:r>
          </w:p>
        </w:tc>
        <w:tc>
          <w:tcPr>
            <w:tcW w:w="1616" w:type="dxa"/>
            <w:noWrap/>
            <w:hideMark/>
          </w:tcPr>
          <w:p w14:paraId="42287303" w14:textId="77777777" w:rsidR="000D7073" w:rsidRPr="006D01BF"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D01BF">
              <w:rPr>
                <w:rFonts w:ascii="Arial Narrow" w:hAnsi="Arial Narrow"/>
                <w:szCs w:val="20"/>
              </w:rPr>
              <w:t xml:space="preserve"> Mobile Home</w:t>
            </w:r>
          </w:p>
        </w:tc>
      </w:tr>
      <w:tr w:rsidR="000D7073" w:rsidRPr="006D01BF" w14:paraId="6F4A4708"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024A1668" w14:textId="77777777" w:rsidR="000D7073" w:rsidRPr="006D01BF" w:rsidRDefault="000D7073" w:rsidP="007D30B3">
            <w:pPr>
              <w:spacing w:line="240" w:lineRule="auto"/>
              <w:rPr>
                <w:rFonts w:ascii="Arial Narrow" w:hAnsi="Arial Narrow"/>
                <w:b/>
                <w:szCs w:val="20"/>
              </w:rPr>
            </w:pPr>
            <w:r w:rsidRPr="006D01BF">
              <w:rPr>
                <w:rFonts w:ascii="Arial Narrow" w:hAnsi="Arial Narrow"/>
                <w:b/>
                <w:szCs w:val="20"/>
              </w:rPr>
              <w:t>First Time Treatment</w:t>
            </w:r>
          </w:p>
        </w:tc>
      </w:tr>
      <w:tr w:rsidR="006D01BF" w:rsidRPr="006D01BF" w14:paraId="3DA1CAA3"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F93E10B"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2017</w:t>
            </w:r>
          </w:p>
        </w:tc>
        <w:tc>
          <w:tcPr>
            <w:tcW w:w="1616" w:type="dxa"/>
            <w:noWrap/>
            <w:vAlign w:val="bottom"/>
          </w:tcPr>
          <w:p w14:paraId="372D1307"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Calibri Light" w:hAnsi="Calibri Light"/>
                <w:szCs w:val="20"/>
              </w:rPr>
              <w:t xml:space="preserve">             5,782 </w:t>
            </w:r>
          </w:p>
        </w:tc>
        <w:tc>
          <w:tcPr>
            <w:tcW w:w="1616" w:type="dxa"/>
            <w:noWrap/>
            <w:vAlign w:val="bottom"/>
          </w:tcPr>
          <w:p w14:paraId="573FB794"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Calibri Light" w:hAnsi="Calibri Light"/>
                <w:szCs w:val="20"/>
              </w:rPr>
              <w:t xml:space="preserve">             4,625 </w:t>
            </w:r>
          </w:p>
        </w:tc>
        <w:tc>
          <w:tcPr>
            <w:tcW w:w="1616" w:type="dxa"/>
            <w:noWrap/>
            <w:vAlign w:val="bottom"/>
          </w:tcPr>
          <w:p w14:paraId="42727FE8"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Calibri Light" w:hAnsi="Calibri Light"/>
                <w:szCs w:val="20"/>
              </w:rPr>
              <w:t xml:space="preserve">             1,156 </w:t>
            </w:r>
          </w:p>
        </w:tc>
      </w:tr>
      <w:tr w:rsidR="006D01BF" w:rsidRPr="006D01BF" w14:paraId="462DD025"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2E7A383"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2018</w:t>
            </w:r>
          </w:p>
        </w:tc>
        <w:tc>
          <w:tcPr>
            <w:tcW w:w="1616" w:type="dxa"/>
            <w:noWrap/>
            <w:vAlign w:val="bottom"/>
          </w:tcPr>
          <w:p w14:paraId="0B789955"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Calibri Light" w:hAnsi="Calibri Light"/>
                <w:szCs w:val="20"/>
              </w:rPr>
              <w:t xml:space="preserve">             5,782 </w:t>
            </w:r>
          </w:p>
        </w:tc>
        <w:tc>
          <w:tcPr>
            <w:tcW w:w="1616" w:type="dxa"/>
            <w:noWrap/>
            <w:vAlign w:val="bottom"/>
          </w:tcPr>
          <w:p w14:paraId="2C9F02F6"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Calibri Light" w:hAnsi="Calibri Light"/>
                <w:szCs w:val="20"/>
              </w:rPr>
              <w:t xml:space="preserve">             4,625 </w:t>
            </w:r>
          </w:p>
        </w:tc>
        <w:tc>
          <w:tcPr>
            <w:tcW w:w="1616" w:type="dxa"/>
            <w:noWrap/>
            <w:vAlign w:val="bottom"/>
          </w:tcPr>
          <w:p w14:paraId="6B4160DC"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Calibri Light" w:hAnsi="Calibri Light"/>
                <w:szCs w:val="20"/>
              </w:rPr>
              <w:t xml:space="preserve">             1,156 </w:t>
            </w:r>
          </w:p>
        </w:tc>
      </w:tr>
      <w:tr w:rsidR="006D01BF" w:rsidRPr="006D01BF" w14:paraId="71AAF825"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696F32E"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2019</w:t>
            </w:r>
          </w:p>
        </w:tc>
        <w:tc>
          <w:tcPr>
            <w:tcW w:w="1616" w:type="dxa"/>
            <w:noWrap/>
            <w:vAlign w:val="bottom"/>
          </w:tcPr>
          <w:p w14:paraId="47FC2073"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Calibri Light" w:hAnsi="Calibri Light"/>
                <w:szCs w:val="20"/>
              </w:rPr>
              <w:t xml:space="preserve">             5,781 </w:t>
            </w:r>
          </w:p>
        </w:tc>
        <w:tc>
          <w:tcPr>
            <w:tcW w:w="1616" w:type="dxa"/>
            <w:noWrap/>
            <w:vAlign w:val="bottom"/>
          </w:tcPr>
          <w:p w14:paraId="2E75B578"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Calibri Light" w:hAnsi="Calibri Light"/>
                <w:szCs w:val="20"/>
              </w:rPr>
              <w:t xml:space="preserve">             4,625 </w:t>
            </w:r>
          </w:p>
        </w:tc>
        <w:tc>
          <w:tcPr>
            <w:tcW w:w="1616" w:type="dxa"/>
            <w:noWrap/>
            <w:vAlign w:val="bottom"/>
          </w:tcPr>
          <w:p w14:paraId="74BF8053"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Calibri Light" w:hAnsi="Calibri Light"/>
                <w:szCs w:val="20"/>
              </w:rPr>
              <w:t xml:space="preserve">             1,156 </w:t>
            </w:r>
          </w:p>
        </w:tc>
      </w:tr>
      <w:tr w:rsidR="006D01BF" w:rsidRPr="006D01BF" w14:paraId="0D71A319"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6FE975B"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2020</w:t>
            </w:r>
          </w:p>
        </w:tc>
        <w:tc>
          <w:tcPr>
            <w:tcW w:w="1616" w:type="dxa"/>
            <w:noWrap/>
            <w:vAlign w:val="bottom"/>
          </w:tcPr>
          <w:p w14:paraId="300157E6"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Calibri Light" w:hAnsi="Calibri Light"/>
                <w:szCs w:val="20"/>
              </w:rPr>
              <w:t xml:space="preserve">                     -   </w:t>
            </w:r>
          </w:p>
        </w:tc>
        <w:tc>
          <w:tcPr>
            <w:tcW w:w="1616" w:type="dxa"/>
            <w:noWrap/>
            <w:vAlign w:val="bottom"/>
          </w:tcPr>
          <w:p w14:paraId="3E95E43A"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Calibri Light" w:hAnsi="Calibri Light"/>
                <w:szCs w:val="20"/>
              </w:rPr>
              <w:t xml:space="preserve">                     -   </w:t>
            </w:r>
          </w:p>
        </w:tc>
        <w:tc>
          <w:tcPr>
            <w:tcW w:w="1616" w:type="dxa"/>
            <w:noWrap/>
            <w:vAlign w:val="bottom"/>
          </w:tcPr>
          <w:p w14:paraId="17615E76"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Calibri Light" w:hAnsi="Calibri Light"/>
                <w:szCs w:val="20"/>
              </w:rPr>
              <w:t xml:space="preserve">                     -   </w:t>
            </w:r>
          </w:p>
        </w:tc>
      </w:tr>
      <w:tr w:rsidR="000D7073" w:rsidRPr="006D01BF" w14:paraId="6F7B3CEF"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8" w:type="dxa"/>
            <w:gridSpan w:val="4"/>
            <w:shd w:val="clear" w:color="auto" w:fill="F2F2F2" w:themeFill="background2"/>
            <w:noWrap/>
          </w:tcPr>
          <w:p w14:paraId="5B8A9B78" w14:textId="77777777" w:rsidR="000D7073" w:rsidRPr="006D01BF" w:rsidRDefault="000D7073" w:rsidP="007D30B3">
            <w:pPr>
              <w:spacing w:line="240" w:lineRule="auto"/>
              <w:rPr>
                <w:rFonts w:ascii="Arial Narrow" w:hAnsi="Arial Narrow"/>
                <w:b/>
                <w:szCs w:val="20"/>
              </w:rPr>
            </w:pPr>
            <w:r w:rsidRPr="006D01BF">
              <w:rPr>
                <w:rFonts w:ascii="Arial Narrow" w:hAnsi="Arial Narrow"/>
                <w:b/>
                <w:szCs w:val="20"/>
              </w:rPr>
              <w:t>Retreatment</w:t>
            </w:r>
          </w:p>
        </w:tc>
      </w:tr>
      <w:tr w:rsidR="006D01BF" w:rsidRPr="006D01BF" w14:paraId="717BFA5F"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65DD7DB4"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2017</w:t>
            </w:r>
          </w:p>
        </w:tc>
        <w:tc>
          <w:tcPr>
            <w:tcW w:w="1616" w:type="dxa"/>
            <w:noWrap/>
            <w:vAlign w:val="bottom"/>
          </w:tcPr>
          <w:p w14:paraId="7D2C5D58"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6D01BF">
              <w:rPr>
                <w:rFonts w:ascii="Calibri Light" w:hAnsi="Calibri Light"/>
                <w:szCs w:val="20"/>
              </w:rPr>
              <w:t xml:space="preserve">             4,377 </w:t>
            </w:r>
          </w:p>
        </w:tc>
        <w:tc>
          <w:tcPr>
            <w:tcW w:w="1616" w:type="dxa"/>
            <w:noWrap/>
            <w:vAlign w:val="bottom"/>
          </w:tcPr>
          <w:p w14:paraId="2A05FBF2"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6D01BF">
              <w:rPr>
                <w:rFonts w:ascii="Calibri Light" w:hAnsi="Calibri Light"/>
                <w:szCs w:val="20"/>
              </w:rPr>
              <w:t xml:space="preserve">             3,501 </w:t>
            </w:r>
          </w:p>
        </w:tc>
        <w:tc>
          <w:tcPr>
            <w:tcW w:w="1616" w:type="dxa"/>
            <w:noWrap/>
            <w:vAlign w:val="bottom"/>
          </w:tcPr>
          <w:p w14:paraId="429F39DF"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6D01BF">
              <w:rPr>
                <w:rFonts w:ascii="Calibri Light" w:hAnsi="Calibri Light"/>
                <w:szCs w:val="20"/>
              </w:rPr>
              <w:t xml:space="preserve">                 875 </w:t>
            </w:r>
          </w:p>
        </w:tc>
      </w:tr>
      <w:tr w:rsidR="006D01BF" w:rsidRPr="006D01BF" w14:paraId="22E28060"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3C4110F6"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2018</w:t>
            </w:r>
          </w:p>
        </w:tc>
        <w:tc>
          <w:tcPr>
            <w:tcW w:w="1616" w:type="dxa"/>
            <w:noWrap/>
            <w:vAlign w:val="bottom"/>
          </w:tcPr>
          <w:p w14:paraId="27349059"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6D01BF">
              <w:rPr>
                <w:rFonts w:ascii="Calibri Light" w:hAnsi="Calibri Light"/>
                <w:szCs w:val="20"/>
              </w:rPr>
              <w:t xml:space="preserve">             4,885 </w:t>
            </w:r>
          </w:p>
        </w:tc>
        <w:tc>
          <w:tcPr>
            <w:tcW w:w="1616" w:type="dxa"/>
            <w:noWrap/>
            <w:vAlign w:val="bottom"/>
          </w:tcPr>
          <w:p w14:paraId="26927E26"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6D01BF">
              <w:rPr>
                <w:rFonts w:ascii="Calibri Light" w:hAnsi="Calibri Light"/>
                <w:szCs w:val="20"/>
              </w:rPr>
              <w:t xml:space="preserve">             3,908 </w:t>
            </w:r>
          </w:p>
        </w:tc>
        <w:tc>
          <w:tcPr>
            <w:tcW w:w="1616" w:type="dxa"/>
            <w:noWrap/>
            <w:vAlign w:val="bottom"/>
          </w:tcPr>
          <w:p w14:paraId="5CFE4D26"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6D01BF">
              <w:rPr>
                <w:rFonts w:ascii="Calibri Light" w:hAnsi="Calibri Light"/>
                <w:szCs w:val="20"/>
              </w:rPr>
              <w:t xml:space="preserve">                 977 </w:t>
            </w:r>
          </w:p>
        </w:tc>
      </w:tr>
      <w:tr w:rsidR="006D01BF" w:rsidRPr="006D01BF" w14:paraId="70DB0817" w14:textId="77777777" w:rsidTr="007D3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6663A6FC"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2019</w:t>
            </w:r>
          </w:p>
        </w:tc>
        <w:tc>
          <w:tcPr>
            <w:tcW w:w="1616" w:type="dxa"/>
            <w:noWrap/>
            <w:vAlign w:val="bottom"/>
          </w:tcPr>
          <w:p w14:paraId="1809EFA9"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6D01BF">
              <w:rPr>
                <w:rFonts w:ascii="Calibri Light" w:hAnsi="Calibri Light"/>
                <w:szCs w:val="20"/>
              </w:rPr>
              <w:t xml:space="preserve">             5,418 </w:t>
            </w:r>
          </w:p>
        </w:tc>
        <w:tc>
          <w:tcPr>
            <w:tcW w:w="1616" w:type="dxa"/>
            <w:noWrap/>
            <w:vAlign w:val="bottom"/>
          </w:tcPr>
          <w:p w14:paraId="503BDF44"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6D01BF">
              <w:rPr>
                <w:rFonts w:ascii="Calibri Light" w:hAnsi="Calibri Light"/>
                <w:szCs w:val="20"/>
              </w:rPr>
              <w:t xml:space="preserve">             4,334 </w:t>
            </w:r>
          </w:p>
        </w:tc>
        <w:tc>
          <w:tcPr>
            <w:tcW w:w="1616" w:type="dxa"/>
            <w:noWrap/>
            <w:vAlign w:val="bottom"/>
          </w:tcPr>
          <w:p w14:paraId="23F10860" w14:textId="77777777" w:rsidR="006D01BF" w:rsidRPr="006D01BF"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6D01BF">
              <w:rPr>
                <w:rFonts w:ascii="Calibri Light" w:hAnsi="Calibri Light"/>
                <w:szCs w:val="20"/>
              </w:rPr>
              <w:t xml:space="preserve">             1,084 </w:t>
            </w:r>
          </w:p>
        </w:tc>
      </w:tr>
      <w:tr w:rsidR="006D01BF" w:rsidRPr="006D01BF" w14:paraId="29FD802A" w14:textId="77777777" w:rsidTr="007D30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1DD2438F" w14:textId="77777777" w:rsidR="006D01BF" w:rsidRPr="006D01BF" w:rsidRDefault="006D01BF" w:rsidP="006D01BF">
            <w:pPr>
              <w:spacing w:line="240" w:lineRule="auto"/>
              <w:rPr>
                <w:rFonts w:ascii="Arial Narrow" w:hAnsi="Arial Narrow"/>
                <w:b/>
                <w:bCs/>
                <w:szCs w:val="20"/>
              </w:rPr>
            </w:pPr>
            <w:r w:rsidRPr="006D01BF">
              <w:rPr>
                <w:rFonts w:ascii="Arial Narrow" w:hAnsi="Arial Narrow"/>
                <w:b/>
                <w:bCs/>
                <w:szCs w:val="20"/>
              </w:rPr>
              <w:t>2020 -2030*</w:t>
            </w:r>
          </w:p>
        </w:tc>
        <w:tc>
          <w:tcPr>
            <w:tcW w:w="1616" w:type="dxa"/>
            <w:noWrap/>
            <w:vAlign w:val="bottom"/>
          </w:tcPr>
          <w:p w14:paraId="26767953"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6D01BF">
              <w:rPr>
                <w:rFonts w:ascii="Calibri Light" w:hAnsi="Calibri Light"/>
                <w:szCs w:val="20"/>
              </w:rPr>
              <w:t xml:space="preserve">          11,759 </w:t>
            </w:r>
          </w:p>
        </w:tc>
        <w:tc>
          <w:tcPr>
            <w:tcW w:w="1616" w:type="dxa"/>
            <w:noWrap/>
            <w:vAlign w:val="bottom"/>
          </w:tcPr>
          <w:p w14:paraId="2A193DB8"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6D01BF">
              <w:rPr>
                <w:rFonts w:ascii="Calibri Light" w:hAnsi="Calibri Light"/>
                <w:szCs w:val="20"/>
              </w:rPr>
              <w:t xml:space="preserve">             9,407 </w:t>
            </w:r>
          </w:p>
        </w:tc>
        <w:tc>
          <w:tcPr>
            <w:tcW w:w="1616" w:type="dxa"/>
            <w:noWrap/>
            <w:vAlign w:val="bottom"/>
          </w:tcPr>
          <w:p w14:paraId="25618A25" w14:textId="77777777" w:rsidR="006D01BF" w:rsidRPr="006D01BF"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6D01BF">
              <w:rPr>
                <w:rFonts w:ascii="Calibri Light" w:hAnsi="Calibri Light"/>
                <w:szCs w:val="20"/>
              </w:rPr>
              <w:t xml:space="preserve">             2,352 </w:t>
            </w:r>
          </w:p>
        </w:tc>
      </w:tr>
    </w:tbl>
    <w:p w14:paraId="7D2A931C" w14:textId="77777777" w:rsidR="000D7073" w:rsidRDefault="000D7073" w:rsidP="000D7073">
      <w:pPr>
        <w:spacing w:line="240" w:lineRule="auto"/>
        <w:jc w:val="center"/>
      </w:pPr>
      <w:r>
        <w:t>*Annual treatment</w:t>
      </w:r>
    </w:p>
    <w:p w14:paraId="655AA0CA" w14:textId="77777777" w:rsidR="000D7073" w:rsidRDefault="000D7073" w:rsidP="000D7073"/>
    <w:p w14:paraId="60D75CE4" w14:textId="77777777" w:rsidR="000D7073" w:rsidRPr="00E86334" w:rsidRDefault="000D7073" w:rsidP="000D7073"/>
    <w:p w14:paraId="41138C2B" w14:textId="77777777" w:rsidR="000D7073" w:rsidRDefault="00BB59F5" w:rsidP="000D7073">
      <w:pPr>
        <w:pStyle w:val="Caption"/>
      </w:pPr>
      <w:bookmarkStart w:id="1102" w:name="_Toc484436990"/>
      <w:bookmarkStart w:id="1103" w:name="_Toc485125629"/>
      <w:r w:rsidRPr="00122CD3">
        <w:t xml:space="preserve">Table </w:t>
      </w:r>
      <w:r w:rsidR="00272F76">
        <w:fldChar w:fldCharType="begin"/>
      </w:r>
      <w:r w:rsidR="00272F76">
        <w:instrText xml:space="preserve"> STYLEREF 5 \s </w:instrText>
      </w:r>
      <w:r w:rsidR="00272F76">
        <w:fldChar w:fldCharType="separate"/>
      </w:r>
      <w:r w:rsidR="00C407F4">
        <w:rPr>
          <w:noProof/>
        </w:rPr>
        <w:t>F</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8</w:t>
      </w:r>
      <w:r w:rsidR="00272F76">
        <w:rPr>
          <w:noProof/>
        </w:rPr>
        <w:fldChar w:fldCharType="end"/>
      </w:r>
      <w:r w:rsidRPr="006F2DA9">
        <w:t xml:space="preserve">. </w:t>
      </w:r>
      <w:r w:rsidR="000D7073">
        <w:t>SDG&amp;E UES</w:t>
      </w:r>
      <w:bookmarkEnd w:id="1102"/>
      <w:bookmarkEnd w:id="1103"/>
    </w:p>
    <w:tbl>
      <w:tblPr>
        <w:tblStyle w:val="EnergyTable1"/>
        <w:tblW w:w="9150" w:type="dxa"/>
        <w:tblLayout w:type="fixed"/>
        <w:tblLook w:val="04A0" w:firstRow="1" w:lastRow="0" w:firstColumn="1" w:lastColumn="0" w:noHBand="0" w:noVBand="1"/>
      </w:tblPr>
      <w:tblGrid>
        <w:gridCol w:w="1440"/>
        <w:gridCol w:w="1047"/>
        <w:gridCol w:w="720"/>
        <w:gridCol w:w="925"/>
        <w:gridCol w:w="10"/>
        <w:gridCol w:w="908"/>
        <w:gridCol w:w="677"/>
        <w:gridCol w:w="918"/>
        <w:gridCol w:w="17"/>
        <w:gridCol w:w="901"/>
        <w:gridCol w:w="684"/>
        <w:gridCol w:w="903"/>
      </w:tblGrid>
      <w:tr w:rsidR="000D7073" w:rsidRPr="006D01BF" w14:paraId="2CECC1FA" w14:textId="77777777" w:rsidTr="006D01B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F51255" w14:textId="77777777" w:rsidR="000D7073" w:rsidRPr="000D7073" w:rsidRDefault="000D7073" w:rsidP="006D01BF">
            <w:pPr>
              <w:spacing w:line="240" w:lineRule="auto"/>
              <w:rPr>
                <w:rFonts w:ascii="Arial Narrow" w:hAnsi="Arial Narrow"/>
                <w:szCs w:val="20"/>
              </w:rPr>
            </w:pPr>
          </w:p>
        </w:tc>
        <w:tc>
          <w:tcPr>
            <w:tcW w:w="2702" w:type="dxa"/>
            <w:gridSpan w:val="4"/>
            <w:noWrap/>
            <w:hideMark/>
          </w:tcPr>
          <w:p w14:paraId="45CD1002"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Single Family</w:t>
            </w:r>
          </w:p>
        </w:tc>
        <w:tc>
          <w:tcPr>
            <w:tcW w:w="2520" w:type="dxa"/>
            <w:gridSpan w:val="4"/>
            <w:noWrap/>
            <w:hideMark/>
          </w:tcPr>
          <w:p w14:paraId="66EC015A"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2488" w:type="dxa"/>
            <w:gridSpan w:val="3"/>
            <w:noWrap/>
            <w:hideMark/>
          </w:tcPr>
          <w:p w14:paraId="06FCD7BA"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Mobile Home</w:t>
            </w:r>
          </w:p>
        </w:tc>
      </w:tr>
      <w:tr w:rsidR="000D7073" w:rsidRPr="006D01BF" w14:paraId="0E4B1D7B"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DA71A2" w14:textId="77777777" w:rsidR="000D7073" w:rsidRPr="000D7073" w:rsidRDefault="000D7073" w:rsidP="006D01BF">
            <w:pPr>
              <w:spacing w:line="240" w:lineRule="auto"/>
              <w:rPr>
                <w:rFonts w:ascii="Arial Narrow" w:hAnsi="Arial Narrow"/>
                <w:b/>
                <w:bCs/>
                <w:szCs w:val="20"/>
              </w:rPr>
            </w:pPr>
          </w:p>
        </w:tc>
        <w:tc>
          <w:tcPr>
            <w:tcW w:w="1047" w:type="dxa"/>
            <w:noWrap/>
            <w:hideMark/>
          </w:tcPr>
          <w:p w14:paraId="04461737"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720" w:type="dxa"/>
            <w:noWrap/>
            <w:hideMark/>
          </w:tcPr>
          <w:p w14:paraId="0FF557C6"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25" w:type="dxa"/>
            <w:noWrap/>
            <w:hideMark/>
          </w:tcPr>
          <w:p w14:paraId="523502A6"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56B36B3A"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77" w:type="dxa"/>
            <w:noWrap/>
            <w:hideMark/>
          </w:tcPr>
          <w:p w14:paraId="3C257081"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18" w:type="dxa"/>
            <w:noWrap/>
            <w:hideMark/>
          </w:tcPr>
          <w:p w14:paraId="0359D5F1"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918" w:type="dxa"/>
            <w:gridSpan w:val="2"/>
            <w:noWrap/>
            <w:hideMark/>
          </w:tcPr>
          <w:p w14:paraId="28712032"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684" w:type="dxa"/>
            <w:noWrap/>
            <w:hideMark/>
          </w:tcPr>
          <w:p w14:paraId="16ECE6FF"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903" w:type="dxa"/>
            <w:noWrap/>
            <w:hideMark/>
          </w:tcPr>
          <w:p w14:paraId="19668D65"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6D01BF" w14:paraId="679435C0"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72B6BD97"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First Time Treatment</w:t>
            </w:r>
          </w:p>
        </w:tc>
      </w:tr>
      <w:tr w:rsidR="006D01BF" w:rsidRPr="006D01BF" w14:paraId="24CD5815"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DEF62B"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2017</w:t>
            </w:r>
          </w:p>
        </w:tc>
        <w:tc>
          <w:tcPr>
            <w:tcW w:w="1047" w:type="dxa"/>
            <w:noWrap/>
          </w:tcPr>
          <w:p w14:paraId="7396AD4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0.1120</w:t>
            </w:r>
          </w:p>
        </w:tc>
        <w:tc>
          <w:tcPr>
            <w:tcW w:w="720" w:type="dxa"/>
            <w:noWrap/>
          </w:tcPr>
          <w:p w14:paraId="76827EF1"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571</w:t>
            </w:r>
          </w:p>
        </w:tc>
        <w:tc>
          <w:tcPr>
            <w:tcW w:w="925" w:type="dxa"/>
            <w:noWrap/>
          </w:tcPr>
          <w:p w14:paraId="074CD10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24.0</w:t>
            </w:r>
          </w:p>
        </w:tc>
        <w:tc>
          <w:tcPr>
            <w:tcW w:w="918" w:type="dxa"/>
            <w:gridSpan w:val="2"/>
            <w:noWrap/>
          </w:tcPr>
          <w:p w14:paraId="28FB9531"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0.0460</w:t>
            </w:r>
          </w:p>
        </w:tc>
        <w:tc>
          <w:tcPr>
            <w:tcW w:w="677" w:type="dxa"/>
            <w:noWrap/>
          </w:tcPr>
          <w:p w14:paraId="5697539D"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427</w:t>
            </w:r>
          </w:p>
        </w:tc>
        <w:tc>
          <w:tcPr>
            <w:tcW w:w="918" w:type="dxa"/>
            <w:noWrap/>
          </w:tcPr>
          <w:p w14:paraId="066F8D9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9.0</w:t>
            </w:r>
          </w:p>
        </w:tc>
        <w:tc>
          <w:tcPr>
            <w:tcW w:w="918" w:type="dxa"/>
            <w:gridSpan w:val="2"/>
            <w:noWrap/>
          </w:tcPr>
          <w:p w14:paraId="0096E439"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0.0642</w:t>
            </w:r>
          </w:p>
        </w:tc>
        <w:tc>
          <w:tcPr>
            <w:tcW w:w="684" w:type="dxa"/>
            <w:noWrap/>
          </w:tcPr>
          <w:p w14:paraId="37BE0B71"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419</w:t>
            </w:r>
          </w:p>
        </w:tc>
        <w:tc>
          <w:tcPr>
            <w:tcW w:w="903" w:type="dxa"/>
            <w:noWrap/>
          </w:tcPr>
          <w:p w14:paraId="10C9B264"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10.0 </w:t>
            </w:r>
          </w:p>
        </w:tc>
      </w:tr>
      <w:tr w:rsidR="006D01BF" w:rsidRPr="006D01BF" w14:paraId="68F479B6"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4B8E87B"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2018</w:t>
            </w:r>
          </w:p>
        </w:tc>
        <w:tc>
          <w:tcPr>
            <w:tcW w:w="1047" w:type="dxa"/>
            <w:noWrap/>
          </w:tcPr>
          <w:p w14:paraId="74BBA221"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0.0997</w:t>
            </w:r>
          </w:p>
        </w:tc>
        <w:tc>
          <w:tcPr>
            <w:tcW w:w="720" w:type="dxa"/>
            <w:noWrap/>
          </w:tcPr>
          <w:p w14:paraId="5D47B81C"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508</w:t>
            </w:r>
          </w:p>
        </w:tc>
        <w:tc>
          <w:tcPr>
            <w:tcW w:w="925" w:type="dxa"/>
            <w:noWrap/>
          </w:tcPr>
          <w:p w14:paraId="236EE835"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23.0</w:t>
            </w:r>
          </w:p>
        </w:tc>
        <w:tc>
          <w:tcPr>
            <w:tcW w:w="918" w:type="dxa"/>
            <w:gridSpan w:val="2"/>
            <w:noWrap/>
          </w:tcPr>
          <w:p w14:paraId="70CF1184"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0.0436</w:t>
            </w:r>
          </w:p>
        </w:tc>
        <w:tc>
          <w:tcPr>
            <w:tcW w:w="677" w:type="dxa"/>
            <w:noWrap/>
          </w:tcPr>
          <w:p w14:paraId="52DFF41B"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405</w:t>
            </w:r>
          </w:p>
        </w:tc>
        <w:tc>
          <w:tcPr>
            <w:tcW w:w="918" w:type="dxa"/>
            <w:noWrap/>
          </w:tcPr>
          <w:p w14:paraId="74A49316"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9.0</w:t>
            </w:r>
          </w:p>
        </w:tc>
        <w:tc>
          <w:tcPr>
            <w:tcW w:w="918" w:type="dxa"/>
            <w:gridSpan w:val="2"/>
            <w:noWrap/>
          </w:tcPr>
          <w:p w14:paraId="68ABA6AE"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0.0629</w:t>
            </w:r>
          </w:p>
        </w:tc>
        <w:tc>
          <w:tcPr>
            <w:tcW w:w="684" w:type="dxa"/>
            <w:noWrap/>
          </w:tcPr>
          <w:p w14:paraId="1C264C7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411</w:t>
            </w:r>
          </w:p>
        </w:tc>
        <w:tc>
          <w:tcPr>
            <w:tcW w:w="903" w:type="dxa"/>
            <w:noWrap/>
          </w:tcPr>
          <w:p w14:paraId="044F1565"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10.0 </w:t>
            </w:r>
          </w:p>
        </w:tc>
      </w:tr>
      <w:tr w:rsidR="006D01BF" w:rsidRPr="006D01BF" w14:paraId="5B88DA5A"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EE39E6"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2019</w:t>
            </w:r>
          </w:p>
        </w:tc>
        <w:tc>
          <w:tcPr>
            <w:tcW w:w="1047" w:type="dxa"/>
            <w:noWrap/>
          </w:tcPr>
          <w:p w14:paraId="1F2FECEC"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0.0991</w:t>
            </w:r>
          </w:p>
        </w:tc>
        <w:tc>
          <w:tcPr>
            <w:tcW w:w="720" w:type="dxa"/>
            <w:noWrap/>
          </w:tcPr>
          <w:p w14:paraId="0CA0CE5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505</w:t>
            </w:r>
          </w:p>
        </w:tc>
        <w:tc>
          <w:tcPr>
            <w:tcW w:w="925" w:type="dxa"/>
            <w:noWrap/>
          </w:tcPr>
          <w:p w14:paraId="1018805A"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22.0</w:t>
            </w:r>
          </w:p>
        </w:tc>
        <w:tc>
          <w:tcPr>
            <w:tcW w:w="918" w:type="dxa"/>
            <w:gridSpan w:val="2"/>
            <w:noWrap/>
          </w:tcPr>
          <w:p w14:paraId="1700BEA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0.0437</w:t>
            </w:r>
          </w:p>
        </w:tc>
        <w:tc>
          <w:tcPr>
            <w:tcW w:w="677" w:type="dxa"/>
            <w:noWrap/>
          </w:tcPr>
          <w:p w14:paraId="129E20B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406</w:t>
            </w:r>
          </w:p>
        </w:tc>
        <w:tc>
          <w:tcPr>
            <w:tcW w:w="918" w:type="dxa"/>
            <w:noWrap/>
          </w:tcPr>
          <w:p w14:paraId="57593051"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8.0</w:t>
            </w:r>
          </w:p>
        </w:tc>
        <w:tc>
          <w:tcPr>
            <w:tcW w:w="918" w:type="dxa"/>
            <w:gridSpan w:val="2"/>
            <w:noWrap/>
          </w:tcPr>
          <w:p w14:paraId="139F8399"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0.0623</w:t>
            </w:r>
          </w:p>
        </w:tc>
        <w:tc>
          <w:tcPr>
            <w:tcW w:w="684" w:type="dxa"/>
            <w:noWrap/>
          </w:tcPr>
          <w:p w14:paraId="698834D5"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407</w:t>
            </w:r>
          </w:p>
        </w:tc>
        <w:tc>
          <w:tcPr>
            <w:tcW w:w="903" w:type="dxa"/>
            <w:noWrap/>
          </w:tcPr>
          <w:p w14:paraId="295FCEAF"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9.0 </w:t>
            </w:r>
          </w:p>
        </w:tc>
      </w:tr>
      <w:tr w:rsidR="006D01BF" w:rsidRPr="006D01BF" w14:paraId="3DCD61E6"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2D932D" w14:textId="77777777" w:rsidR="006D01BF" w:rsidRPr="000D7073" w:rsidRDefault="006D01BF" w:rsidP="006D01BF">
            <w:pPr>
              <w:spacing w:line="240" w:lineRule="auto"/>
              <w:rPr>
                <w:rFonts w:ascii="Arial Narrow" w:hAnsi="Arial Narrow"/>
                <w:b/>
                <w:bCs/>
                <w:szCs w:val="20"/>
              </w:rPr>
            </w:pPr>
            <w:r w:rsidRPr="006D01BF">
              <w:rPr>
                <w:rFonts w:ascii="Arial Narrow" w:hAnsi="Arial Narrow"/>
                <w:b/>
                <w:bCs/>
                <w:szCs w:val="20"/>
              </w:rPr>
              <w:t>2020</w:t>
            </w:r>
          </w:p>
        </w:tc>
        <w:tc>
          <w:tcPr>
            <w:tcW w:w="1047" w:type="dxa"/>
            <w:noWrap/>
            <w:vAlign w:val="top"/>
          </w:tcPr>
          <w:p w14:paraId="6B73EF13"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720" w:type="dxa"/>
            <w:noWrap/>
            <w:vAlign w:val="top"/>
          </w:tcPr>
          <w:p w14:paraId="59A7A1EA"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25" w:type="dxa"/>
            <w:noWrap/>
            <w:vAlign w:val="top"/>
          </w:tcPr>
          <w:p w14:paraId="0EFB6B26"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18" w:type="dxa"/>
            <w:gridSpan w:val="2"/>
            <w:noWrap/>
            <w:vAlign w:val="top"/>
          </w:tcPr>
          <w:p w14:paraId="5E4A3BD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677" w:type="dxa"/>
            <w:noWrap/>
            <w:vAlign w:val="top"/>
          </w:tcPr>
          <w:p w14:paraId="60E57E71"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18" w:type="dxa"/>
            <w:noWrap/>
            <w:vAlign w:val="top"/>
          </w:tcPr>
          <w:p w14:paraId="5F3093C2"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18" w:type="dxa"/>
            <w:gridSpan w:val="2"/>
            <w:noWrap/>
            <w:vAlign w:val="top"/>
          </w:tcPr>
          <w:p w14:paraId="65A16A18"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684" w:type="dxa"/>
            <w:noWrap/>
            <w:vAlign w:val="top"/>
          </w:tcPr>
          <w:p w14:paraId="7C6FF4C7"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03" w:type="dxa"/>
            <w:noWrap/>
            <w:vAlign w:val="top"/>
          </w:tcPr>
          <w:p w14:paraId="6E0E833B"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r>
      <w:tr w:rsidR="00AE06FA" w:rsidRPr="006D01BF" w14:paraId="06AC5051"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150" w:type="dxa"/>
            <w:gridSpan w:val="12"/>
            <w:shd w:val="clear" w:color="auto" w:fill="F2F2F2" w:themeFill="background2"/>
            <w:noWrap/>
            <w:hideMark/>
          </w:tcPr>
          <w:p w14:paraId="0B318AF3"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Retreatment</w:t>
            </w:r>
          </w:p>
        </w:tc>
      </w:tr>
      <w:tr w:rsidR="006D01BF" w:rsidRPr="006D01BF" w14:paraId="63E41090"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B91E435"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2017</w:t>
            </w:r>
          </w:p>
        </w:tc>
        <w:tc>
          <w:tcPr>
            <w:tcW w:w="1047" w:type="dxa"/>
            <w:noWrap/>
          </w:tcPr>
          <w:p w14:paraId="46EC823F"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0.0426</w:t>
            </w:r>
          </w:p>
        </w:tc>
        <w:tc>
          <w:tcPr>
            <w:tcW w:w="720" w:type="dxa"/>
            <w:noWrap/>
          </w:tcPr>
          <w:p w14:paraId="7A4D7F2E"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217</w:t>
            </w:r>
          </w:p>
        </w:tc>
        <w:tc>
          <w:tcPr>
            <w:tcW w:w="925" w:type="dxa"/>
            <w:noWrap/>
          </w:tcPr>
          <w:p w14:paraId="0A14EED1"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18.0</w:t>
            </w:r>
          </w:p>
        </w:tc>
        <w:tc>
          <w:tcPr>
            <w:tcW w:w="918" w:type="dxa"/>
            <w:gridSpan w:val="2"/>
            <w:noWrap/>
          </w:tcPr>
          <w:p w14:paraId="601A7901"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0.0283</w:t>
            </w:r>
          </w:p>
        </w:tc>
        <w:tc>
          <w:tcPr>
            <w:tcW w:w="677" w:type="dxa"/>
            <w:noWrap/>
          </w:tcPr>
          <w:p w14:paraId="72A0F43A"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263</w:t>
            </w:r>
          </w:p>
        </w:tc>
        <w:tc>
          <w:tcPr>
            <w:tcW w:w="918" w:type="dxa"/>
            <w:noWrap/>
          </w:tcPr>
          <w:p w14:paraId="23C63F3F"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8.0</w:t>
            </w:r>
          </w:p>
        </w:tc>
        <w:tc>
          <w:tcPr>
            <w:tcW w:w="918" w:type="dxa"/>
            <w:gridSpan w:val="2"/>
            <w:noWrap/>
          </w:tcPr>
          <w:p w14:paraId="07751634"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0.0003</w:t>
            </w:r>
          </w:p>
        </w:tc>
        <w:tc>
          <w:tcPr>
            <w:tcW w:w="684" w:type="dxa"/>
            <w:noWrap/>
          </w:tcPr>
          <w:p w14:paraId="31E172DA"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135</w:t>
            </w:r>
          </w:p>
        </w:tc>
        <w:tc>
          <w:tcPr>
            <w:tcW w:w="903" w:type="dxa"/>
            <w:noWrap/>
          </w:tcPr>
          <w:p w14:paraId="30FFE43F"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9.0 </w:t>
            </w:r>
          </w:p>
        </w:tc>
      </w:tr>
      <w:tr w:rsidR="006D01BF" w:rsidRPr="006D01BF" w14:paraId="05920925"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5C4FAF"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2018</w:t>
            </w:r>
          </w:p>
        </w:tc>
        <w:tc>
          <w:tcPr>
            <w:tcW w:w="1047" w:type="dxa"/>
            <w:noWrap/>
          </w:tcPr>
          <w:p w14:paraId="5369D194"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0.0379</w:t>
            </w:r>
          </w:p>
        </w:tc>
        <w:tc>
          <w:tcPr>
            <w:tcW w:w="720" w:type="dxa"/>
            <w:noWrap/>
          </w:tcPr>
          <w:p w14:paraId="1D99EEEA"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193</w:t>
            </w:r>
          </w:p>
        </w:tc>
        <w:tc>
          <w:tcPr>
            <w:tcW w:w="925" w:type="dxa"/>
            <w:noWrap/>
          </w:tcPr>
          <w:p w14:paraId="356F39CF"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15.0</w:t>
            </w:r>
          </w:p>
        </w:tc>
        <w:tc>
          <w:tcPr>
            <w:tcW w:w="918" w:type="dxa"/>
            <w:gridSpan w:val="2"/>
            <w:noWrap/>
          </w:tcPr>
          <w:p w14:paraId="070999E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0.0253</w:t>
            </w:r>
          </w:p>
        </w:tc>
        <w:tc>
          <w:tcPr>
            <w:tcW w:w="677" w:type="dxa"/>
            <w:noWrap/>
          </w:tcPr>
          <w:p w14:paraId="16614B38"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235</w:t>
            </w:r>
          </w:p>
        </w:tc>
        <w:tc>
          <w:tcPr>
            <w:tcW w:w="918" w:type="dxa"/>
            <w:noWrap/>
          </w:tcPr>
          <w:p w14:paraId="2D8F6E3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7.0</w:t>
            </w:r>
          </w:p>
        </w:tc>
        <w:tc>
          <w:tcPr>
            <w:tcW w:w="918" w:type="dxa"/>
            <w:gridSpan w:val="2"/>
            <w:noWrap/>
          </w:tcPr>
          <w:p w14:paraId="72835F9C"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0.0004</w:t>
            </w:r>
          </w:p>
        </w:tc>
        <w:tc>
          <w:tcPr>
            <w:tcW w:w="684" w:type="dxa"/>
            <w:noWrap/>
          </w:tcPr>
          <w:p w14:paraId="34F7CFA5"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120</w:t>
            </w:r>
          </w:p>
        </w:tc>
        <w:tc>
          <w:tcPr>
            <w:tcW w:w="903" w:type="dxa"/>
            <w:noWrap/>
          </w:tcPr>
          <w:p w14:paraId="21E5BD0B"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7.0 </w:t>
            </w:r>
          </w:p>
        </w:tc>
      </w:tr>
      <w:tr w:rsidR="006D01BF" w:rsidRPr="006D01BF" w14:paraId="3AC61F3A"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E75821E"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2019</w:t>
            </w:r>
          </w:p>
        </w:tc>
        <w:tc>
          <w:tcPr>
            <w:tcW w:w="1047" w:type="dxa"/>
            <w:noWrap/>
          </w:tcPr>
          <w:p w14:paraId="0D0DA326"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0.0353</w:t>
            </w:r>
          </w:p>
        </w:tc>
        <w:tc>
          <w:tcPr>
            <w:tcW w:w="720" w:type="dxa"/>
            <w:noWrap/>
          </w:tcPr>
          <w:p w14:paraId="5F38B202"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180</w:t>
            </w:r>
          </w:p>
        </w:tc>
        <w:tc>
          <w:tcPr>
            <w:tcW w:w="925" w:type="dxa"/>
            <w:noWrap/>
          </w:tcPr>
          <w:p w14:paraId="1D11E253"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13.0</w:t>
            </w:r>
          </w:p>
        </w:tc>
        <w:tc>
          <w:tcPr>
            <w:tcW w:w="918" w:type="dxa"/>
            <w:gridSpan w:val="2"/>
            <w:noWrap/>
          </w:tcPr>
          <w:p w14:paraId="52245DB2"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0.0237</w:t>
            </w:r>
          </w:p>
        </w:tc>
        <w:tc>
          <w:tcPr>
            <w:tcW w:w="677" w:type="dxa"/>
            <w:noWrap/>
          </w:tcPr>
          <w:p w14:paraId="582B63CF"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220</w:t>
            </w:r>
          </w:p>
        </w:tc>
        <w:tc>
          <w:tcPr>
            <w:tcW w:w="918" w:type="dxa"/>
            <w:noWrap/>
          </w:tcPr>
          <w:p w14:paraId="13A0D67E"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6.0</w:t>
            </w:r>
          </w:p>
        </w:tc>
        <w:tc>
          <w:tcPr>
            <w:tcW w:w="918" w:type="dxa"/>
            <w:gridSpan w:val="2"/>
            <w:noWrap/>
          </w:tcPr>
          <w:p w14:paraId="1C514E88"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0.0004</w:t>
            </w:r>
          </w:p>
        </w:tc>
        <w:tc>
          <w:tcPr>
            <w:tcW w:w="684" w:type="dxa"/>
            <w:noWrap/>
          </w:tcPr>
          <w:p w14:paraId="763E7811"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112</w:t>
            </w:r>
          </w:p>
        </w:tc>
        <w:tc>
          <w:tcPr>
            <w:tcW w:w="903" w:type="dxa"/>
            <w:noWrap/>
          </w:tcPr>
          <w:p w14:paraId="55911B03"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6.0 </w:t>
            </w:r>
          </w:p>
        </w:tc>
      </w:tr>
      <w:tr w:rsidR="006D01BF" w:rsidRPr="006D01BF" w14:paraId="52B98E7C" w14:textId="77777777" w:rsidTr="006D01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A8C571"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2020 - 2030</w:t>
            </w:r>
          </w:p>
        </w:tc>
        <w:tc>
          <w:tcPr>
            <w:tcW w:w="1047" w:type="dxa"/>
            <w:noWrap/>
          </w:tcPr>
          <w:p w14:paraId="2EAB63EE"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0.0630</w:t>
            </w:r>
          </w:p>
        </w:tc>
        <w:tc>
          <w:tcPr>
            <w:tcW w:w="720" w:type="dxa"/>
            <w:noWrap/>
          </w:tcPr>
          <w:p w14:paraId="0025802D"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321</w:t>
            </w:r>
          </w:p>
        </w:tc>
        <w:tc>
          <w:tcPr>
            <w:tcW w:w="925" w:type="dxa"/>
            <w:noWrap/>
          </w:tcPr>
          <w:p w14:paraId="39B2E23D"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18.0</w:t>
            </w:r>
          </w:p>
        </w:tc>
        <w:tc>
          <w:tcPr>
            <w:tcW w:w="918" w:type="dxa"/>
            <w:gridSpan w:val="2"/>
            <w:noWrap/>
          </w:tcPr>
          <w:p w14:paraId="1E9E183A"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0.0319</w:t>
            </w:r>
          </w:p>
        </w:tc>
        <w:tc>
          <w:tcPr>
            <w:tcW w:w="677" w:type="dxa"/>
            <w:noWrap/>
          </w:tcPr>
          <w:p w14:paraId="321437AC"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296</w:t>
            </w:r>
          </w:p>
        </w:tc>
        <w:tc>
          <w:tcPr>
            <w:tcW w:w="918" w:type="dxa"/>
            <w:noWrap/>
          </w:tcPr>
          <w:p w14:paraId="4CA889B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7.0</w:t>
            </w:r>
          </w:p>
        </w:tc>
        <w:tc>
          <w:tcPr>
            <w:tcW w:w="918" w:type="dxa"/>
            <w:gridSpan w:val="2"/>
            <w:noWrap/>
          </w:tcPr>
          <w:p w14:paraId="78B80F3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0.0028</w:t>
            </w:r>
          </w:p>
        </w:tc>
        <w:tc>
          <w:tcPr>
            <w:tcW w:w="684" w:type="dxa"/>
            <w:noWrap/>
          </w:tcPr>
          <w:p w14:paraId="482C93BC"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241</w:t>
            </w:r>
          </w:p>
        </w:tc>
        <w:tc>
          <w:tcPr>
            <w:tcW w:w="903" w:type="dxa"/>
            <w:noWrap/>
          </w:tcPr>
          <w:p w14:paraId="712C7CB8"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8.0 </w:t>
            </w:r>
          </w:p>
        </w:tc>
      </w:tr>
    </w:tbl>
    <w:p w14:paraId="339C1DC3" w14:textId="77777777" w:rsidR="00B37F3E" w:rsidRDefault="00B37F3E" w:rsidP="00B37F3E"/>
    <w:p w14:paraId="072E9F34" w14:textId="77777777" w:rsidR="00B37F3E" w:rsidRDefault="00B37F3E">
      <w:pPr>
        <w:spacing w:line="240" w:lineRule="auto"/>
      </w:pPr>
      <w:r>
        <w:br w:type="page"/>
      </w:r>
    </w:p>
    <w:p w14:paraId="229E4DCE" w14:textId="77777777" w:rsidR="00B37F3E" w:rsidRPr="00B37F3E" w:rsidRDefault="00B37F3E" w:rsidP="00B37F3E"/>
    <w:p w14:paraId="2E1BAF5B" w14:textId="77777777" w:rsidR="000D7073" w:rsidRDefault="00B37F3E" w:rsidP="00B37F3E">
      <w:pPr>
        <w:pStyle w:val="Heading6"/>
      </w:pPr>
      <w:bookmarkStart w:id="1104" w:name="_Toc484092535"/>
      <w:bookmarkStart w:id="1105" w:name="_Toc484172740"/>
      <w:bookmarkStart w:id="1106" w:name="_Toc484183087"/>
      <w:bookmarkStart w:id="1107" w:name="_Toc485126608"/>
      <w:r w:rsidRPr="00B37F3E">
        <w:t>Effective</w:t>
      </w:r>
      <w:r>
        <w:t xml:space="preserve"> Useful Life</w:t>
      </w:r>
      <w:bookmarkEnd w:id="1104"/>
      <w:bookmarkEnd w:id="1105"/>
      <w:bookmarkEnd w:id="1106"/>
      <w:bookmarkEnd w:id="1107"/>
    </w:p>
    <w:p w14:paraId="7722EF87" w14:textId="77777777" w:rsidR="00B37F3E" w:rsidRDefault="00B37F3E" w:rsidP="00B37F3E"/>
    <w:tbl>
      <w:tblPr>
        <w:tblStyle w:val="EnergyTable1"/>
        <w:tblW w:w="7556" w:type="dxa"/>
        <w:tblLook w:val="04A0" w:firstRow="1" w:lastRow="0" w:firstColumn="1" w:lastColumn="0" w:noHBand="0" w:noVBand="1"/>
      </w:tblPr>
      <w:tblGrid>
        <w:gridCol w:w="1889"/>
        <w:gridCol w:w="1889"/>
        <w:gridCol w:w="1889"/>
        <w:gridCol w:w="1889"/>
      </w:tblGrid>
      <w:tr w:rsidR="00B37F3E" w:rsidRPr="00B37F3E" w14:paraId="76DA4DC1" w14:textId="77777777" w:rsidTr="00B37F3E">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tcPr>
          <w:p w14:paraId="124BF419" w14:textId="77777777" w:rsidR="00B37F3E" w:rsidRPr="00B37F3E" w:rsidRDefault="00B37F3E" w:rsidP="00B37F3E">
            <w:pPr>
              <w:spacing w:line="240" w:lineRule="auto"/>
              <w:rPr>
                <w:rFonts w:ascii="Arial Narrow" w:hAnsi="Arial Narrow"/>
                <w:color w:val="FFFFFF" w:themeColor="background1"/>
                <w:szCs w:val="20"/>
              </w:rPr>
            </w:pPr>
            <w:r w:rsidRPr="00B37F3E">
              <w:rPr>
                <w:rFonts w:ascii="Arial Narrow" w:hAnsi="Arial Narrow"/>
                <w:color w:val="FFFFFF" w:themeColor="background1"/>
                <w:szCs w:val="20"/>
              </w:rPr>
              <w:t xml:space="preserve">Utility </w:t>
            </w:r>
          </w:p>
        </w:tc>
        <w:tc>
          <w:tcPr>
            <w:tcW w:w="1889" w:type="dxa"/>
            <w:hideMark/>
          </w:tcPr>
          <w:p w14:paraId="06E025D9" w14:textId="77777777" w:rsidR="00B37F3E" w:rsidRPr="00B37F3E" w:rsidRDefault="00B37F3E" w:rsidP="00B37F3E">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Cs w:val="20"/>
              </w:rPr>
            </w:pPr>
            <w:r w:rsidRPr="00B37F3E">
              <w:rPr>
                <w:rFonts w:ascii="Arial Narrow" w:hAnsi="Arial Narrow"/>
                <w:color w:val="FFFFFF" w:themeColor="background1"/>
                <w:szCs w:val="20"/>
              </w:rPr>
              <w:t>Housing Type</w:t>
            </w:r>
          </w:p>
        </w:tc>
        <w:tc>
          <w:tcPr>
            <w:tcW w:w="1889" w:type="dxa"/>
            <w:hideMark/>
          </w:tcPr>
          <w:p w14:paraId="6018A33D" w14:textId="77777777" w:rsidR="00B37F3E" w:rsidRPr="00B37F3E" w:rsidRDefault="00B37F3E" w:rsidP="00B37F3E">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Cs w:val="20"/>
              </w:rPr>
            </w:pPr>
            <w:r w:rsidRPr="00B37F3E">
              <w:rPr>
                <w:rFonts w:ascii="Arial Narrow" w:hAnsi="Arial Narrow"/>
                <w:color w:val="FFFFFF" w:themeColor="background1"/>
                <w:szCs w:val="20"/>
              </w:rPr>
              <w:t>First Time Treatment</w:t>
            </w:r>
          </w:p>
        </w:tc>
        <w:tc>
          <w:tcPr>
            <w:tcW w:w="1889" w:type="dxa"/>
            <w:hideMark/>
          </w:tcPr>
          <w:p w14:paraId="2C3B37D9" w14:textId="77777777" w:rsidR="00B37F3E" w:rsidRPr="00B37F3E" w:rsidRDefault="00B37F3E" w:rsidP="00B37F3E">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Cs w:val="20"/>
              </w:rPr>
            </w:pPr>
            <w:r w:rsidRPr="00B37F3E">
              <w:rPr>
                <w:rFonts w:ascii="Arial Narrow" w:hAnsi="Arial Narrow"/>
                <w:color w:val="FFFFFF" w:themeColor="background1"/>
                <w:szCs w:val="20"/>
              </w:rPr>
              <w:t>Retreatment</w:t>
            </w:r>
          </w:p>
        </w:tc>
      </w:tr>
      <w:tr w:rsidR="00B37F3E" w:rsidRPr="00B37F3E" w14:paraId="6A0C0B51" w14:textId="77777777" w:rsidTr="00B37F3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val="restart"/>
          </w:tcPr>
          <w:p w14:paraId="2FE5E1B8"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PG&amp;E</w:t>
            </w:r>
          </w:p>
        </w:tc>
        <w:tc>
          <w:tcPr>
            <w:tcW w:w="1889" w:type="dxa"/>
            <w:hideMark/>
          </w:tcPr>
          <w:p w14:paraId="21112C62"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1889" w:type="dxa"/>
            <w:hideMark/>
          </w:tcPr>
          <w:p w14:paraId="2AE06B98"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8.0</w:t>
            </w:r>
          </w:p>
        </w:tc>
        <w:tc>
          <w:tcPr>
            <w:tcW w:w="1889" w:type="dxa"/>
            <w:hideMark/>
          </w:tcPr>
          <w:p w14:paraId="7E8C5E56"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8.0</w:t>
            </w:r>
          </w:p>
        </w:tc>
      </w:tr>
      <w:tr w:rsidR="00B37F3E" w:rsidRPr="00B37F3E" w14:paraId="2D75C7FD" w14:textId="77777777" w:rsidTr="00B37F3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6B1B08DA"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072F78A7"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1889" w:type="dxa"/>
            <w:hideMark/>
          </w:tcPr>
          <w:p w14:paraId="4334500C"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c>
          <w:tcPr>
            <w:tcW w:w="1889" w:type="dxa"/>
            <w:hideMark/>
          </w:tcPr>
          <w:p w14:paraId="48EFAABC"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r>
      <w:tr w:rsidR="00B37F3E" w:rsidRPr="00B37F3E" w14:paraId="4C5D6B98" w14:textId="77777777" w:rsidTr="00B37F3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1A85F8A6"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20A0B393"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1889" w:type="dxa"/>
            <w:hideMark/>
          </w:tcPr>
          <w:p w14:paraId="5015DBE1"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c>
          <w:tcPr>
            <w:tcW w:w="1889" w:type="dxa"/>
            <w:hideMark/>
          </w:tcPr>
          <w:p w14:paraId="71A11988"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r>
      <w:tr w:rsidR="00B37F3E" w:rsidRPr="00B37F3E" w14:paraId="5A4CE82E" w14:textId="77777777" w:rsidTr="00B37F3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val="restart"/>
          </w:tcPr>
          <w:p w14:paraId="36F5835B"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SCE</w:t>
            </w:r>
          </w:p>
        </w:tc>
        <w:tc>
          <w:tcPr>
            <w:tcW w:w="1889" w:type="dxa"/>
            <w:hideMark/>
          </w:tcPr>
          <w:p w14:paraId="03BD0B6F"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1889" w:type="dxa"/>
          </w:tcPr>
          <w:p w14:paraId="066C5ED8"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10.8</w:t>
            </w:r>
          </w:p>
        </w:tc>
        <w:tc>
          <w:tcPr>
            <w:tcW w:w="1889" w:type="dxa"/>
          </w:tcPr>
          <w:p w14:paraId="067F3CD2"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10.8</w:t>
            </w:r>
          </w:p>
        </w:tc>
      </w:tr>
      <w:tr w:rsidR="00B37F3E" w:rsidRPr="00B37F3E" w14:paraId="54B2E8FE" w14:textId="77777777" w:rsidTr="00B37F3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537406C6"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2534C082"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1889" w:type="dxa"/>
          </w:tcPr>
          <w:p w14:paraId="73CA0840"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11.8</w:t>
            </w:r>
          </w:p>
        </w:tc>
        <w:tc>
          <w:tcPr>
            <w:tcW w:w="1889" w:type="dxa"/>
          </w:tcPr>
          <w:p w14:paraId="28AB74F7"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11.4</w:t>
            </w:r>
          </w:p>
        </w:tc>
      </w:tr>
      <w:tr w:rsidR="00B37F3E" w:rsidRPr="00B37F3E" w14:paraId="0AB851C0" w14:textId="77777777" w:rsidTr="00B37F3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6EA13A21"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3A3FE65F"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1889" w:type="dxa"/>
          </w:tcPr>
          <w:p w14:paraId="40759105"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11.9</w:t>
            </w:r>
          </w:p>
        </w:tc>
        <w:tc>
          <w:tcPr>
            <w:tcW w:w="1889" w:type="dxa"/>
          </w:tcPr>
          <w:p w14:paraId="794943BB"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11.7</w:t>
            </w:r>
          </w:p>
        </w:tc>
      </w:tr>
      <w:tr w:rsidR="00B37F3E" w:rsidRPr="00B37F3E" w14:paraId="6922FFFF" w14:textId="77777777" w:rsidTr="00B37F3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val="restart"/>
          </w:tcPr>
          <w:p w14:paraId="5C24ED1E"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SCG</w:t>
            </w:r>
          </w:p>
        </w:tc>
        <w:tc>
          <w:tcPr>
            <w:tcW w:w="1889" w:type="dxa"/>
            <w:hideMark/>
          </w:tcPr>
          <w:p w14:paraId="0FA984D9"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1889" w:type="dxa"/>
          </w:tcPr>
          <w:p w14:paraId="755A305A"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10.4</w:t>
            </w:r>
          </w:p>
        </w:tc>
        <w:tc>
          <w:tcPr>
            <w:tcW w:w="1889" w:type="dxa"/>
          </w:tcPr>
          <w:p w14:paraId="1FFDDD64"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10.4</w:t>
            </w:r>
          </w:p>
        </w:tc>
      </w:tr>
      <w:tr w:rsidR="00B37F3E" w:rsidRPr="00B37F3E" w14:paraId="6017149F" w14:textId="77777777" w:rsidTr="00B37F3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7EC3BC17"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3613B21F"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1889" w:type="dxa"/>
          </w:tcPr>
          <w:p w14:paraId="2CA51B2A"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10.4</w:t>
            </w:r>
          </w:p>
        </w:tc>
        <w:tc>
          <w:tcPr>
            <w:tcW w:w="1889" w:type="dxa"/>
          </w:tcPr>
          <w:p w14:paraId="550FF42C"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10.2</w:t>
            </w:r>
          </w:p>
        </w:tc>
      </w:tr>
      <w:tr w:rsidR="00B37F3E" w:rsidRPr="00B37F3E" w14:paraId="170E58BC" w14:textId="77777777" w:rsidTr="00B37F3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707F1364"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5617D84A"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1889" w:type="dxa"/>
          </w:tcPr>
          <w:p w14:paraId="6BD17D8D"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10.7</w:t>
            </w:r>
          </w:p>
        </w:tc>
        <w:tc>
          <w:tcPr>
            <w:tcW w:w="1889" w:type="dxa"/>
          </w:tcPr>
          <w:p w14:paraId="5ECA6EED"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10.1</w:t>
            </w:r>
          </w:p>
        </w:tc>
      </w:tr>
      <w:tr w:rsidR="00B37F3E" w:rsidRPr="00B37F3E" w14:paraId="51F4A434" w14:textId="77777777" w:rsidTr="00B37F3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val="restart"/>
          </w:tcPr>
          <w:p w14:paraId="1C6EE796"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SDG&amp;E</w:t>
            </w:r>
          </w:p>
        </w:tc>
        <w:tc>
          <w:tcPr>
            <w:tcW w:w="1889" w:type="dxa"/>
            <w:hideMark/>
          </w:tcPr>
          <w:p w14:paraId="65B71D50"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1889" w:type="dxa"/>
          </w:tcPr>
          <w:p w14:paraId="3CEC6C44"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c>
          <w:tcPr>
            <w:tcW w:w="1889" w:type="dxa"/>
          </w:tcPr>
          <w:p w14:paraId="55023D40"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r>
      <w:tr w:rsidR="00B37F3E" w:rsidRPr="00B37F3E" w14:paraId="1E86C8AB" w14:textId="77777777" w:rsidTr="00B37F3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314C4492"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55EF5B2C"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1889" w:type="dxa"/>
          </w:tcPr>
          <w:p w14:paraId="5A89816C"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c>
          <w:tcPr>
            <w:tcW w:w="1889" w:type="dxa"/>
          </w:tcPr>
          <w:p w14:paraId="6836EF4A"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13.0</w:t>
            </w:r>
          </w:p>
        </w:tc>
      </w:tr>
      <w:tr w:rsidR="00B37F3E" w:rsidRPr="00B37F3E" w14:paraId="42F64319" w14:textId="77777777" w:rsidTr="00B37F3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89" w:type="dxa"/>
            <w:vMerge/>
          </w:tcPr>
          <w:p w14:paraId="33CD1958" w14:textId="77777777" w:rsidR="00B37F3E" w:rsidRPr="00B37F3E" w:rsidRDefault="00B37F3E" w:rsidP="00B37F3E">
            <w:pPr>
              <w:spacing w:line="240" w:lineRule="auto"/>
              <w:rPr>
                <w:rFonts w:ascii="Arial Narrow" w:hAnsi="Arial Narrow"/>
                <w:color w:val="000000"/>
                <w:szCs w:val="20"/>
              </w:rPr>
            </w:pPr>
          </w:p>
        </w:tc>
        <w:tc>
          <w:tcPr>
            <w:tcW w:w="1889" w:type="dxa"/>
            <w:hideMark/>
          </w:tcPr>
          <w:p w14:paraId="5E521AE9"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1889" w:type="dxa"/>
          </w:tcPr>
          <w:p w14:paraId="0EDF4399"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c>
          <w:tcPr>
            <w:tcW w:w="1889" w:type="dxa"/>
          </w:tcPr>
          <w:p w14:paraId="26310E17"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r>
    </w:tbl>
    <w:p w14:paraId="7C78FF81" w14:textId="77777777" w:rsidR="00B37F3E" w:rsidRDefault="00B37F3E" w:rsidP="00B37F3E"/>
    <w:p w14:paraId="48EEE782" w14:textId="77777777" w:rsidR="004B4A26" w:rsidRDefault="004B4A26" w:rsidP="00B37F3E"/>
    <w:p w14:paraId="10343295" w14:textId="77777777" w:rsidR="00181744" w:rsidRDefault="00181744">
      <w:pPr>
        <w:spacing w:line="240" w:lineRule="auto"/>
        <w:sectPr w:rsidR="00181744" w:rsidSect="00146A54">
          <w:pgSz w:w="12240" w:h="15840" w:code="1"/>
          <w:pgMar w:top="1440" w:right="1440" w:bottom="1440" w:left="1440" w:header="720" w:footer="720" w:gutter="0"/>
          <w:pgNumType w:start="1" w:chapStyle="5"/>
          <w:cols w:space="720"/>
          <w:docGrid w:linePitch="360"/>
        </w:sectPr>
      </w:pPr>
    </w:p>
    <w:p w14:paraId="3D853520" w14:textId="77777777" w:rsidR="004B4A26" w:rsidRDefault="004B4A26" w:rsidP="004B4A26">
      <w:pPr>
        <w:pStyle w:val="Heading5"/>
      </w:pPr>
      <w:bookmarkStart w:id="1108" w:name="_Ref484597640"/>
      <w:bookmarkStart w:id="1109" w:name="_Toc485126609"/>
      <w:r>
        <w:lastRenderedPageBreak/>
        <w:t>Detailed Sceanrio Results</w:t>
      </w:r>
      <w:bookmarkEnd w:id="1108"/>
      <w:bookmarkEnd w:id="1109"/>
    </w:p>
    <w:p w14:paraId="3A53F2E7" w14:textId="77777777" w:rsidR="004B4A26" w:rsidRDefault="00D823AE" w:rsidP="00D823AE">
      <w:pPr>
        <w:pStyle w:val="Heading6"/>
      </w:pPr>
      <w:bookmarkStart w:id="1110" w:name="_Toc485126610"/>
      <w:r>
        <w:t>PG&amp;E</w:t>
      </w:r>
      <w:bookmarkEnd w:id="1110"/>
    </w:p>
    <w:p w14:paraId="419A5F6F" w14:textId="77777777" w:rsidR="00D823AE" w:rsidRDefault="00D823AE" w:rsidP="00D823AE">
      <w:pPr>
        <w:pStyle w:val="Caption"/>
      </w:pPr>
      <w:bookmarkStart w:id="1111" w:name="_Toc485125630"/>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1</w:t>
      </w:r>
      <w:r w:rsidR="00272F76">
        <w:rPr>
          <w:noProof/>
        </w:rPr>
        <w:fldChar w:fldCharType="end"/>
      </w:r>
      <w:r w:rsidRPr="006F2DA9">
        <w:t xml:space="preserve">. </w:t>
      </w:r>
      <w:r>
        <w:t>PG&amp;E Electric Savings</w:t>
      </w:r>
      <w:bookmarkEnd w:id="1111"/>
    </w:p>
    <w:tbl>
      <w:tblPr>
        <w:tblStyle w:val="EnergyTable1"/>
        <w:tblW w:w="9926" w:type="dxa"/>
        <w:tblLook w:val="04A0" w:firstRow="1" w:lastRow="0" w:firstColumn="1" w:lastColumn="0" w:noHBand="0" w:noVBand="1"/>
      </w:tblPr>
      <w:tblGrid>
        <w:gridCol w:w="905"/>
        <w:gridCol w:w="709"/>
        <w:gridCol w:w="709"/>
        <w:gridCol w:w="709"/>
        <w:gridCol w:w="709"/>
        <w:gridCol w:w="709"/>
        <w:gridCol w:w="709"/>
        <w:gridCol w:w="709"/>
        <w:gridCol w:w="709"/>
        <w:gridCol w:w="709"/>
        <w:gridCol w:w="709"/>
        <w:gridCol w:w="709"/>
        <w:gridCol w:w="709"/>
        <w:gridCol w:w="709"/>
      </w:tblGrid>
      <w:tr w:rsidR="00D823AE" w:rsidRPr="00D823AE" w14:paraId="316EB596" w14:textId="77777777" w:rsidTr="00D823AE">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926" w:type="dxa"/>
            <w:gridSpan w:val="14"/>
            <w:noWrap/>
            <w:hideMark/>
          </w:tcPr>
          <w:p w14:paraId="5A4C0528" w14:textId="77777777" w:rsidR="00D823AE" w:rsidRPr="00D823AE" w:rsidRDefault="00D823AE" w:rsidP="00D823AE">
            <w:pPr>
              <w:spacing w:line="240" w:lineRule="auto"/>
              <w:rPr>
                <w:rFonts w:ascii="Arial Narrow" w:hAnsi="Arial Narrow"/>
                <w:bCs/>
                <w:sz w:val="18"/>
                <w:szCs w:val="18"/>
              </w:rPr>
            </w:pPr>
            <w:r w:rsidRPr="00D823AE">
              <w:rPr>
                <w:rFonts w:ascii="Arial Narrow" w:hAnsi="Arial Narrow"/>
                <w:bCs/>
                <w:sz w:val="18"/>
                <w:szCs w:val="18"/>
              </w:rPr>
              <w:t>Electric Energy (GWh/year)</w:t>
            </w:r>
          </w:p>
        </w:tc>
      </w:tr>
      <w:tr w:rsidR="00D823AE" w:rsidRPr="00D823AE" w14:paraId="4584BC8E"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7F38FE1A"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Year</w:t>
            </w:r>
          </w:p>
        </w:tc>
        <w:tc>
          <w:tcPr>
            <w:tcW w:w="695" w:type="dxa"/>
            <w:noWrap/>
            <w:hideMark/>
          </w:tcPr>
          <w:p w14:paraId="487917A4"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2018</w:t>
            </w:r>
          </w:p>
        </w:tc>
        <w:tc>
          <w:tcPr>
            <w:tcW w:w="695" w:type="dxa"/>
            <w:noWrap/>
            <w:hideMark/>
          </w:tcPr>
          <w:p w14:paraId="688CD381"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2019</w:t>
            </w:r>
          </w:p>
        </w:tc>
        <w:tc>
          <w:tcPr>
            <w:tcW w:w="695" w:type="dxa"/>
            <w:noWrap/>
            <w:hideMark/>
          </w:tcPr>
          <w:p w14:paraId="7D9AEF66"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2020</w:t>
            </w:r>
          </w:p>
        </w:tc>
        <w:tc>
          <w:tcPr>
            <w:tcW w:w="695" w:type="dxa"/>
            <w:noWrap/>
            <w:hideMark/>
          </w:tcPr>
          <w:p w14:paraId="3BDF1FB4"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2021</w:t>
            </w:r>
          </w:p>
        </w:tc>
        <w:tc>
          <w:tcPr>
            <w:tcW w:w="695" w:type="dxa"/>
            <w:noWrap/>
            <w:hideMark/>
          </w:tcPr>
          <w:p w14:paraId="79D01BC5"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2022</w:t>
            </w:r>
          </w:p>
        </w:tc>
        <w:tc>
          <w:tcPr>
            <w:tcW w:w="695" w:type="dxa"/>
            <w:noWrap/>
            <w:hideMark/>
          </w:tcPr>
          <w:p w14:paraId="3FC65D89"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2023</w:t>
            </w:r>
          </w:p>
        </w:tc>
        <w:tc>
          <w:tcPr>
            <w:tcW w:w="695" w:type="dxa"/>
            <w:noWrap/>
            <w:hideMark/>
          </w:tcPr>
          <w:p w14:paraId="37FF2C1C"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2024</w:t>
            </w:r>
          </w:p>
        </w:tc>
        <w:tc>
          <w:tcPr>
            <w:tcW w:w="695" w:type="dxa"/>
            <w:noWrap/>
            <w:hideMark/>
          </w:tcPr>
          <w:p w14:paraId="534BF1C2"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2025</w:t>
            </w:r>
          </w:p>
        </w:tc>
        <w:tc>
          <w:tcPr>
            <w:tcW w:w="695" w:type="dxa"/>
            <w:noWrap/>
            <w:hideMark/>
          </w:tcPr>
          <w:p w14:paraId="2386732C"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2026</w:t>
            </w:r>
          </w:p>
        </w:tc>
        <w:tc>
          <w:tcPr>
            <w:tcW w:w="695" w:type="dxa"/>
            <w:noWrap/>
            <w:hideMark/>
          </w:tcPr>
          <w:p w14:paraId="77FD34B3"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2027</w:t>
            </w:r>
          </w:p>
        </w:tc>
        <w:tc>
          <w:tcPr>
            <w:tcW w:w="695" w:type="dxa"/>
            <w:noWrap/>
            <w:hideMark/>
          </w:tcPr>
          <w:p w14:paraId="47DBAF70"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2028</w:t>
            </w:r>
          </w:p>
        </w:tc>
        <w:tc>
          <w:tcPr>
            <w:tcW w:w="695" w:type="dxa"/>
            <w:noWrap/>
            <w:hideMark/>
          </w:tcPr>
          <w:p w14:paraId="51E631A1"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2029</w:t>
            </w:r>
          </w:p>
        </w:tc>
        <w:tc>
          <w:tcPr>
            <w:tcW w:w="695" w:type="dxa"/>
            <w:noWrap/>
            <w:hideMark/>
          </w:tcPr>
          <w:p w14:paraId="070AD472" w14:textId="77777777" w:rsidR="00D823AE" w:rsidRPr="00D823AE" w:rsidRDefault="00D823AE" w:rsidP="00D823A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2030</w:t>
            </w:r>
          </w:p>
        </w:tc>
      </w:tr>
      <w:tr w:rsidR="00D823AE" w:rsidRPr="00D823AE" w14:paraId="608393B9"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926" w:type="dxa"/>
            <w:gridSpan w:val="14"/>
            <w:shd w:val="clear" w:color="auto" w:fill="DADADA" w:themeFill="background2" w:themeFillShade="E6"/>
            <w:noWrap/>
            <w:hideMark/>
          </w:tcPr>
          <w:p w14:paraId="104274B2"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TRC | Reference</w:t>
            </w:r>
          </w:p>
        </w:tc>
      </w:tr>
      <w:tr w:rsidR="00D823AE" w:rsidRPr="00D823AE" w14:paraId="6B6B63D7" w14:textId="77777777" w:rsidTr="00D823A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32C70FDA"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Rebate Programs</w:t>
            </w:r>
          </w:p>
        </w:tc>
        <w:tc>
          <w:tcPr>
            <w:tcW w:w="695" w:type="dxa"/>
            <w:noWrap/>
            <w:hideMark/>
          </w:tcPr>
          <w:p w14:paraId="19B7EA66"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294.3</w:t>
            </w:r>
          </w:p>
        </w:tc>
        <w:tc>
          <w:tcPr>
            <w:tcW w:w="695" w:type="dxa"/>
            <w:noWrap/>
            <w:hideMark/>
          </w:tcPr>
          <w:p w14:paraId="3FA81A7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321.2</w:t>
            </w:r>
          </w:p>
        </w:tc>
        <w:tc>
          <w:tcPr>
            <w:tcW w:w="695" w:type="dxa"/>
            <w:noWrap/>
            <w:hideMark/>
          </w:tcPr>
          <w:p w14:paraId="2F0CA8D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297.2</w:t>
            </w:r>
          </w:p>
        </w:tc>
        <w:tc>
          <w:tcPr>
            <w:tcW w:w="695" w:type="dxa"/>
            <w:noWrap/>
            <w:hideMark/>
          </w:tcPr>
          <w:p w14:paraId="13B616E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329.3</w:t>
            </w:r>
          </w:p>
        </w:tc>
        <w:tc>
          <w:tcPr>
            <w:tcW w:w="695" w:type="dxa"/>
            <w:noWrap/>
            <w:hideMark/>
          </w:tcPr>
          <w:p w14:paraId="4B984FE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335.6</w:t>
            </w:r>
          </w:p>
        </w:tc>
        <w:tc>
          <w:tcPr>
            <w:tcW w:w="695" w:type="dxa"/>
            <w:noWrap/>
            <w:hideMark/>
          </w:tcPr>
          <w:p w14:paraId="2D3DA05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340.8</w:t>
            </w:r>
          </w:p>
        </w:tc>
        <w:tc>
          <w:tcPr>
            <w:tcW w:w="695" w:type="dxa"/>
            <w:noWrap/>
            <w:hideMark/>
          </w:tcPr>
          <w:p w14:paraId="303DF50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364.8</w:t>
            </w:r>
          </w:p>
        </w:tc>
        <w:tc>
          <w:tcPr>
            <w:tcW w:w="695" w:type="dxa"/>
            <w:noWrap/>
            <w:hideMark/>
          </w:tcPr>
          <w:p w14:paraId="53ED5D2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371.1</w:t>
            </w:r>
          </w:p>
        </w:tc>
        <w:tc>
          <w:tcPr>
            <w:tcW w:w="695" w:type="dxa"/>
            <w:noWrap/>
            <w:hideMark/>
          </w:tcPr>
          <w:p w14:paraId="541AFAE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368.5</w:t>
            </w:r>
          </w:p>
        </w:tc>
        <w:tc>
          <w:tcPr>
            <w:tcW w:w="695" w:type="dxa"/>
            <w:noWrap/>
            <w:hideMark/>
          </w:tcPr>
          <w:p w14:paraId="2A176A8C"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368.1</w:t>
            </w:r>
          </w:p>
        </w:tc>
        <w:tc>
          <w:tcPr>
            <w:tcW w:w="695" w:type="dxa"/>
            <w:noWrap/>
            <w:hideMark/>
          </w:tcPr>
          <w:p w14:paraId="5F5F4A6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369.1</w:t>
            </w:r>
          </w:p>
        </w:tc>
        <w:tc>
          <w:tcPr>
            <w:tcW w:w="695" w:type="dxa"/>
            <w:noWrap/>
            <w:hideMark/>
          </w:tcPr>
          <w:p w14:paraId="65B677E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368.1</w:t>
            </w:r>
          </w:p>
        </w:tc>
        <w:tc>
          <w:tcPr>
            <w:tcW w:w="695" w:type="dxa"/>
            <w:noWrap/>
            <w:hideMark/>
          </w:tcPr>
          <w:p w14:paraId="2422F05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367.6</w:t>
            </w:r>
          </w:p>
        </w:tc>
      </w:tr>
      <w:tr w:rsidR="00D823AE" w:rsidRPr="00D823AE" w14:paraId="5C71E35D"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11E22353"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C&amp;S*</w:t>
            </w:r>
          </w:p>
        </w:tc>
        <w:tc>
          <w:tcPr>
            <w:tcW w:w="695" w:type="dxa"/>
            <w:noWrap/>
            <w:hideMark/>
          </w:tcPr>
          <w:p w14:paraId="2B71D02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662.3</w:t>
            </w:r>
          </w:p>
        </w:tc>
        <w:tc>
          <w:tcPr>
            <w:tcW w:w="695" w:type="dxa"/>
            <w:noWrap/>
            <w:hideMark/>
          </w:tcPr>
          <w:p w14:paraId="484AB64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678.6</w:t>
            </w:r>
          </w:p>
        </w:tc>
        <w:tc>
          <w:tcPr>
            <w:tcW w:w="695" w:type="dxa"/>
            <w:noWrap/>
            <w:hideMark/>
          </w:tcPr>
          <w:p w14:paraId="753F299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668.3</w:t>
            </w:r>
          </w:p>
        </w:tc>
        <w:tc>
          <w:tcPr>
            <w:tcW w:w="695" w:type="dxa"/>
            <w:noWrap/>
            <w:hideMark/>
          </w:tcPr>
          <w:p w14:paraId="132B6C5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688.9</w:t>
            </w:r>
          </w:p>
        </w:tc>
        <w:tc>
          <w:tcPr>
            <w:tcW w:w="695" w:type="dxa"/>
            <w:noWrap/>
            <w:hideMark/>
          </w:tcPr>
          <w:p w14:paraId="03E8CB7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673.8</w:t>
            </w:r>
          </w:p>
        </w:tc>
        <w:tc>
          <w:tcPr>
            <w:tcW w:w="695" w:type="dxa"/>
            <w:noWrap/>
            <w:hideMark/>
          </w:tcPr>
          <w:p w14:paraId="14D3012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735.4</w:t>
            </w:r>
          </w:p>
        </w:tc>
        <w:tc>
          <w:tcPr>
            <w:tcW w:w="695" w:type="dxa"/>
            <w:noWrap/>
            <w:hideMark/>
          </w:tcPr>
          <w:p w14:paraId="7DE01C5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707.2</w:t>
            </w:r>
          </w:p>
        </w:tc>
        <w:tc>
          <w:tcPr>
            <w:tcW w:w="695" w:type="dxa"/>
            <w:noWrap/>
            <w:hideMark/>
          </w:tcPr>
          <w:p w14:paraId="19AC3A6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687.4</w:t>
            </w:r>
          </w:p>
        </w:tc>
        <w:tc>
          <w:tcPr>
            <w:tcW w:w="695" w:type="dxa"/>
            <w:noWrap/>
            <w:hideMark/>
          </w:tcPr>
          <w:p w14:paraId="7F486FF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653.6</w:t>
            </w:r>
          </w:p>
        </w:tc>
        <w:tc>
          <w:tcPr>
            <w:tcW w:w="695" w:type="dxa"/>
            <w:noWrap/>
            <w:hideMark/>
          </w:tcPr>
          <w:p w14:paraId="18FCDAB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636.0</w:t>
            </w:r>
          </w:p>
        </w:tc>
        <w:tc>
          <w:tcPr>
            <w:tcW w:w="695" w:type="dxa"/>
            <w:noWrap/>
            <w:hideMark/>
          </w:tcPr>
          <w:p w14:paraId="37601D2A"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591.4</w:t>
            </w:r>
          </w:p>
        </w:tc>
        <w:tc>
          <w:tcPr>
            <w:tcW w:w="695" w:type="dxa"/>
            <w:noWrap/>
            <w:hideMark/>
          </w:tcPr>
          <w:p w14:paraId="7D4B96F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538.2</w:t>
            </w:r>
          </w:p>
        </w:tc>
        <w:tc>
          <w:tcPr>
            <w:tcW w:w="695" w:type="dxa"/>
            <w:noWrap/>
            <w:hideMark/>
          </w:tcPr>
          <w:p w14:paraId="57EA8EB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484.5</w:t>
            </w:r>
          </w:p>
        </w:tc>
      </w:tr>
      <w:tr w:rsidR="00D823AE" w:rsidRPr="00D823AE" w14:paraId="299CA96D"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182C3B4F"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BROs</w:t>
            </w:r>
          </w:p>
        </w:tc>
        <w:tc>
          <w:tcPr>
            <w:tcW w:w="695" w:type="dxa"/>
            <w:noWrap/>
            <w:hideMark/>
          </w:tcPr>
          <w:p w14:paraId="73EBF4F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123.1</w:t>
            </w:r>
          </w:p>
        </w:tc>
        <w:tc>
          <w:tcPr>
            <w:tcW w:w="695" w:type="dxa"/>
            <w:noWrap/>
            <w:hideMark/>
          </w:tcPr>
          <w:p w14:paraId="3E220C4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158.3</w:t>
            </w:r>
          </w:p>
        </w:tc>
        <w:tc>
          <w:tcPr>
            <w:tcW w:w="695" w:type="dxa"/>
            <w:noWrap/>
            <w:hideMark/>
          </w:tcPr>
          <w:p w14:paraId="3B3D407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175.2</w:t>
            </w:r>
          </w:p>
        </w:tc>
        <w:tc>
          <w:tcPr>
            <w:tcW w:w="695" w:type="dxa"/>
            <w:noWrap/>
            <w:hideMark/>
          </w:tcPr>
          <w:p w14:paraId="37DF75D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192.2</w:t>
            </w:r>
          </w:p>
        </w:tc>
        <w:tc>
          <w:tcPr>
            <w:tcW w:w="695" w:type="dxa"/>
            <w:noWrap/>
            <w:hideMark/>
          </w:tcPr>
          <w:p w14:paraId="12B98E8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203.6</w:t>
            </w:r>
          </w:p>
        </w:tc>
        <w:tc>
          <w:tcPr>
            <w:tcW w:w="695" w:type="dxa"/>
            <w:noWrap/>
            <w:hideMark/>
          </w:tcPr>
          <w:p w14:paraId="739EAD4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213.6</w:t>
            </w:r>
          </w:p>
        </w:tc>
        <w:tc>
          <w:tcPr>
            <w:tcW w:w="695" w:type="dxa"/>
            <w:noWrap/>
            <w:hideMark/>
          </w:tcPr>
          <w:p w14:paraId="296B93B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223.9</w:t>
            </w:r>
          </w:p>
        </w:tc>
        <w:tc>
          <w:tcPr>
            <w:tcW w:w="695" w:type="dxa"/>
            <w:noWrap/>
            <w:hideMark/>
          </w:tcPr>
          <w:p w14:paraId="1F0F334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241.3</w:t>
            </w:r>
          </w:p>
        </w:tc>
        <w:tc>
          <w:tcPr>
            <w:tcW w:w="695" w:type="dxa"/>
            <w:noWrap/>
            <w:hideMark/>
          </w:tcPr>
          <w:p w14:paraId="252F8D3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254.2</w:t>
            </w:r>
          </w:p>
        </w:tc>
        <w:tc>
          <w:tcPr>
            <w:tcW w:w="695" w:type="dxa"/>
            <w:noWrap/>
            <w:hideMark/>
          </w:tcPr>
          <w:p w14:paraId="2C49C0C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267.6</w:t>
            </w:r>
          </w:p>
        </w:tc>
        <w:tc>
          <w:tcPr>
            <w:tcW w:w="695" w:type="dxa"/>
            <w:noWrap/>
            <w:hideMark/>
          </w:tcPr>
          <w:p w14:paraId="2474D8C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281.1</w:t>
            </w:r>
          </w:p>
        </w:tc>
        <w:tc>
          <w:tcPr>
            <w:tcW w:w="695" w:type="dxa"/>
            <w:noWrap/>
            <w:hideMark/>
          </w:tcPr>
          <w:p w14:paraId="31AC046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295.1</w:t>
            </w:r>
          </w:p>
        </w:tc>
        <w:tc>
          <w:tcPr>
            <w:tcW w:w="695" w:type="dxa"/>
            <w:noWrap/>
            <w:hideMark/>
          </w:tcPr>
          <w:p w14:paraId="2F31EEA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310.2</w:t>
            </w:r>
          </w:p>
        </w:tc>
      </w:tr>
      <w:tr w:rsidR="00D823AE" w:rsidRPr="00D823AE" w14:paraId="284CD317" w14:textId="77777777" w:rsidTr="00D823AE">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7A1C75A3"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Low Income</w:t>
            </w:r>
          </w:p>
        </w:tc>
        <w:tc>
          <w:tcPr>
            <w:tcW w:w="695" w:type="dxa"/>
            <w:noWrap/>
            <w:hideMark/>
          </w:tcPr>
          <w:p w14:paraId="30D9F38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28.7</w:t>
            </w:r>
          </w:p>
        </w:tc>
        <w:tc>
          <w:tcPr>
            <w:tcW w:w="695" w:type="dxa"/>
            <w:noWrap/>
            <w:hideMark/>
          </w:tcPr>
          <w:p w14:paraId="345FC7D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29.8</w:t>
            </w:r>
          </w:p>
        </w:tc>
        <w:tc>
          <w:tcPr>
            <w:tcW w:w="695" w:type="dxa"/>
            <w:noWrap/>
            <w:hideMark/>
          </w:tcPr>
          <w:p w14:paraId="5981BE5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29.7</w:t>
            </w:r>
          </w:p>
        </w:tc>
        <w:tc>
          <w:tcPr>
            <w:tcW w:w="695" w:type="dxa"/>
            <w:noWrap/>
            <w:hideMark/>
          </w:tcPr>
          <w:p w14:paraId="616F335E"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0212865A"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1BB8DF1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1E528E1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022871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7A62D3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D20797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51E144D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4A1BC2A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608525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r>
      <w:tr w:rsidR="00D823AE" w:rsidRPr="00D823AE" w14:paraId="451AA1EA"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264AE542"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Total</w:t>
            </w:r>
          </w:p>
        </w:tc>
        <w:tc>
          <w:tcPr>
            <w:tcW w:w="695" w:type="dxa"/>
            <w:noWrap/>
            <w:hideMark/>
          </w:tcPr>
          <w:p w14:paraId="2249EEE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1,108.4</w:t>
            </w:r>
          </w:p>
        </w:tc>
        <w:tc>
          <w:tcPr>
            <w:tcW w:w="695" w:type="dxa"/>
            <w:noWrap/>
            <w:hideMark/>
          </w:tcPr>
          <w:p w14:paraId="095E797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1,187.9</w:t>
            </w:r>
          </w:p>
        </w:tc>
        <w:tc>
          <w:tcPr>
            <w:tcW w:w="695" w:type="dxa"/>
            <w:noWrap/>
            <w:hideMark/>
          </w:tcPr>
          <w:p w14:paraId="0866C5D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1,170.4</w:t>
            </w:r>
          </w:p>
        </w:tc>
        <w:tc>
          <w:tcPr>
            <w:tcW w:w="695" w:type="dxa"/>
            <w:noWrap/>
            <w:hideMark/>
          </w:tcPr>
          <w:p w14:paraId="69C17DE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1,232.2</w:t>
            </w:r>
          </w:p>
        </w:tc>
        <w:tc>
          <w:tcPr>
            <w:tcW w:w="695" w:type="dxa"/>
            <w:noWrap/>
            <w:hideMark/>
          </w:tcPr>
          <w:p w14:paraId="3F0735B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1,234.8</w:t>
            </w:r>
          </w:p>
        </w:tc>
        <w:tc>
          <w:tcPr>
            <w:tcW w:w="695" w:type="dxa"/>
            <w:noWrap/>
            <w:hideMark/>
          </w:tcPr>
          <w:p w14:paraId="12A3CB6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1,311.6</w:t>
            </w:r>
          </w:p>
        </w:tc>
        <w:tc>
          <w:tcPr>
            <w:tcW w:w="695" w:type="dxa"/>
            <w:noWrap/>
            <w:hideMark/>
          </w:tcPr>
          <w:p w14:paraId="30BEEAD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1,317.7</w:t>
            </w:r>
          </w:p>
        </w:tc>
        <w:tc>
          <w:tcPr>
            <w:tcW w:w="695" w:type="dxa"/>
            <w:noWrap/>
            <w:hideMark/>
          </w:tcPr>
          <w:p w14:paraId="2742F07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1,321.6</w:t>
            </w:r>
          </w:p>
        </w:tc>
        <w:tc>
          <w:tcPr>
            <w:tcW w:w="695" w:type="dxa"/>
            <w:noWrap/>
            <w:hideMark/>
          </w:tcPr>
          <w:p w14:paraId="4E1033A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1,298.1</w:t>
            </w:r>
          </w:p>
        </w:tc>
        <w:tc>
          <w:tcPr>
            <w:tcW w:w="695" w:type="dxa"/>
            <w:noWrap/>
            <w:hideMark/>
          </w:tcPr>
          <w:p w14:paraId="5E9AD53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1,293.5</w:t>
            </w:r>
          </w:p>
        </w:tc>
        <w:tc>
          <w:tcPr>
            <w:tcW w:w="695" w:type="dxa"/>
            <w:noWrap/>
            <w:hideMark/>
          </w:tcPr>
          <w:p w14:paraId="74F1FA9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1,263.4</w:t>
            </w:r>
          </w:p>
        </w:tc>
        <w:tc>
          <w:tcPr>
            <w:tcW w:w="695" w:type="dxa"/>
            <w:noWrap/>
            <w:hideMark/>
          </w:tcPr>
          <w:p w14:paraId="02265BE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1,223.2</w:t>
            </w:r>
          </w:p>
        </w:tc>
        <w:tc>
          <w:tcPr>
            <w:tcW w:w="695" w:type="dxa"/>
            <w:noWrap/>
            <w:hideMark/>
          </w:tcPr>
          <w:p w14:paraId="149F7A1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1,184.0</w:t>
            </w:r>
          </w:p>
        </w:tc>
      </w:tr>
      <w:tr w:rsidR="00D823AE" w:rsidRPr="00D823AE" w14:paraId="20F46E91"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926" w:type="dxa"/>
            <w:gridSpan w:val="14"/>
            <w:shd w:val="clear" w:color="auto" w:fill="DADADA" w:themeFill="background2" w:themeFillShade="E6"/>
            <w:noWrap/>
            <w:hideMark/>
          </w:tcPr>
          <w:p w14:paraId="29C26048"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mTRC (GHG adder 1) | Reference</w:t>
            </w:r>
          </w:p>
        </w:tc>
      </w:tr>
      <w:tr w:rsidR="00D823AE" w:rsidRPr="00D823AE" w14:paraId="2D9FF850" w14:textId="77777777" w:rsidTr="00D823A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5C42844B"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Rebate Programs</w:t>
            </w:r>
          </w:p>
        </w:tc>
        <w:tc>
          <w:tcPr>
            <w:tcW w:w="695" w:type="dxa"/>
            <w:noWrap/>
            <w:hideMark/>
          </w:tcPr>
          <w:p w14:paraId="7EDA265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309.0</w:t>
            </w:r>
          </w:p>
        </w:tc>
        <w:tc>
          <w:tcPr>
            <w:tcW w:w="695" w:type="dxa"/>
            <w:noWrap/>
            <w:hideMark/>
          </w:tcPr>
          <w:p w14:paraId="11FE6D9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358.4</w:t>
            </w:r>
          </w:p>
        </w:tc>
        <w:tc>
          <w:tcPr>
            <w:tcW w:w="695" w:type="dxa"/>
            <w:noWrap/>
            <w:hideMark/>
          </w:tcPr>
          <w:p w14:paraId="68BF0F7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336.7</w:t>
            </w:r>
          </w:p>
        </w:tc>
        <w:tc>
          <w:tcPr>
            <w:tcW w:w="695" w:type="dxa"/>
            <w:noWrap/>
            <w:hideMark/>
          </w:tcPr>
          <w:p w14:paraId="04C26C9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371.2</w:t>
            </w:r>
          </w:p>
        </w:tc>
        <w:tc>
          <w:tcPr>
            <w:tcW w:w="695" w:type="dxa"/>
            <w:noWrap/>
            <w:hideMark/>
          </w:tcPr>
          <w:p w14:paraId="31CC43C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371.3</w:t>
            </w:r>
          </w:p>
        </w:tc>
        <w:tc>
          <w:tcPr>
            <w:tcW w:w="695" w:type="dxa"/>
            <w:noWrap/>
            <w:hideMark/>
          </w:tcPr>
          <w:p w14:paraId="045022B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371.4</w:t>
            </w:r>
          </w:p>
        </w:tc>
        <w:tc>
          <w:tcPr>
            <w:tcW w:w="695" w:type="dxa"/>
            <w:noWrap/>
            <w:hideMark/>
          </w:tcPr>
          <w:p w14:paraId="1150E45C"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374.4</w:t>
            </w:r>
          </w:p>
        </w:tc>
        <w:tc>
          <w:tcPr>
            <w:tcW w:w="695" w:type="dxa"/>
            <w:noWrap/>
            <w:hideMark/>
          </w:tcPr>
          <w:p w14:paraId="6755460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378.0</w:t>
            </w:r>
          </w:p>
        </w:tc>
        <w:tc>
          <w:tcPr>
            <w:tcW w:w="695" w:type="dxa"/>
            <w:noWrap/>
            <w:hideMark/>
          </w:tcPr>
          <w:p w14:paraId="4D6C8BF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374.3</w:t>
            </w:r>
          </w:p>
        </w:tc>
        <w:tc>
          <w:tcPr>
            <w:tcW w:w="695" w:type="dxa"/>
            <w:noWrap/>
            <w:hideMark/>
          </w:tcPr>
          <w:p w14:paraId="5842E55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371.5</w:t>
            </w:r>
          </w:p>
        </w:tc>
        <w:tc>
          <w:tcPr>
            <w:tcW w:w="695" w:type="dxa"/>
            <w:noWrap/>
            <w:hideMark/>
          </w:tcPr>
          <w:p w14:paraId="196412B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371.7</w:t>
            </w:r>
          </w:p>
        </w:tc>
        <w:tc>
          <w:tcPr>
            <w:tcW w:w="695" w:type="dxa"/>
            <w:noWrap/>
            <w:hideMark/>
          </w:tcPr>
          <w:p w14:paraId="2F2DE7F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370.1</w:t>
            </w:r>
          </w:p>
        </w:tc>
        <w:tc>
          <w:tcPr>
            <w:tcW w:w="695" w:type="dxa"/>
            <w:noWrap/>
            <w:hideMark/>
          </w:tcPr>
          <w:p w14:paraId="0F28DC8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369.4</w:t>
            </w:r>
          </w:p>
        </w:tc>
      </w:tr>
      <w:tr w:rsidR="00D823AE" w:rsidRPr="00D823AE" w14:paraId="151A8EC0"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6D05D86C"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C&amp;S*</w:t>
            </w:r>
          </w:p>
        </w:tc>
        <w:tc>
          <w:tcPr>
            <w:tcW w:w="695" w:type="dxa"/>
            <w:noWrap/>
            <w:hideMark/>
          </w:tcPr>
          <w:p w14:paraId="144C8C6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662.3</w:t>
            </w:r>
          </w:p>
        </w:tc>
        <w:tc>
          <w:tcPr>
            <w:tcW w:w="695" w:type="dxa"/>
            <w:noWrap/>
            <w:hideMark/>
          </w:tcPr>
          <w:p w14:paraId="57B2943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678.6</w:t>
            </w:r>
          </w:p>
        </w:tc>
        <w:tc>
          <w:tcPr>
            <w:tcW w:w="695" w:type="dxa"/>
            <w:noWrap/>
            <w:hideMark/>
          </w:tcPr>
          <w:p w14:paraId="78EC2105"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668.3</w:t>
            </w:r>
          </w:p>
        </w:tc>
        <w:tc>
          <w:tcPr>
            <w:tcW w:w="695" w:type="dxa"/>
            <w:noWrap/>
            <w:hideMark/>
          </w:tcPr>
          <w:p w14:paraId="15BBBB6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688.9</w:t>
            </w:r>
          </w:p>
        </w:tc>
        <w:tc>
          <w:tcPr>
            <w:tcW w:w="695" w:type="dxa"/>
            <w:noWrap/>
            <w:hideMark/>
          </w:tcPr>
          <w:p w14:paraId="5E0FFD6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673.8</w:t>
            </w:r>
          </w:p>
        </w:tc>
        <w:tc>
          <w:tcPr>
            <w:tcW w:w="695" w:type="dxa"/>
            <w:noWrap/>
            <w:hideMark/>
          </w:tcPr>
          <w:p w14:paraId="26796D1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735.4</w:t>
            </w:r>
          </w:p>
        </w:tc>
        <w:tc>
          <w:tcPr>
            <w:tcW w:w="695" w:type="dxa"/>
            <w:noWrap/>
            <w:hideMark/>
          </w:tcPr>
          <w:p w14:paraId="1B5A5A2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707.2</w:t>
            </w:r>
          </w:p>
        </w:tc>
        <w:tc>
          <w:tcPr>
            <w:tcW w:w="695" w:type="dxa"/>
            <w:noWrap/>
            <w:hideMark/>
          </w:tcPr>
          <w:p w14:paraId="744070D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687.4</w:t>
            </w:r>
          </w:p>
        </w:tc>
        <w:tc>
          <w:tcPr>
            <w:tcW w:w="695" w:type="dxa"/>
            <w:noWrap/>
            <w:hideMark/>
          </w:tcPr>
          <w:p w14:paraId="6736B60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653.6</w:t>
            </w:r>
          </w:p>
        </w:tc>
        <w:tc>
          <w:tcPr>
            <w:tcW w:w="695" w:type="dxa"/>
            <w:noWrap/>
            <w:hideMark/>
          </w:tcPr>
          <w:p w14:paraId="38F34D5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636.0</w:t>
            </w:r>
          </w:p>
        </w:tc>
        <w:tc>
          <w:tcPr>
            <w:tcW w:w="695" w:type="dxa"/>
            <w:noWrap/>
            <w:hideMark/>
          </w:tcPr>
          <w:p w14:paraId="68E9FD8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591.4</w:t>
            </w:r>
          </w:p>
        </w:tc>
        <w:tc>
          <w:tcPr>
            <w:tcW w:w="695" w:type="dxa"/>
            <w:noWrap/>
            <w:hideMark/>
          </w:tcPr>
          <w:p w14:paraId="73B033D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538.2</w:t>
            </w:r>
          </w:p>
        </w:tc>
        <w:tc>
          <w:tcPr>
            <w:tcW w:w="695" w:type="dxa"/>
            <w:noWrap/>
            <w:hideMark/>
          </w:tcPr>
          <w:p w14:paraId="49C13BA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484.5</w:t>
            </w:r>
          </w:p>
        </w:tc>
      </w:tr>
      <w:tr w:rsidR="00D823AE" w:rsidRPr="00D823AE" w14:paraId="509F1281"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36E312C0"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BROs</w:t>
            </w:r>
          </w:p>
        </w:tc>
        <w:tc>
          <w:tcPr>
            <w:tcW w:w="695" w:type="dxa"/>
            <w:noWrap/>
            <w:hideMark/>
          </w:tcPr>
          <w:p w14:paraId="40530FA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123.1</w:t>
            </w:r>
          </w:p>
        </w:tc>
        <w:tc>
          <w:tcPr>
            <w:tcW w:w="695" w:type="dxa"/>
            <w:noWrap/>
            <w:hideMark/>
          </w:tcPr>
          <w:p w14:paraId="4D8CC446"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158.3</w:t>
            </w:r>
          </w:p>
        </w:tc>
        <w:tc>
          <w:tcPr>
            <w:tcW w:w="695" w:type="dxa"/>
            <w:noWrap/>
            <w:hideMark/>
          </w:tcPr>
          <w:p w14:paraId="2C52914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175.2</w:t>
            </w:r>
          </w:p>
        </w:tc>
        <w:tc>
          <w:tcPr>
            <w:tcW w:w="695" w:type="dxa"/>
            <w:noWrap/>
            <w:hideMark/>
          </w:tcPr>
          <w:p w14:paraId="769B9D6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192.2</w:t>
            </w:r>
          </w:p>
        </w:tc>
        <w:tc>
          <w:tcPr>
            <w:tcW w:w="695" w:type="dxa"/>
            <w:noWrap/>
            <w:hideMark/>
          </w:tcPr>
          <w:p w14:paraId="4AF1EE4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203.6</w:t>
            </w:r>
          </w:p>
        </w:tc>
        <w:tc>
          <w:tcPr>
            <w:tcW w:w="695" w:type="dxa"/>
            <w:noWrap/>
            <w:hideMark/>
          </w:tcPr>
          <w:p w14:paraId="3E4FEC3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213.6</w:t>
            </w:r>
          </w:p>
        </w:tc>
        <w:tc>
          <w:tcPr>
            <w:tcW w:w="695" w:type="dxa"/>
            <w:noWrap/>
            <w:hideMark/>
          </w:tcPr>
          <w:p w14:paraId="1B26F26C"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223.9</w:t>
            </w:r>
          </w:p>
        </w:tc>
        <w:tc>
          <w:tcPr>
            <w:tcW w:w="695" w:type="dxa"/>
            <w:noWrap/>
            <w:hideMark/>
          </w:tcPr>
          <w:p w14:paraId="402EE24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241.3</w:t>
            </w:r>
          </w:p>
        </w:tc>
        <w:tc>
          <w:tcPr>
            <w:tcW w:w="695" w:type="dxa"/>
            <w:noWrap/>
            <w:hideMark/>
          </w:tcPr>
          <w:p w14:paraId="61AC0E8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254.2</w:t>
            </w:r>
          </w:p>
        </w:tc>
        <w:tc>
          <w:tcPr>
            <w:tcW w:w="695" w:type="dxa"/>
            <w:noWrap/>
            <w:hideMark/>
          </w:tcPr>
          <w:p w14:paraId="20B6C64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267.6</w:t>
            </w:r>
          </w:p>
        </w:tc>
        <w:tc>
          <w:tcPr>
            <w:tcW w:w="695" w:type="dxa"/>
            <w:noWrap/>
            <w:hideMark/>
          </w:tcPr>
          <w:p w14:paraId="1EE1A58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281.1</w:t>
            </w:r>
          </w:p>
        </w:tc>
        <w:tc>
          <w:tcPr>
            <w:tcW w:w="695" w:type="dxa"/>
            <w:noWrap/>
            <w:hideMark/>
          </w:tcPr>
          <w:p w14:paraId="5198F38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295.1</w:t>
            </w:r>
          </w:p>
        </w:tc>
        <w:tc>
          <w:tcPr>
            <w:tcW w:w="695" w:type="dxa"/>
            <w:noWrap/>
            <w:hideMark/>
          </w:tcPr>
          <w:p w14:paraId="73C4668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310.2</w:t>
            </w:r>
          </w:p>
        </w:tc>
      </w:tr>
      <w:tr w:rsidR="00D823AE" w:rsidRPr="00D823AE" w14:paraId="64C7BF26" w14:textId="77777777" w:rsidTr="00D823AE">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0195AC45"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Low Income</w:t>
            </w:r>
          </w:p>
        </w:tc>
        <w:tc>
          <w:tcPr>
            <w:tcW w:w="695" w:type="dxa"/>
            <w:noWrap/>
            <w:hideMark/>
          </w:tcPr>
          <w:p w14:paraId="65FE788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28.7</w:t>
            </w:r>
          </w:p>
        </w:tc>
        <w:tc>
          <w:tcPr>
            <w:tcW w:w="695" w:type="dxa"/>
            <w:noWrap/>
            <w:hideMark/>
          </w:tcPr>
          <w:p w14:paraId="6E62CC5A"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29.8</w:t>
            </w:r>
          </w:p>
        </w:tc>
        <w:tc>
          <w:tcPr>
            <w:tcW w:w="695" w:type="dxa"/>
            <w:noWrap/>
            <w:hideMark/>
          </w:tcPr>
          <w:p w14:paraId="5F4680E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29.7</w:t>
            </w:r>
          </w:p>
        </w:tc>
        <w:tc>
          <w:tcPr>
            <w:tcW w:w="695" w:type="dxa"/>
            <w:noWrap/>
            <w:hideMark/>
          </w:tcPr>
          <w:p w14:paraId="2ECCAAB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7CBCEA5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7676111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A7AC6A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43247F3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A3031F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55F9052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4D46924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765F4E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0D71E0B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r>
      <w:tr w:rsidR="00D823AE" w:rsidRPr="00D823AE" w14:paraId="1ADE98ED"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5DFD04BF"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Total</w:t>
            </w:r>
          </w:p>
        </w:tc>
        <w:tc>
          <w:tcPr>
            <w:tcW w:w="695" w:type="dxa"/>
            <w:noWrap/>
            <w:hideMark/>
          </w:tcPr>
          <w:p w14:paraId="4EABFB76"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1,123.1</w:t>
            </w:r>
          </w:p>
        </w:tc>
        <w:tc>
          <w:tcPr>
            <w:tcW w:w="695" w:type="dxa"/>
            <w:noWrap/>
            <w:hideMark/>
          </w:tcPr>
          <w:p w14:paraId="36DAC32C"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1,225.1</w:t>
            </w:r>
          </w:p>
        </w:tc>
        <w:tc>
          <w:tcPr>
            <w:tcW w:w="695" w:type="dxa"/>
            <w:noWrap/>
            <w:hideMark/>
          </w:tcPr>
          <w:p w14:paraId="017E38A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1,209.9</w:t>
            </w:r>
          </w:p>
        </w:tc>
        <w:tc>
          <w:tcPr>
            <w:tcW w:w="695" w:type="dxa"/>
            <w:noWrap/>
            <w:hideMark/>
          </w:tcPr>
          <w:p w14:paraId="624FB44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1,274.1</w:t>
            </w:r>
          </w:p>
        </w:tc>
        <w:tc>
          <w:tcPr>
            <w:tcW w:w="695" w:type="dxa"/>
            <w:noWrap/>
            <w:hideMark/>
          </w:tcPr>
          <w:p w14:paraId="26C3292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1,270.4</w:t>
            </w:r>
          </w:p>
        </w:tc>
        <w:tc>
          <w:tcPr>
            <w:tcW w:w="695" w:type="dxa"/>
            <w:noWrap/>
            <w:hideMark/>
          </w:tcPr>
          <w:p w14:paraId="280EDF6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1,342.2</w:t>
            </w:r>
          </w:p>
        </w:tc>
        <w:tc>
          <w:tcPr>
            <w:tcW w:w="695" w:type="dxa"/>
            <w:noWrap/>
            <w:hideMark/>
          </w:tcPr>
          <w:p w14:paraId="5D9CBC7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1,327.2</w:t>
            </w:r>
          </w:p>
        </w:tc>
        <w:tc>
          <w:tcPr>
            <w:tcW w:w="695" w:type="dxa"/>
            <w:noWrap/>
            <w:hideMark/>
          </w:tcPr>
          <w:p w14:paraId="60F729D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1,328.5</w:t>
            </w:r>
          </w:p>
        </w:tc>
        <w:tc>
          <w:tcPr>
            <w:tcW w:w="695" w:type="dxa"/>
            <w:noWrap/>
            <w:hideMark/>
          </w:tcPr>
          <w:p w14:paraId="050C628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1,303.9</w:t>
            </w:r>
          </w:p>
        </w:tc>
        <w:tc>
          <w:tcPr>
            <w:tcW w:w="695" w:type="dxa"/>
            <w:noWrap/>
            <w:hideMark/>
          </w:tcPr>
          <w:p w14:paraId="472C13C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1,296.9</w:t>
            </w:r>
          </w:p>
        </w:tc>
        <w:tc>
          <w:tcPr>
            <w:tcW w:w="695" w:type="dxa"/>
            <w:noWrap/>
            <w:hideMark/>
          </w:tcPr>
          <w:p w14:paraId="00FFB17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1,266.0</w:t>
            </w:r>
          </w:p>
        </w:tc>
        <w:tc>
          <w:tcPr>
            <w:tcW w:w="695" w:type="dxa"/>
            <w:noWrap/>
            <w:hideMark/>
          </w:tcPr>
          <w:p w14:paraId="6C487CA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1,225.2</w:t>
            </w:r>
          </w:p>
        </w:tc>
        <w:tc>
          <w:tcPr>
            <w:tcW w:w="695" w:type="dxa"/>
            <w:noWrap/>
            <w:hideMark/>
          </w:tcPr>
          <w:p w14:paraId="33E2B24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1,185.8</w:t>
            </w:r>
          </w:p>
        </w:tc>
      </w:tr>
      <w:tr w:rsidR="00D823AE" w:rsidRPr="00D823AE" w14:paraId="7D43AFC0"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926" w:type="dxa"/>
            <w:gridSpan w:val="14"/>
            <w:shd w:val="clear" w:color="auto" w:fill="DADADA" w:themeFill="background2" w:themeFillShade="E6"/>
            <w:noWrap/>
            <w:hideMark/>
          </w:tcPr>
          <w:p w14:paraId="689D7FFB"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mTRC (GHG adder 2) | Reference</w:t>
            </w:r>
          </w:p>
        </w:tc>
      </w:tr>
      <w:tr w:rsidR="00D823AE" w:rsidRPr="00D823AE" w14:paraId="3CB9217D" w14:textId="77777777" w:rsidTr="00D823A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28BA4459"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Rebate Programs</w:t>
            </w:r>
          </w:p>
        </w:tc>
        <w:tc>
          <w:tcPr>
            <w:tcW w:w="695" w:type="dxa"/>
            <w:noWrap/>
            <w:hideMark/>
          </w:tcPr>
          <w:p w14:paraId="0CDCDDE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314.4</w:t>
            </w:r>
          </w:p>
        </w:tc>
        <w:tc>
          <w:tcPr>
            <w:tcW w:w="695" w:type="dxa"/>
            <w:noWrap/>
            <w:hideMark/>
          </w:tcPr>
          <w:p w14:paraId="1038C886"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351.1</w:t>
            </w:r>
          </w:p>
        </w:tc>
        <w:tc>
          <w:tcPr>
            <w:tcW w:w="695" w:type="dxa"/>
            <w:noWrap/>
            <w:hideMark/>
          </w:tcPr>
          <w:p w14:paraId="6D71709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346.3</w:t>
            </w:r>
          </w:p>
        </w:tc>
        <w:tc>
          <w:tcPr>
            <w:tcW w:w="695" w:type="dxa"/>
            <w:noWrap/>
            <w:hideMark/>
          </w:tcPr>
          <w:p w14:paraId="33F9BF6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384.1</w:t>
            </w:r>
          </w:p>
        </w:tc>
        <w:tc>
          <w:tcPr>
            <w:tcW w:w="695" w:type="dxa"/>
            <w:noWrap/>
            <w:hideMark/>
          </w:tcPr>
          <w:p w14:paraId="0F319FA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391.2</w:t>
            </w:r>
          </w:p>
        </w:tc>
        <w:tc>
          <w:tcPr>
            <w:tcW w:w="695" w:type="dxa"/>
            <w:noWrap/>
            <w:hideMark/>
          </w:tcPr>
          <w:p w14:paraId="7DC58D9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389.2</w:t>
            </w:r>
          </w:p>
        </w:tc>
        <w:tc>
          <w:tcPr>
            <w:tcW w:w="695" w:type="dxa"/>
            <w:noWrap/>
            <w:hideMark/>
          </w:tcPr>
          <w:p w14:paraId="1ED6039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391.9</w:t>
            </w:r>
          </w:p>
        </w:tc>
        <w:tc>
          <w:tcPr>
            <w:tcW w:w="695" w:type="dxa"/>
            <w:noWrap/>
            <w:hideMark/>
          </w:tcPr>
          <w:p w14:paraId="1353BB8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397.3</w:t>
            </w:r>
          </w:p>
        </w:tc>
        <w:tc>
          <w:tcPr>
            <w:tcW w:w="695" w:type="dxa"/>
            <w:noWrap/>
            <w:hideMark/>
          </w:tcPr>
          <w:p w14:paraId="0E4EDCF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408.7</w:t>
            </w:r>
          </w:p>
        </w:tc>
        <w:tc>
          <w:tcPr>
            <w:tcW w:w="695" w:type="dxa"/>
            <w:noWrap/>
            <w:hideMark/>
          </w:tcPr>
          <w:p w14:paraId="027F301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404.0</w:t>
            </w:r>
          </w:p>
        </w:tc>
        <w:tc>
          <w:tcPr>
            <w:tcW w:w="695" w:type="dxa"/>
            <w:noWrap/>
            <w:hideMark/>
          </w:tcPr>
          <w:p w14:paraId="6465C09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403.5</w:t>
            </w:r>
          </w:p>
        </w:tc>
        <w:tc>
          <w:tcPr>
            <w:tcW w:w="695" w:type="dxa"/>
            <w:noWrap/>
            <w:hideMark/>
          </w:tcPr>
          <w:p w14:paraId="2E997A6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404.1</w:t>
            </w:r>
          </w:p>
        </w:tc>
        <w:tc>
          <w:tcPr>
            <w:tcW w:w="695" w:type="dxa"/>
            <w:noWrap/>
            <w:hideMark/>
          </w:tcPr>
          <w:p w14:paraId="50FAB33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402.0</w:t>
            </w:r>
          </w:p>
        </w:tc>
      </w:tr>
      <w:tr w:rsidR="00D823AE" w:rsidRPr="00D823AE" w14:paraId="00B42ECA"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25468537"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C&amp;S*</w:t>
            </w:r>
          </w:p>
        </w:tc>
        <w:tc>
          <w:tcPr>
            <w:tcW w:w="695" w:type="dxa"/>
            <w:noWrap/>
            <w:hideMark/>
          </w:tcPr>
          <w:p w14:paraId="1D71496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662.3</w:t>
            </w:r>
          </w:p>
        </w:tc>
        <w:tc>
          <w:tcPr>
            <w:tcW w:w="695" w:type="dxa"/>
            <w:noWrap/>
            <w:hideMark/>
          </w:tcPr>
          <w:p w14:paraId="1E1AA82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678.6</w:t>
            </w:r>
          </w:p>
        </w:tc>
        <w:tc>
          <w:tcPr>
            <w:tcW w:w="695" w:type="dxa"/>
            <w:noWrap/>
            <w:hideMark/>
          </w:tcPr>
          <w:p w14:paraId="7FB1939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668.3</w:t>
            </w:r>
          </w:p>
        </w:tc>
        <w:tc>
          <w:tcPr>
            <w:tcW w:w="695" w:type="dxa"/>
            <w:noWrap/>
            <w:hideMark/>
          </w:tcPr>
          <w:p w14:paraId="5A7712BE"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688.9</w:t>
            </w:r>
          </w:p>
        </w:tc>
        <w:tc>
          <w:tcPr>
            <w:tcW w:w="695" w:type="dxa"/>
            <w:noWrap/>
            <w:hideMark/>
          </w:tcPr>
          <w:p w14:paraId="2516E09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673.8</w:t>
            </w:r>
          </w:p>
        </w:tc>
        <w:tc>
          <w:tcPr>
            <w:tcW w:w="695" w:type="dxa"/>
            <w:noWrap/>
            <w:hideMark/>
          </w:tcPr>
          <w:p w14:paraId="79B3957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735.4</w:t>
            </w:r>
          </w:p>
        </w:tc>
        <w:tc>
          <w:tcPr>
            <w:tcW w:w="695" w:type="dxa"/>
            <w:noWrap/>
            <w:hideMark/>
          </w:tcPr>
          <w:p w14:paraId="797ACDE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707.2</w:t>
            </w:r>
          </w:p>
        </w:tc>
        <w:tc>
          <w:tcPr>
            <w:tcW w:w="695" w:type="dxa"/>
            <w:noWrap/>
            <w:hideMark/>
          </w:tcPr>
          <w:p w14:paraId="773ADE2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687.4</w:t>
            </w:r>
          </w:p>
        </w:tc>
        <w:tc>
          <w:tcPr>
            <w:tcW w:w="695" w:type="dxa"/>
            <w:noWrap/>
            <w:hideMark/>
          </w:tcPr>
          <w:p w14:paraId="28687A85"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653.6</w:t>
            </w:r>
          </w:p>
        </w:tc>
        <w:tc>
          <w:tcPr>
            <w:tcW w:w="695" w:type="dxa"/>
            <w:noWrap/>
            <w:hideMark/>
          </w:tcPr>
          <w:p w14:paraId="4B3114C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636.0</w:t>
            </w:r>
          </w:p>
        </w:tc>
        <w:tc>
          <w:tcPr>
            <w:tcW w:w="695" w:type="dxa"/>
            <w:noWrap/>
            <w:hideMark/>
          </w:tcPr>
          <w:p w14:paraId="34F64B8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591.4</w:t>
            </w:r>
          </w:p>
        </w:tc>
        <w:tc>
          <w:tcPr>
            <w:tcW w:w="695" w:type="dxa"/>
            <w:noWrap/>
            <w:hideMark/>
          </w:tcPr>
          <w:p w14:paraId="67BBD626"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538.2</w:t>
            </w:r>
          </w:p>
        </w:tc>
        <w:tc>
          <w:tcPr>
            <w:tcW w:w="695" w:type="dxa"/>
            <w:noWrap/>
            <w:hideMark/>
          </w:tcPr>
          <w:p w14:paraId="2C136FC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484.5</w:t>
            </w:r>
          </w:p>
        </w:tc>
      </w:tr>
      <w:tr w:rsidR="00D823AE" w:rsidRPr="00D823AE" w14:paraId="09F3274D"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1B73BAC6"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BROs</w:t>
            </w:r>
          </w:p>
        </w:tc>
        <w:tc>
          <w:tcPr>
            <w:tcW w:w="695" w:type="dxa"/>
            <w:noWrap/>
            <w:hideMark/>
          </w:tcPr>
          <w:p w14:paraId="41D10B0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123.1</w:t>
            </w:r>
          </w:p>
        </w:tc>
        <w:tc>
          <w:tcPr>
            <w:tcW w:w="695" w:type="dxa"/>
            <w:noWrap/>
            <w:hideMark/>
          </w:tcPr>
          <w:p w14:paraId="0BA113B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158.3</w:t>
            </w:r>
          </w:p>
        </w:tc>
        <w:tc>
          <w:tcPr>
            <w:tcW w:w="695" w:type="dxa"/>
            <w:noWrap/>
            <w:hideMark/>
          </w:tcPr>
          <w:p w14:paraId="3D7E924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175.2</w:t>
            </w:r>
          </w:p>
        </w:tc>
        <w:tc>
          <w:tcPr>
            <w:tcW w:w="695" w:type="dxa"/>
            <w:noWrap/>
            <w:hideMark/>
          </w:tcPr>
          <w:p w14:paraId="3BBD664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192.2</w:t>
            </w:r>
          </w:p>
        </w:tc>
        <w:tc>
          <w:tcPr>
            <w:tcW w:w="695" w:type="dxa"/>
            <w:noWrap/>
            <w:hideMark/>
          </w:tcPr>
          <w:p w14:paraId="6C08D6F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203.6</w:t>
            </w:r>
          </w:p>
        </w:tc>
        <w:tc>
          <w:tcPr>
            <w:tcW w:w="695" w:type="dxa"/>
            <w:noWrap/>
            <w:hideMark/>
          </w:tcPr>
          <w:p w14:paraId="2A2C2F5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213.6</w:t>
            </w:r>
          </w:p>
        </w:tc>
        <w:tc>
          <w:tcPr>
            <w:tcW w:w="695" w:type="dxa"/>
            <w:noWrap/>
            <w:hideMark/>
          </w:tcPr>
          <w:p w14:paraId="7C2082C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223.9</w:t>
            </w:r>
          </w:p>
        </w:tc>
        <w:tc>
          <w:tcPr>
            <w:tcW w:w="695" w:type="dxa"/>
            <w:noWrap/>
            <w:hideMark/>
          </w:tcPr>
          <w:p w14:paraId="06450CC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241.3</w:t>
            </w:r>
          </w:p>
        </w:tc>
        <w:tc>
          <w:tcPr>
            <w:tcW w:w="695" w:type="dxa"/>
            <w:noWrap/>
            <w:hideMark/>
          </w:tcPr>
          <w:p w14:paraId="22078F5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254.2</w:t>
            </w:r>
          </w:p>
        </w:tc>
        <w:tc>
          <w:tcPr>
            <w:tcW w:w="695" w:type="dxa"/>
            <w:noWrap/>
            <w:hideMark/>
          </w:tcPr>
          <w:p w14:paraId="1713228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267.6</w:t>
            </w:r>
          </w:p>
        </w:tc>
        <w:tc>
          <w:tcPr>
            <w:tcW w:w="695" w:type="dxa"/>
            <w:noWrap/>
            <w:hideMark/>
          </w:tcPr>
          <w:p w14:paraId="541F41D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281.1</w:t>
            </w:r>
          </w:p>
        </w:tc>
        <w:tc>
          <w:tcPr>
            <w:tcW w:w="695" w:type="dxa"/>
            <w:noWrap/>
            <w:hideMark/>
          </w:tcPr>
          <w:p w14:paraId="4E2CED6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295.1</w:t>
            </w:r>
          </w:p>
        </w:tc>
        <w:tc>
          <w:tcPr>
            <w:tcW w:w="695" w:type="dxa"/>
            <w:noWrap/>
            <w:hideMark/>
          </w:tcPr>
          <w:p w14:paraId="2C9C79A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310.2</w:t>
            </w:r>
          </w:p>
        </w:tc>
      </w:tr>
      <w:tr w:rsidR="00D823AE" w:rsidRPr="00D823AE" w14:paraId="1FF36184" w14:textId="77777777" w:rsidTr="00D823AE">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50377A95"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Low Income</w:t>
            </w:r>
          </w:p>
        </w:tc>
        <w:tc>
          <w:tcPr>
            <w:tcW w:w="695" w:type="dxa"/>
            <w:noWrap/>
            <w:hideMark/>
          </w:tcPr>
          <w:p w14:paraId="7B667626"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28.7</w:t>
            </w:r>
          </w:p>
        </w:tc>
        <w:tc>
          <w:tcPr>
            <w:tcW w:w="695" w:type="dxa"/>
            <w:noWrap/>
            <w:hideMark/>
          </w:tcPr>
          <w:p w14:paraId="24CF8FB6"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29.8</w:t>
            </w:r>
          </w:p>
        </w:tc>
        <w:tc>
          <w:tcPr>
            <w:tcW w:w="695" w:type="dxa"/>
            <w:noWrap/>
            <w:hideMark/>
          </w:tcPr>
          <w:p w14:paraId="49C8EEFE"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29.7</w:t>
            </w:r>
          </w:p>
        </w:tc>
        <w:tc>
          <w:tcPr>
            <w:tcW w:w="695" w:type="dxa"/>
            <w:noWrap/>
            <w:hideMark/>
          </w:tcPr>
          <w:p w14:paraId="3C8550C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177C4B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4AC2A10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7A98A9A"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E36FAB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0E3DA80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E641B6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117C898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71B5AA2E"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14E9D3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r>
      <w:tr w:rsidR="00D823AE" w:rsidRPr="00D823AE" w14:paraId="223EC2B7"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56F0C072"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Total</w:t>
            </w:r>
          </w:p>
        </w:tc>
        <w:tc>
          <w:tcPr>
            <w:tcW w:w="695" w:type="dxa"/>
            <w:noWrap/>
            <w:hideMark/>
          </w:tcPr>
          <w:p w14:paraId="6D13B7C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1,128.5</w:t>
            </w:r>
          </w:p>
        </w:tc>
        <w:tc>
          <w:tcPr>
            <w:tcW w:w="695" w:type="dxa"/>
            <w:noWrap/>
            <w:hideMark/>
          </w:tcPr>
          <w:p w14:paraId="287ED38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1,217.8</w:t>
            </w:r>
          </w:p>
        </w:tc>
        <w:tc>
          <w:tcPr>
            <w:tcW w:w="695" w:type="dxa"/>
            <w:noWrap/>
            <w:hideMark/>
          </w:tcPr>
          <w:p w14:paraId="24864B7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1,219.5</w:t>
            </w:r>
          </w:p>
        </w:tc>
        <w:tc>
          <w:tcPr>
            <w:tcW w:w="695" w:type="dxa"/>
            <w:noWrap/>
            <w:hideMark/>
          </w:tcPr>
          <w:p w14:paraId="4F0926FC"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1,287.0</w:t>
            </w:r>
          </w:p>
        </w:tc>
        <w:tc>
          <w:tcPr>
            <w:tcW w:w="695" w:type="dxa"/>
            <w:noWrap/>
            <w:hideMark/>
          </w:tcPr>
          <w:p w14:paraId="2D2971D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1,290.3</w:t>
            </w:r>
          </w:p>
        </w:tc>
        <w:tc>
          <w:tcPr>
            <w:tcW w:w="695" w:type="dxa"/>
            <w:noWrap/>
            <w:hideMark/>
          </w:tcPr>
          <w:p w14:paraId="2A00BB8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1,360.1</w:t>
            </w:r>
          </w:p>
        </w:tc>
        <w:tc>
          <w:tcPr>
            <w:tcW w:w="695" w:type="dxa"/>
            <w:noWrap/>
            <w:hideMark/>
          </w:tcPr>
          <w:p w14:paraId="7926873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1,344.8</w:t>
            </w:r>
          </w:p>
        </w:tc>
        <w:tc>
          <w:tcPr>
            <w:tcW w:w="695" w:type="dxa"/>
            <w:noWrap/>
            <w:hideMark/>
          </w:tcPr>
          <w:p w14:paraId="561D9DF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1,347.8</w:t>
            </w:r>
          </w:p>
        </w:tc>
        <w:tc>
          <w:tcPr>
            <w:tcW w:w="695" w:type="dxa"/>
            <w:noWrap/>
            <w:hideMark/>
          </w:tcPr>
          <w:p w14:paraId="4942296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1,338.3</w:t>
            </w:r>
          </w:p>
        </w:tc>
        <w:tc>
          <w:tcPr>
            <w:tcW w:w="695" w:type="dxa"/>
            <w:noWrap/>
            <w:hideMark/>
          </w:tcPr>
          <w:p w14:paraId="0A3B4D5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1,329.4</w:t>
            </w:r>
          </w:p>
        </w:tc>
        <w:tc>
          <w:tcPr>
            <w:tcW w:w="695" w:type="dxa"/>
            <w:noWrap/>
            <w:hideMark/>
          </w:tcPr>
          <w:p w14:paraId="201355F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1,297.8</w:t>
            </w:r>
          </w:p>
        </w:tc>
        <w:tc>
          <w:tcPr>
            <w:tcW w:w="695" w:type="dxa"/>
            <w:noWrap/>
            <w:hideMark/>
          </w:tcPr>
          <w:p w14:paraId="20D6415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1,259.2</w:t>
            </w:r>
          </w:p>
        </w:tc>
        <w:tc>
          <w:tcPr>
            <w:tcW w:w="695" w:type="dxa"/>
            <w:noWrap/>
            <w:hideMark/>
          </w:tcPr>
          <w:p w14:paraId="5694B70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1,218.4</w:t>
            </w:r>
          </w:p>
        </w:tc>
      </w:tr>
      <w:tr w:rsidR="00D823AE" w:rsidRPr="00D823AE" w14:paraId="681DACCA"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926" w:type="dxa"/>
            <w:gridSpan w:val="14"/>
            <w:shd w:val="clear" w:color="auto" w:fill="DADADA" w:themeFill="background2" w:themeFillShade="E6"/>
            <w:noWrap/>
            <w:hideMark/>
          </w:tcPr>
          <w:p w14:paraId="5CC0B647"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PAC | Reference</w:t>
            </w:r>
          </w:p>
        </w:tc>
      </w:tr>
      <w:tr w:rsidR="00D823AE" w:rsidRPr="00D823AE" w14:paraId="25967547" w14:textId="77777777" w:rsidTr="00D823A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557AA9E8"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Rebate Programs</w:t>
            </w:r>
          </w:p>
        </w:tc>
        <w:tc>
          <w:tcPr>
            <w:tcW w:w="695" w:type="dxa"/>
            <w:noWrap/>
            <w:hideMark/>
          </w:tcPr>
          <w:p w14:paraId="5DD5120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390.4</w:t>
            </w:r>
          </w:p>
        </w:tc>
        <w:tc>
          <w:tcPr>
            <w:tcW w:w="695" w:type="dxa"/>
            <w:noWrap/>
            <w:hideMark/>
          </w:tcPr>
          <w:p w14:paraId="5221943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413.9</w:t>
            </w:r>
          </w:p>
        </w:tc>
        <w:tc>
          <w:tcPr>
            <w:tcW w:w="695" w:type="dxa"/>
            <w:noWrap/>
            <w:hideMark/>
          </w:tcPr>
          <w:p w14:paraId="6D3F337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389.7</w:t>
            </w:r>
          </w:p>
        </w:tc>
        <w:tc>
          <w:tcPr>
            <w:tcW w:w="695" w:type="dxa"/>
            <w:noWrap/>
            <w:hideMark/>
          </w:tcPr>
          <w:p w14:paraId="2CA5DB8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442.5</w:t>
            </w:r>
          </w:p>
        </w:tc>
        <w:tc>
          <w:tcPr>
            <w:tcW w:w="695" w:type="dxa"/>
            <w:noWrap/>
            <w:hideMark/>
          </w:tcPr>
          <w:p w14:paraId="71E4BE8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443.1</w:t>
            </w:r>
          </w:p>
        </w:tc>
        <w:tc>
          <w:tcPr>
            <w:tcW w:w="695" w:type="dxa"/>
            <w:noWrap/>
            <w:hideMark/>
          </w:tcPr>
          <w:p w14:paraId="6F6D7EF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439.1</w:t>
            </w:r>
          </w:p>
        </w:tc>
        <w:tc>
          <w:tcPr>
            <w:tcW w:w="695" w:type="dxa"/>
            <w:noWrap/>
            <w:hideMark/>
          </w:tcPr>
          <w:p w14:paraId="56AC4F0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434.1</w:t>
            </w:r>
          </w:p>
        </w:tc>
        <w:tc>
          <w:tcPr>
            <w:tcW w:w="695" w:type="dxa"/>
            <w:noWrap/>
            <w:hideMark/>
          </w:tcPr>
          <w:p w14:paraId="2B617BA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437.8</w:t>
            </w:r>
          </w:p>
        </w:tc>
        <w:tc>
          <w:tcPr>
            <w:tcW w:w="695" w:type="dxa"/>
            <w:noWrap/>
            <w:hideMark/>
          </w:tcPr>
          <w:p w14:paraId="55D20FB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431.1</w:t>
            </w:r>
          </w:p>
        </w:tc>
        <w:tc>
          <w:tcPr>
            <w:tcW w:w="695" w:type="dxa"/>
            <w:noWrap/>
            <w:hideMark/>
          </w:tcPr>
          <w:p w14:paraId="76B1829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431.9</w:t>
            </w:r>
          </w:p>
        </w:tc>
        <w:tc>
          <w:tcPr>
            <w:tcW w:w="695" w:type="dxa"/>
            <w:noWrap/>
            <w:hideMark/>
          </w:tcPr>
          <w:p w14:paraId="12ECEED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430.0</w:t>
            </w:r>
          </w:p>
        </w:tc>
        <w:tc>
          <w:tcPr>
            <w:tcW w:w="695" w:type="dxa"/>
            <w:noWrap/>
            <w:hideMark/>
          </w:tcPr>
          <w:p w14:paraId="2694A41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426.1</w:t>
            </w:r>
          </w:p>
        </w:tc>
        <w:tc>
          <w:tcPr>
            <w:tcW w:w="695" w:type="dxa"/>
            <w:noWrap/>
            <w:hideMark/>
          </w:tcPr>
          <w:p w14:paraId="2F67362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422.9</w:t>
            </w:r>
          </w:p>
        </w:tc>
      </w:tr>
      <w:tr w:rsidR="00D823AE" w:rsidRPr="00D823AE" w14:paraId="093F44CE"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181DF438"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C&amp;S*</w:t>
            </w:r>
          </w:p>
        </w:tc>
        <w:tc>
          <w:tcPr>
            <w:tcW w:w="695" w:type="dxa"/>
            <w:noWrap/>
            <w:hideMark/>
          </w:tcPr>
          <w:p w14:paraId="502ED08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662.3</w:t>
            </w:r>
          </w:p>
        </w:tc>
        <w:tc>
          <w:tcPr>
            <w:tcW w:w="695" w:type="dxa"/>
            <w:noWrap/>
            <w:hideMark/>
          </w:tcPr>
          <w:p w14:paraId="2F019545"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678.6</w:t>
            </w:r>
          </w:p>
        </w:tc>
        <w:tc>
          <w:tcPr>
            <w:tcW w:w="695" w:type="dxa"/>
            <w:noWrap/>
            <w:hideMark/>
          </w:tcPr>
          <w:p w14:paraId="6AC8389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668.3</w:t>
            </w:r>
          </w:p>
        </w:tc>
        <w:tc>
          <w:tcPr>
            <w:tcW w:w="695" w:type="dxa"/>
            <w:noWrap/>
            <w:hideMark/>
          </w:tcPr>
          <w:p w14:paraId="1E2F6EA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688.9</w:t>
            </w:r>
          </w:p>
        </w:tc>
        <w:tc>
          <w:tcPr>
            <w:tcW w:w="695" w:type="dxa"/>
            <w:noWrap/>
            <w:hideMark/>
          </w:tcPr>
          <w:p w14:paraId="1CB554F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673.8</w:t>
            </w:r>
          </w:p>
        </w:tc>
        <w:tc>
          <w:tcPr>
            <w:tcW w:w="695" w:type="dxa"/>
            <w:noWrap/>
            <w:hideMark/>
          </w:tcPr>
          <w:p w14:paraId="738A309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735.4</w:t>
            </w:r>
          </w:p>
        </w:tc>
        <w:tc>
          <w:tcPr>
            <w:tcW w:w="695" w:type="dxa"/>
            <w:noWrap/>
            <w:hideMark/>
          </w:tcPr>
          <w:p w14:paraId="17772A6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707.2</w:t>
            </w:r>
          </w:p>
        </w:tc>
        <w:tc>
          <w:tcPr>
            <w:tcW w:w="695" w:type="dxa"/>
            <w:noWrap/>
            <w:hideMark/>
          </w:tcPr>
          <w:p w14:paraId="51A1D27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687.4</w:t>
            </w:r>
          </w:p>
        </w:tc>
        <w:tc>
          <w:tcPr>
            <w:tcW w:w="695" w:type="dxa"/>
            <w:noWrap/>
            <w:hideMark/>
          </w:tcPr>
          <w:p w14:paraId="4814B39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653.6</w:t>
            </w:r>
          </w:p>
        </w:tc>
        <w:tc>
          <w:tcPr>
            <w:tcW w:w="695" w:type="dxa"/>
            <w:noWrap/>
            <w:hideMark/>
          </w:tcPr>
          <w:p w14:paraId="5D39975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636.0</w:t>
            </w:r>
          </w:p>
        </w:tc>
        <w:tc>
          <w:tcPr>
            <w:tcW w:w="695" w:type="dxa"/>
            <w:noWrap/>
            <w:hideMark/>
          </w:tcPr>
          <w:p w14:paraId="056EEFD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591.4</w:t>
            </w:r>
          </w:p>
        </w:tc>
        <w:tc>
          <w:tcPr>
            <w:tcW w:w="695" w:type="dxa"/>
            <w:noWrap/>
            <w:hideMark/>
          </w:tcPr>
          <w:p w14:paraId="0BF4F1A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538.2</w:t>
            </w:r>
          </w:p>
        </w:tc>
        <w:tc>
          <w:tcPr>
            <w:tcW w:w="695" w:type="dxa"/>
            <w:noWrap/>
            <w:hideMark/>
          </w:tcPr>
          <w:p w14:paraId="4EE6D9D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484.5</w:t>
            </w:r>
          </w:p>
        </w:tc>
      </w:tr>
      <w:tr w:rsidR="00D823AE" w:rsidRPr="00D823AE" w14:paraId="40450A07"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5B3F3B72"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BROs</w:t>
            </w:r>
          </w:p>
        </w:tc>
        <w:tc>
          <w:tcPr>
            <w:tcW w:w="695" w:type="dxa"/>
            <w:noWrap/>
            <w:hideMark/>
          </w:tcPr>
          <w:p w14:paraId="23D86F7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123.1</w:t>
            </w:r>
          </w:p>
        </w:tc>
        <w:tc>
          <w:tcPr>
            <w:tcW w:w="695" w:type="dxa"/>
            <w:noWrap/>
            <w:hideMark/>
          </w:tcPr>
          <w:p w14:paraId="4139D78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158.3</w:t>
            </w:r>
          </w:p>
        </w:tc>
        <w:tc>
          <w:tcPr>
            <w:tcW w:w="695" w:type="dxa"/>
            <w:noWrap/>
            <w:hideMark/>
          </w:tcPr>
          <w:p w14:paraId="630EADC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175.2</w:t>
            </w:r>
          </w:p>
        </w:tc>
        <w:tc>
          <w:tcPr>
            <w:tcW w:w="695" w:type="dxa"/>
            <w:noWrap/>
            <w:hideMark/>
          </w:tcPr>
          <w:p w14:paraId="452CE98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192.2</w:t>
            </w:r>
          </w:p>
        </w:tc>
        <w:tc>
          <w:tcPr>
            <w:tcW w:w="695" w:type="dxa"/>
            <w:noWrap/>
            <w:hideMark/>
          </w:tcPr>
          <w:p w14:paraId="6706E7A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203.6</w:t>
            </w:r>
          </w:p>
        </w:tc>
        <w:tc>
          <w:tcPr>
            <w:tcW w:w="695" w:type="dxa"/>
            <w:noWrap/>
            <w:hideMark/>
          </w:tcPr>
          <w:p w14:paraId="0EF10FA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213.6</w:t>
            </w:r>
          </w:p>
        </w:tc>
        <w:tc>
          <w:tcPr>
            <w:tcW w:w="695" w:type="dxa"/>
            <w:noWrap/>
            <w:hideMark/>
          </w:tcPr>
          <w:p w14:paraId="50F2B01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223.9</w:t>
            </w:r>
          </w:p>
        </w:tc>
        <w:tc>
          <w:tcPr>
            <w:tcW w:w="695" w:type="dxa"/>
            <w:noWrap/>
            <w:hideMark/>
          </w:tcPr>
          <w:p w14:paraId="095B540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241.3</w:t>
            </w:r>
          </w:p>
        </w:tc>
        <w:tc>
          <w:tcPr>
            <w:tcW w:w="695" w:type="dxa"/>
            <w:noWrap/>
            <w:hideMark/>
          </w:tcPr>
          <w:p w14:paraId="0FB458C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254.2</w:t>
            </w:r>
          </w:p>
        </w:tc>
        <w:tc>
          <w:tcPr>
            <w:tcW w:w="695" w:type="dxa"/>
            <w:noWrap/>
            <w:hideMark/>
          </w:tcPr>
          <w:p w14:paraId="14BFA7C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267.6</w:t>
            </w:r>
          </w:p>
        </w:tc>
        <w:tc>
          <w:tcPr>
            <w:tcW w:w="695" w:type="dxa"/>
            <w:noWrap/>
            <w:hideMark/>
          </w:tcPr>
          <w:p w14:paraId="17939DE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281.1</w:t>
            </w:r>
          </w:p>
        </w:tc>
        <w:tc>
          <w:tcPr>
            <w:tcW w:w="695" w:type="dxa"/>
            <w:noWrap/>
            <w:hideMark/>
          </w:tcPr>
          <w:p w14:paraId="151DC4B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295.1</w:t>
            </w:r>
          </w:p>
        </w:tc>
        <w:tc>
          <w:tcPr>
            <w:tcW w:w="695" w:type="dxa"/>
            <w:noWrap/>
            <w:hideMark/>
          </w:tcPr>
          <w:p w14:paraId="32108ED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310.2</w:t>
            </w:r>
          </w:p>
        </w:tc>
      </w:tr>
      <w:tr w:rsidR="00D823AE" w:rsidRPr="00D823AE" w14:paraId="338AA011" w14:textId="77777777" w:rsidTr="00D823AE">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339E774D"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Low Income</w:t>
            </w:r>
          </w:p>
        </w:tc>
        <w:tc>
          <w:tcPr>
            <w:tcW w:w="695" w:type="dxa"/>
            <w:noWrap/>
            <w:hideMark/>
          </w:tcPr>
          <w:p w14:paraId="615386C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28.7</w:t>
            </w:r>
          </w:p>
        </w:tc>
        <w:tc>
          <w:tcPr>
            <w:tcW w:w="695" w:type="dxa"/>
            <w:noWrap/>
            <w:hideMark/>
          </w:tcPr>
          <w:p w14:paraId="5C65ACB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29.8</w:t>
            </w:r>
          </w:p>
        </w:tc>
        <w:tc>
          <w:tcPr>
            <w:tcW w:w="695" w:type="dxa"/>
            <w:noWrap/>
            <w:hideMark/>
          </w:tcPr>
          <w:p w14:paraId="43A1074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29.7</w:t>
            </w:r>
          </w:p>
        </w:tc>
        <w:tc>
          <w:tcPr>
            <w:tcW w:w="695" w:type="dxa"/>
            <w:noWrap/>
            <w:hideMark/>
          </w:tcPr>
          <w:p w14:paraId="13A1449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CD0991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598CD69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0B1198F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3D26902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0B75002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2292FBA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7BCC432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63A009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5A34B82E"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r>
      <w:tr w:rsidR="00D823AE" w:rsidRPr="00D823AE" w14:paraId="65719C0B"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682B8078"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Total</w:t>
            </w:r>
          </w:p>
        </w:tc>
        <w:tc>
          <w:tcPr>
            <w:tcW w:w="695" w:type="dxa"/>
            <w:noWrap/>
            <w:hideMark/>
          </w:tcPr>
          <w:p w14:paraId="67EC62B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1,204.6</w:t>
            </w:r>
          </w:p>
        </w:tc>
        <w:tc>
          <w:tcPr>
            <w:tcW w:w="695" w:type="dxa"/>
            <w:noWrap/>
            <w:hideMark/>
          </w:tcPr>
          <w:p w14:paraId="72931E1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1,280.6</w:t>
            </w:r>
          </w:p>
        </w:tc>
        <w:tc>
          <w:tcPr>
            <w:tcW w:w="695" w:type="dxa"/>
            <w:noWrap/>
            <w:hideMark/>
          </w:tcPr>
          <w:p w14:paraId="10F6CAA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1,262.8</w:t>
            </w:r>
          </w:p>
        </w:tc>
        <w:tc>
          <w:tcPr>
            <w:tcW w:w="695" w:type="dxa"/>
            <w:noWrap/>
            <w:hideMark/>
          </w:tcPr>
          <w:p w14:paraId="66CA12C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1,345.4</w:t>
            </w:r>
          </w:p>
        </w:tc>
        <w:tc>
          <w:tcPr>
            <w:tcW w:w="695" w:type="dxa"/>
            <w:noWrap/>
            <w:hideMark/>
          </w:tcPr>
          <w:p w14:paraId="71405F5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1,342.2</w:t>
            </w:r>
          </w:p>
        </w:tc>
        <w:tc>
          <w:tcPr>
            <w:tcW w:w="695" w:type="dxa"/>
            <w:noWrap/>
            <w:hideMark/>
          </w:tcPr>
          <w:p w14:paraId="4D97A6F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1,409.9</w:t>
            </w:r>
          </w:p>
        </w:tc>
        <w:tc>
          <w:tcPr>
            <w:tcW w:w="695" w:type="dxa"/>
            <w:noWrap/>
            <w:hideMark/>
          </w:tcPr>
          <w:p w14:paraId="4DEE0BE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1,386.9</w:t>
            </w:r>
          </w:p>
        </w:tc>
        <w:tc>
          <w:tcPr>
            <w:tcW w:w="695" w:type="dxa"/>
            <w:noWrap/>
            <w:hideMark/>
          </w:tcPr>
          <w:p w14:paraId="404B8E8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1,388.3</w:t>
            </w:r>
          </w:p>
        </w:tc>
        <w:tc>
          <w:tcPr>
            <w:tcW w:w="695" w:type="dxa"/>
            <w:noWrap/>
            <w:hideMark/>
          </w:tcPr>
          <w:p w14:paraId="2DA6F92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1,360.8</w:t>
            </w:r>
          </w:p>
        </w:tc>
        <w:tc>
          <w:tcPr>
            <w:tcW w:w="695" w:type="dxa"/>
            <w:noWrap/>
            <w:hideMark/>
          </w:tcPr>
          <w:p w14:paraId="79B1248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1,357.3</w:t>
            </w:r>
          </w:p>
        </w:tc>
        <w:tc>
          <w:tcPr>
            <w:tcW w:w="695" w:type="dxa"/>
            <w:noWrap/>
            <w:hideMark/>
          </w:tcPr>
          <w:p w14:paraId="1BD36DA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1,324.3</w:t>
            </w:r>
          </w:p>
        </w:tc>
        <w:tc>
          <w:tcPr>
            <w:tcW w:w="695" w:type="dxa"/>
            <w:noWrap/>
            <w:hideMark/>
          </w:tcPr>
          <w:p w14:paraId="1923012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1,281.3</w:t>
            </w:r>
          </w:p>
        </w:tc>
        <w:tc>
          <w:tcPr>
            <w:tcW w:w="695" w:type="dxa"/>
            <w:noWrap/>
            <w:hideMark/>
          </w:tcPr>
          <w:p w14:paraId="6EEF17D1"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1,239.4</w:t>
            </w:r>
          </w:p>
        </w:tc>
      </w:tr>
      <w:tr w:rsidR="00D823AE" w:rsidRPr="00D823AE" w14:paraId="02D26996"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926" w:type="dxa"/>
            <w:gridSpan w:val="14"/>
            <w:shd w:val="clear" w:color="auto" w:fill="DADADA" w:themeFill="background2" w:themeFillShade="E6"/>
            <w:noWrap/>
            <w:hideMark/>
          </w:tcPr>
          <w:p w14:paraId="527C3A38"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PAC | Aggressive</w:t>
            </w:r>
          </w:p>
        </w:tc>
      </w:tr>
      <w:tr w:rsidR="00D823AE" w:rsidRPr="00D823AE" w14:paraId="7ABF093C" w14:textId="77777777" w:rsidTr="00D823A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5D2960E7"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Rebate Programs</w:t>
            </w:r>
          </w:p>
        </w:tc>
        <w:tc>
          <w:tcPr>
            <w:tcW w:w="695" w:type="dxa"/>
            <w:noWrap/>
            <w:hideMark/>
          </w:tcPr>
          <w:p w14:paraId="17776DB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411.3</w:t>
            </w:r>
          </w:p>
        </w:tc>
        <w:tc>
          <w:tcPr>
            <w:tcW w:w="695" w:type="dxa"/>
            <w:noWrap/>
            <w:hideMark/>
          </w:tcPr>
          <w:p w14:paraId="5BB8D04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435.5</w:t>
            </w:r>
          </w:p>
        </w:tc>
        <w:tc>
          <w:tcPr>
            <w:tcW w:w="695" w:type="dxa"/>
            <w:noWrap/>
            <w:hideMark/>
          </w:tcPr>
          <w:p w14:paraId="5C1A587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412.4</w:t>
            </w:r>
          </w:p>
        </w:tc>
        <w:tc>
          <w:tcPr>
            <w:tcW w:w="695" w:type="dxa"/>
            <w:noWrap/>
            <w:hideMark/>
          </w:tcPr>
          <w:p w14:paraId="79C04A3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471.1</w:t>
            </w:r>
          </w:p>
        </w:tc>
        <w:tc>
          <w:tcPr>
            <w:tcW w:w="695" w:type="dxa"/>
            <w:noWrap/>
            <w:hideMark/>
          </w:tcPr>
          <w:p w14:paraId="60ECAF7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470.7</w:t>
            </w:r>
          </w:p>
        </w:tc>
        <w:tc>
          <w:tcPr>
            <w:tcW w:w="695" w:type="dxa"/>
            <w:noWrap/>
            <w:hideMark/>
          </w:tcPr>
          <w:p w14:paraId="7313858C"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465.7</w:t>
            </w:r>
          </w:p>
        </w:tc>
        <w:tc>
          <w:tcPr>
            <w:tcW w:w="695" w:type="dxa"/>
            <w:noWrap/>
            <w:hideMark/>
          </w:tcPr>
          <w:p w14:paraId="4EF7439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459.7</w:t>
            </w:r>
          </w:p>
        </w:tc>
        <w:tc>
          <w:tcPr>
            <w:tcW w:w="695" w:type="dxa"/>
            <w:noWrap/>
            <w:hideMark/>
          </w:tcPr>
          <w:p w14:paraId="7EE9023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458.3</w:t>
            </w:r>
          </w:p>
        </w:tc>
        <w:tc>
          <w:tcPr>
            <w:tcW w:w="695" w:type="dxa"/>
            <w:noWrap/>
            <w:hideMark/>
          </w:tcPr>
          <w:p w14:paraId="4C08178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457.8</w:t>
            </w:r>
          </w:p>
        </w:tc>
        <w:tc>
          <w:tcPr>
            <w:tcW w:w="695" w:type="dxa"/>
            <w:noWrap/>
            <w:hideMark/>
          </w:tcPr>
          <w:p w14:paraId="6D7BA4E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456.6</w:t>
            </w:r>
          </w:p>
        </w:tc>
        <w:tc>
          <w:tcPr>
            <w:tcW w:w="695" w:type="dxa"/>
            <w:noWrap/>
            <w:hideMark/>
          </w:tcPr>
          <w:p w14:paraId="3B732736"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455.7</w:t>
            </w:r>
          </w:p>
        </w:tc>
        <w:tc>
          <w:tcPr>
            <w:tcW w:w="695" w:type="dxa"/>
            <w:noWrap/>
            <w:hideMark/>
          </w:tcPr>
          <w:p w14:paraId="4BB41A0F"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453.8</w:t>
            </w:r>
          </w:p>
        </w:tc>
        <w:tc>
          <w:tcPr>
            <w:tcW w:w="695" w:type="dxa"/>
            <w:noWrap/>
            <w:hideMark/>
          </w:tcPr>
          <w:p w14:paraId="57588A5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455.9</w:t>
            </w:r>
          </w:p>
        </w:tc>
      </w:tr>
      <w:tr w:rsidR="00D823AE" w:rsidRPr="00D823AE" w14:paraId="71577D0F" w14:textId="77777777" w:rsidTr="00D823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0DD22B66"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lastRenderedPageBreak/>
              <w:t>C&amp;S*</w:t>
            </w:r>
          </w:p>
        </w:tc>
        <w:tc>
          <w:tcPr>
            <w:tcW w:w="695" w:type="dxa"/>
            <w:noWrap/>
            <w:hideMark/>
          </w:tcPr>
          <w:p w14:paraId="52D7B16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662.3</w:t>
            </w:r>
          </w:p>
        </w:tc>
        <w:tc>
          <w:tcPr>
            <w:tcW w:w="695" w:type="dxa"/>
            <w:noWrap/>
            <w:hideMark/>
          </w:tcPr>
          <w:p w14:paraId="37BDDC5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678.6</w:t>
            </w:r>
          </w:p>
        </w:tc>
        <w:tc>
          <w:tcPr>
            <w:tcW w:w="695" w:type="dxa"/>
            <w:noWrap/>
            <w:hideMark/>
          </w:tcPr>
          <w:p w14:paraId="09B9DAB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668.3</w:t>
            </w:r>
          </w:p>
        </w:tc>
        <w:tc>
          <w:tcPr>
            <w:tcW w:w="695" w:type="dxa"/>
            <w:noWrap/>
            <w:hideMark/>
          </w:tcPr>
          <w:p w14:paraId="3A09007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688.9</w:t>
            </w:r>
          </w:p>
        </w:tc>
        <w:tc>
          <w:tcPr>
            <w:tcW w:w="695" w:type="dxa"/>
            <w:noWrap/>
            <w:hideMark/>
          </w:tcPr>
          <w:p w14:paraId="0663A87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673.8</w:t>
            </w:r>
          </w:p>
        </w:tc>
        <w:tc>
          <w:tcPr>
            <w:tcW w:w="695" w:type="dxa"/>
            <w:noWrap/>
            <w:hideMark/>
          </w:tcPr>
          <w:p w14:paraId="3843229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735.4</w:t>
            </w:r>
          </w:p>
        </w:tc>
        <w:tc>
          <w:tcPr>
            <w:tcW w:w="695" w:type="dxa"/>
            <w:noWrap/>
            <w:hideMark/>
          </w:tcPr>
          <w:p w14:paraId="0292E5A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707.2</w:t>
            </w:r>
          </w:p>
        </w:tc>
        <w:tc>
          <w:tcPr>
            <w:tcW w:w="695" w:type="dxa"/>
            <w:noWrap/>
            <w:hideMark/>
          </w:tcPr>
          <w:p w14:paraId="5880251B"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687.4</w:t>
            </w:r>
          </w:p>
        </w:tc>
        <w:tc>
          <w:tcPr>
            <w:tcW w:w="695" w:type="dxa"/>
            <w:noWrap/>
            <w:hideMark/>
          </w:tcPr>
          <w:p w14:paraId="471C71EC"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653.6</w:t>
            </w:r>
          </w:p>
        </w:tc>
        <w:tc>
          <w:tcPr>
            <w:tcW w:w="695" w:type="dxa"/>
            <w:noWrap/>
            <w:hideMark/>
          </w:tcPr>
          <w:p w14:paraId="294B57E8"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636.0</w:t>
            </w:r>
          </w:p>
        </w:tc>
        <w:tc>
          <w:tcPr>
            <w:tcW w:w="695" w:type="dxa"/>
            <w:noWrap/>
            <w:hideMark/>
          </w:tcPr>
          <w:p w14:paraId="4A782BB5"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591.4</w:t>
            </w:r>
          </w:p>
        </w:tc>
        <w:tc>
          <w:tcPr>
            <w:tcW w:w="695" w:type="dxa"/>
            <w:noWrap/>
            <w:hideMark/>
          </w:tcPr>
          <w:p w14:paraId="7F31A314"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538.2</w:t>
            </w:r>
          </w:p>
        </w:tc>
        <w:tc>
          <w:tcPr>
            <w:tcW w:w="695" w:type="dxa"/>
            <w:noWrap/>
            <w:hideMark/>
          </w:tcPr>
          <w:p w14:paraId="2E4A3EC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484.5</w:t>
            </w:r>
          </w:p>
        </w:tc>
      </w:tr>
      <w:tr w:rsidR="00D823AE" w:rsidRPr="00D823AE" w14:paraId="0E08C430"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446592B3"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BROs</w:t>
            </w:r>
          </w:p>
        </w:tc>
        <w:tc>
          <w:tcPr>
            <w:tcW w:w="695" w:type="dxa"/>
            <w:noWrap/>
            <w:hideMark/>
          </w:tcPr>
          <w:p w14:paraId="07B9A66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159.2</w:t>
            </w:r>
          </w:p>
        </w:tc>
        <w:tc>
          <w:tcPr>
            <w:tcW w:w="695" w:type="dxa"/>
            <w:noWrap/>
            <w:hideMark/>
          </w:tcPr>
          <w:p w14:paraId="7830D0C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199.4</w:t>
            </w:r>
          </w:p>
        </w:tc>
        <w:tc>
          <w:tcPr>
            <w:tcW w:w="695" w:type="dxa"/>
            <w:noWrap/>
            <w:hideMark/>
          </w:tcPr>
          <w:p w14:paraId="03C6073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236.2</w:t>
            </w:r>
          </w:p>
        </w:tc>
        <w:tc>
          <w:tcPr>
            <w:tcW w:w="695" w:type="dxa"/>
            <w:noWrap/>
            <w:hideMark/>
          </w:tcPr>
          <w:p w14:paraId="5F10516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252.7</w:t>
            </w:r>
          </w:p>
        </w:tc>
        <w:tc>
          <w:tcPr>
            <w:tcW w:w="695" w:type="dxa"/>
            <w:noWrap/>
            <w:hideMark/>
          </w:tcPr>
          <w:p w14:paraId="100FB6A3"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270.7</w:t>
            </w:r>
          </w:p>
        </w:tc>
        <w:tc>
          <w:tcPr>
            <w:tcW w:w="695" w:type="dxa"/>
            <w:noWrap/>
            <w:hideMark/>
          </w:tcPr>
          <w:p w14:paraId="45DE330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289.6</w:t>
            </w:r>
          </w:p>
        </w:tc>
        <w:tc>
          <w:tcPr>
            <w:tcW w:w="695" w:type="dxa"/>
            <w:noWrap/>
            <w:hideMark/>
          </w:tcPr>
          <w:p w14:paraId="7857722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311.7</w:t>
            </w:r>
          </w:p>
        </w:tc>
        <w:tc>
          <w:tcPr>
            <w:tcW w:w="695" w:type="dxa"/>
            <w:noWrap/>
            <w:hideMark/>
          </w:tcPr>
          <w:p w14:paraId="4DC2EBE7"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371.3</w:t>
            </w:r>
          </w:p>
        </w:tc>
        <w:tc>
          <w:tcPr>
            <w:tcW w:w="695" w:type="dxa"/>
            <w:noWrap/>
            <w:hideMark/>
          </w:tcPr>
          <w:p w14:paraId="49E0DD80"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400.8</w:t>
            </w:r>
          </w:p>
        </w:tc>
        <w:tc>
          <w:tcPr>
            <w:tcW w:w="695" w:type="dxa"/>
            <w:noWrap/>
            <w:hideMark/>
          </w:tcPr>
          <w:p w14:paraId="529E568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434.3</w:t>
            </w:r>
          </w:p>
        </w:tc>
        <w:tc>
          <w:tcPr>
            <w:tcW w:w="695" w:type="dxa"/>
            <w:noWrap/>
            <w:hideMark/>
          </w:tcPr>
          <w:p w14:paraId="1F699F5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472.4</w:t>
            </w:r>
          </w:p>
        </w:tc>
        <w:tc>
          <w:tcPr>
            <w:tcW w:w="695" w:type="dxa"/>
            <w:noWrap/>
            <w:hideMark/>
          </w:tcPr>
          <w:p w14:paraId="32132FA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515.9</w:t>
            </w:r>
          </w:p>
        </w:tc>
        <w:tc>
          <w:tcPr>
            <w:tcW w:w="695" w:type="dxa"/>
            <w:noWrap/>
            <w:hideMark/>
          </w:tcPr>
          <w:p w14:paraId="2517684B"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823AE">
              <w:rPr>
                <w:rFonts w:ascii="Arial Narrow" w:hAnsi="Arial Narrow"/>
                <w:sz w:val="18"/>
                <w:szCs w:val="18"/>
              </w:rPr>
              <w:t>566.7</w:t>
            </w:r>
          </w:p>
        </w:tc>
      </w:tr>
      <w:tr w:rsidR="00D823AE" w:rsidRPr="00D823AE" w14:paraId="3B83271B" w14:textId="77777777" w:rsidTr="00D823AE">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87" w:type="dxa"/>
            <w:hideMark/>
          </w:tcPr>
          <w:p w14:paraId="015B2F19"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Low Income</w:t>
            </w:r>
          </w:p>
        </w:tc>
        <w:tc>
          <w:tcPr>
            <w:tcW w:w="695" w:type="dxa"/>
            <w:noWrap/>
            <w:hideMark/>
          </w:tcPr>
          <w:p w14:paraId="222A7467"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28.7</w:t>
            </w:r>
          </w:p>
        </w:tc>
        <w:tc>
          <w:tcPr>
            <w:tcW w:w="695" w:type="dxa"/>
            <w:noWrap/>
            <w:hideMark/>
          </w:tcPr>
          <w:p w14:paraId="51C04E3D"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29.8</w:t>
            </w:r>
          </w:p>
        </w:tc>
        <w:tc>
          <w:tcPr>
            <w:tcW w:w="695" w:type="dxa"/>
            <w:noWrap/>
            <w:hideMark/>
          </w:tcPr>
          <w:p w14:paraId="59864FB1"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29.7</w:t>
            </w:r>
          </w:p>
        </w:tc>
        <w:tc>
          <w:tcPr>
            <w:tcW w:w="695" w:type="dxa"/>
            <w:noWrap/>
            <w:hideMark/>
          </w:tcPr>
          <w:p w14:paraId="10AC0D1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337E483A"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0EA5A70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04045AE2"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361F4633"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8D4F1E9"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4C515A4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8002496"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68887870"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c>
          <w:tcPr>
            <w:tcW w:w="695" w:type="dxa"/>
            <w:noWrap/>
            <w:hideMark/>
          </w:tcPr>
          <w:p w14:paraId="56815ABF" w14:textId="77777777" w:rsidR="00D823AE" w:rsidRPr="00D823AE" w:rsidRDefault="00D823AE" w:rsidP="00D823AE">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823AE">
              <w:rPr>
                <w:rFonts w:ascii="Arial Narrow" w:hAnsi="Arial Narrow"/>
                <w:sz w:val="18"/>
                <w:szCs w:val="18"/>
              </w:rPr>
              <w:t>21.8</w:t>
            </w:r>
          </w:p>
        </w:tc>
      </w:tr>
      <w:tr w:rsidR="00D823AE" w:rsidRPr="00D823AE" w14:paraId="60DFD1C1" w14:textId="77777777" w:rsidTr="00D823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hideMark/>
          </w:tcPr>
          <w:p w14:paraId="318008DB" w14:textId="77777777" w:rsidR="00D823AE" w:rsidRPr="00D823AE" w:rsidRDefault="00D823AE" w:rsidP="00D823AE">
            <w:pPr>
              <w:spacing w:line="240" w:lineRule="auto"/>
              <w:rPr>
                <w:rFonts w:ascii="Arial Narrow" w:hAnsi="Arial Narrow"/>
                <w:b/>
                <w:bCs/>
                <w:sz w:val="18"/>
                <w:szCs w:val="18"/>
              </w:rPr>
            </w:pPr>
            <w:r w:rsidRPr="00D823AE">
              <w:rPr>
                <w:rFonts w:ascii="Arial Narrow" w:hAnsi="Arial Narrow"/>
                <w:b/>
                <w:bCs/>
                <w:sz w:val="18"/>
                <w:szCs w:val="18"/>
              </w:rPr>
              <w:t>Total</w:t>
            </w:r>
          </w:p>
        </w:tc>
        <w:tc>
          <w:tcPr>
            <w:tcW w:w="695" w:type="dxa"/>
            <w:noWrap/>
            <w:hideMark/>
          </w:tcPr>
          <w:p w14:paraId="17E08F6E"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1,261.6</w:t>
            </w:r>
          </w:p>
        </w:tc>
        <w:tc>
          <w:tcPr>
            <w:tcW w:w="695" w:type="dxa"/>
            <w:noWrap/>
            <w:hideMark/>
          </w:tcPr>
          <w:p w14:paraId="1CEB289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1,343.2</w:t>
            </w:r>
          </w:p>
        </w:tc>
        <w:tc>
          <w:tcPr>
            <w:tcW w:w="695" w:type="dxa"/>
            <w:noWrap/>
            <w:hideMark/>
          </w:tcPr>
          <w:p w14:paraId="0480A9C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1,346.6</w:t>
            </w:r>
          </w:p>
        </w:tc>
        <w:tc>
          <w:tcPr>
            <w:tcW w:w="695" w:type="dxa"/>
            <w:noWrap/>
            <w:hideMark/>
          </w:tcPr>
          <w:p w14:paraId="56FD31D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1,434.5</w:t>
            </w:r>
          </w:p>
        </w:tc>
        <w:tc>
          <w:tcPr>
            <w:tcW w:w="695" w:type="dxa"/>
            <w:noWrap/>
            <w:hideMark/>
          </w:tcPr>
          <w:p w14:paraId="4A6E186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1,437.0</w:t>
            </w:r>
          </w:p>
        </w:tc>
        <w:tc>
          <w:tcPr>
            <w:tcW w:w="695" w:type="dxa"/>
            <w:noWrap/>
            <w:hideMark/>
          </w:tcPr>
          <w:p w14:paraId="7CAB7864"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1,512.5</w:t>
            </w:r>
          </w:p>
        </w:tc>
        <w:tc>
          <w:tcPr>
            <w:tcW w:w="695" w:type="dxa"/>
            <w:noWrap/>
            <w:hideMark/>
          </w:tcPr>
          <w:p w14:paraId="5936850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1,500.4</w:t>
            </w:r>
          </w:p>
        </w:tc>
        <w:tc>
          <w:tcPr>
            <w:tcW w:w="695" w:type="dxa"/>
            <w:noWrap/>
            <w:hideMark/>
          </w:tcPr>
          <w:p w14:paraId="1B99F1DA"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1,538.8</w:t>
            </w:r>
          </w:p>
        </w:tc>
        <w:tc>
          <w:tcPr>
            <w:tcW w:w="695" w:type="dxa"/>
            <w:noWrap/>
            <w:hideMark/>
          </w:tcPr>
          <w:p w14:paraId="7BDFF449"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1,534.1</w:t>
            </w:r>
          </w:p>
        </w:tc>
        <w:tc>
          <w:tcPr>
            <w:tcW w:w="695" w:type="dxa"/>
            <w:noWrap/>
            <w:hideMark/>
          </w:tcPr>
          <w:p w14:paraId="59AB8848"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1,548.7</w:t>
            </w:r>
          </w:p>
        </w:tc>
        <w:tc>
          <w:tcPr>
            <w:tcW w:w="695" w:type="dxa"/>
            <w:noWrap/>
            <w:hideMark/>
          </w:tcPr>
          <w:p w14:paraId="2498246D"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1,541.3</w:t>
            </w:r>
          </w:p>
        </w:tc>
        <w:tc>
          <w:tcPr>
            <w:tcW w:w="695" w:type="dxa"/>
            <w:noWrap/>
            <w:hideMark/>
          </w:tcPr>
          <w:p w14:paraId="7BBA1D25"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1,529.7</w:t>
            </w:r>
          </w:p>
        </w:tc>
        <w:tc>
          <w:tcPr>
            <w:tcW w:w="695" w:type="dxa"/>
            <w:noWrap/>
            <w:hideMark/>
          </w:tcPr>
          <w:p w14:paraId="2DFD1372" w14:textId="77777777" w:rsidR="00D823AE" w:rsidRPr="00D823AE" w:rsidRDefault="00D823AE" w:rsidP="00D82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D823AE">
              <w:rPr>
                <w:rFonts w:ascii="Arial Narrow" w:hAnsi="Arial Narrow"/>
                <w:b/>
                <w:bCs/>
                <w:sz w:val="18"/>
                <w:szCs w:val="18"/>
              </w:rPr>
              <w:t>1,528.8</w:t>
            </w:r>
          </w:p>
        </w:tc>
      </w:tr>
    </w:tbl>
    <w:p w14:paraId="057ED50C" w14:textId="77777777" w:rsidR="00D823AE" w:rsidRPr="00D823AE" w:rsidRDefault="00D823AE" w:rsidP="00D823AE"/>
    <w:p w14:paraId="6DBFF177" w14:textId="77777777" w:rsidR="00D823AE" w:rsidRDefault="00D823AE">
      <w:pPr>
        <w:spacing w:line="240" w:lineRule="auto"/>
      </w:pPr>
    </w:p>
    <w:p w14:paraId="779F66B3" w14:textId="77777777" w:rsidR="00D823AE" w:rsidRDefault="00D823AE" w:rsidP="00D823AE">
      <w:pPr>
        <w:pStyle w:val="Caption"/>
      </w:pPr>
      <w:bookmarkStart w:id="1112" w:name="_Toc485125631"/>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2</w:t>
      </w:r>
      <w:r w:rsidR="00272F76">
        <w:rPr>
          <w:noProof/>
        </w:rPr>
        <w:fldChar w:fldCharType="end"/>
      </w:r>
      <w:r w:rsidRPr="006F2DA9">
        <w:t xml:space="preserve">. </w:t>
      </w:r>
      <w:r>
        <w:t>PG&amp;E Demand Savings</w:t>
      </w:r>
      <w:bookmarkEnd w:id="1112"/>
    </w:p>
    <w:tbl>
      <w:tblPr>
        <w:tblW w:w="9013" w:type="dxa"/>
        <w:tblLook w:val="04A0" w:firstRow="1" w:lastRow="0" w:firstColumn="1" w:lastColumn="0" w:noHBand="0" w:noVBand="1"/>
      </w:tblPr>
      <w:tblGrid>
        <w:gridCol w:w="1279"/>
        <w:gridCol w:w="594"/>
        <w:gridCol w:w="594"/>
        <w:gridCol w:w="594"/>
        <w:gridCol w:w="594"/>
        <w:gridCol w:w="594"/>
        <w:gridCol w:w="594"/>
        <w:gridCol w:w="594"/>
        <w:gridCol w:w="594"/>
        <w:gridCol w:w="594"/>
        <w:gridCol w:w="594"/>
        <w:gridCol w:w="594"/>
        <w:gridCol w:w="594"/>
        <w:gridCol w:w="594"/>
        <w:gridCol w:w="12"/>
      </w:tblGrid>
      <w:tr w:rsidR="00D823AE" w:rsidRPr="00D823AE" w14:paraId="17235CDF" w14:textId="77777777" w:rsidTr="00D823AE">
        <w:trPr>
          <w:trHeight w:val="275"/>
        </w:trPr>
        <w:tc>
          <w:tcPr>
            <w:tcW w:w="9013" w:type="dxa"/>
            <w:gridSpan w:val="15"/>
            <w:tcBorders>
              <w:top w:val="nil"/>
              <w:left w:val="nil"/>
              <w:bottom w:val="single" w:sz="12" w:space="0" w:color="95D600"/>
              <w:right w:val="nil"/>
            </w:tcBorders>
            <w:shd w:val="clear" w:color="000000" w:fill="555759"/>
            <w:noWrap/>
            <w:vAlign w:val="center"/>
            <w:hideMark/>
          </w:tcPr>
          <w:p w14:paraId="3933E6A0" w14:textId="77777777" w:rsidR="00D823AE" w:rsidRPr="00D823AE" w:rsidRDefault="00D823AE" w:rsidP="00D823AE">
            <w:pPr>
              <w:spacing w:line="240" w:lineRule="auto"/>
              <w:jc w:val="center"/>
              <w:rPr>
                <w:rFonts w:ascii="Arial Narrow" w:hAnsi="Arial Narrow"/>
                <w:b/>
                <w:bCs/>
                <w:color w:val="FFFFFF"/>
                <w:sz w:val="18"/>
                <w:szCs w:val="18"/>
              </w:rPr>
            </w:pPr>
            <w:r w:rsidRPr="00D823AE">
              <w:rPr>
                <w:rFonts w:ascii="Arial Narrow" w:hAnsi="Arial Narrow"/>
                <w:b/>
                <w:bCs/>
                <w:color w:val="FFFFFF"/>
                <w:sz w:val="18"/>
                <w:szCs w:val="18"/>
              </w:rPr>
              <w:t>Electric Demand (MW)</w:t>
            </w:r>
          </w:p>
        </w:tc>
      </w:tr>
      <w:tr w:rsidR="00D823AE" w:rsidRPr="00D823AE" w14:paraId="7DBA4D11" w14:textId="77777777" w:rsidTr="00D823AE">
        <w:trPr>
          <w:gridAfter w:val="1"/>
          <w:wAfter w:w="12" w:type="dxa"/>
          <w:trHeight w:val="289"/>
        </w:trPr>
        <w:tc>
          <w:tcPr>
            <w:tcW w:w="1279" w:type="dxa"/>
            <w:tcBorders>
              <w:top w:val="nil"/>
              <w:left w:val="nil"/>
              <w:bottom w:val="single" w:sz="8" w:space="0" w:color="DCDDDE"/>
              <w:right w:val="nil"/>
            </w:tcBorders>
            <w:shd w:val="clear" w:color="auto" w:fill="auto"/>
            <w:vAlign w:val="center"/>
            <w:hideMark/>
          </w:tcPr>
          <w:p w14:paraId="42AE9B3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594" w:type="dxa"/>
            <w:tcBorders>
              <w:top w:val="nil"/>
              <w:left w:val="nil"/>
              <w:bottom w:val="single" w:sz="8" w:space="0" w:color="DCDDDE"/>
              <w:right w:val="nil"/>
            </w:tcBorders>
            <w:shd w:val="clear" w:color="auto" w:fill="auto"/>
            <w:noWrap/>
            <w:vAlign w:val="center"/>
            <w:hideMark/>
          </w:tcPr>
          <w:p w14:paraId="3F84B23E"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594" w:type="dxa"/>
            <w:tcBorders>
              <w:top w:val="nil"/>
              <w:left w:val="nil"/>
              <w:bottom w:val="single" w:sz="8" w:space="0" w:color="DCDDDE"/>
              <w:right w:val="nil"/>
            </w:tcBorders>
            <w:shd w:val="clear" w:color="auto" w:fill="auto"/>
            <w:noWrap/>
            <w:vAlign w:val="center"/>
            <w:hideMark/>
          </w:tcPr>
          <w:p w14:paraId="60B6CFA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594" w:type="dxa"/>
            <w:tcBorders>
              <w:top w:val="nil"/>
              <w:left w:val="nil"/>
              <w:bottom w:val="single" w:sz="8" w:space="0" w:color="DCDDDE"/>
              <w:right w:val="nil"/>
            </w:tcBorders>
            <w:shd w:val="clear" w:color="auto" w:fill="auto"/>
            <w:noWrap/>
            <w:vAlign w:val="center"/>
            <w:hideMark/>
          </w:tcPr>
          <w:p w14:paraId="6048754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594" w:type="dxa"/>
            <w:tcBorders>
              <w:top w:val="nil"/>
              <w:left w:val="nil"/>
              <w:bottom w:val="single" w:sz="8" w:space="0" w:color="DCDDDE"/>
              <w:right w:val="nil"/>
            </w:tcBorders>
            <w:shd w:val="clear" w:color="auto" w:fill="auto"/>
            <w:noWrap/>
            <w:vAlign w:val="center"/>
            <w:hideMark/>
          </w:tcPr>
          <w:p w14:paraId="56C74509"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594" w:type="dxa"/>
            <w:tcBorders>
              <w:top w:val="nil"/>
              <w:left w:val="nil"/>
              <w:bottom w:val="single" w:sz="8" w:space="0" w:color="DCDDDE"/>
              <w:right w:val="nil"/>
            </w:tcBorders>
            <w:shd w:val="clear" w:color="auto" w:fill="auto"/>
            <w:noWrap/>
            <w:vAlign w:val="center"/>
            <w:hideMark/>
          </w:tcPr>
          <w:p w14:paraId="35B03EDD"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594" w:type="dxa"/>
            <w:tcBorders>
              <w:top w:val="nil"/>
              <w:left w:val="nil"/>
              <w:bottom w:val="single" w:sz="8" w:space="0" w:color="DCDDDE"/>
              <w:right w:val="nil"/>
            </w:tcBorders>
            <w:shd w:val="clear" w:color="auto" w:fill="auto"/>
            <w:noWrap/>
            <w:vAlign w:val="center"/>
            <w:hideMark/>
          </w:tcPr>
          <w:p w14:paraId="456880E6"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594" w:type="dxa"/>
            <w:tcBorders>
              <w:top w:val="nil"/>
              <w:left w:val="nil"/>
              <w:bottom w:val="single" w:sz="8" w:space="0" w:color="DCDDDE"/>
              <w:right w:val="nil"/>
            </w:tcBorders>
            <w:shd w:val="clear" w:color="auto" w:fill="auto"/>
            <w:noWrap/>
            <w:vAlign w:val="center"/>
            <w:hideMark/>
          </w:tcPr>
          <w:p w14:paraId="5525BE83"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594" w:type="dxa"/>
            <w:tcBorders>
              <w:top w:val="nil"/>
              <w:left w:val="nil"/>
              <w:bottom w:val="single" w:sz="8" w:space="0" w:color="DCDDDE"/>
              <w:right w:val="nil"/>
            </w:tcBorders>
            <w:shd w:val="clear" w:color="auto" w:fill="auto"/>
            <w:noWrap/>
            <w:vAlign w:val="center"/>
            <w:hideMark/>
          </w:tcPr>
          <w:p w14:paraId="240A81F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594" w:type="dxa"/>
            <w:tcBorders>
              <w:top w:val="nil"/>
              <w:left w:val="nil"/>
              <w:bottom w:val="single" w:sz="8" w:space="0" w:color="DCDDDE"/>
              <w:right w:val="nil"/>
            </w:tcBorders>
            <w:shd w:val="clear" w:color="auto" w:fill="auto"/>
            <w:noWrap/>
            <w:vAlign w:val="center"/>
            <w:hideMark/>
          </w:tcPr>
          <w:p w14:paraId="422849BA"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594" w:type="dxa"/>
            <w:tcBorders>
              <w:top w:val="nil"/>
              <w:left w:val="nil"/>
              <w:bottom w:val="single" w:sz="8" w:space="0" w:color="DCDDDE"/>
              <w:right w:val="nil"/>
            </w:tcBorders>
            <w:shd w:val="clear" w:color="auto" w:fill="auto"/>
            <w:noWrap/>
            <w:vAlign w:val="center"/>
            <w:hideMark/>
          </w:tcPr>
          <w:p w14:paraId="1EA1477A"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594" w:type="dxa"/>
            <w:tcBorders>
              <w:top w:val="nil"/>
              <w:left w:val="nil"/>
              <w:bottom w:val="single" w:sz="8" w:space="0" w:color="DCDDDE"/>
              <w:right w:val="nil"/>
            </w:tcBorders>
            <w:shd w:val="clear" w:color="auto" w:fill="auto"/>
            <w:noWrap/>
            <w:vAlign w:val="center"/>
            <w:hideMark/>
          </w:tcPr>
          <w:p w14:paraId="2C3FE42B"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594" w:type="dxa"/>
            <w:tcBorders>
              <w:top w:val="nil"/>
              <w:left w:val="nil"/>
              <w:bottom w:val="single" w:sz="8" w:space="0" w:color="DCDDDE"/>
              <w:right w:val="nil"/>
            </w:tcBorders>
            <w:shd w:val="clear" w:color="auto" w:fill="auto"/>
            <w:noWrap/>
            <w:vAlign w:val="center"/>
            <w:hideMark/>
          </w:tcPr>
          <w:p w14:paraId="2A211F16"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594" w:type="dxa"/>
            <w:tcBorders>
              <w:top w:val="nil"/>
              <w:left w:val="nil"/>
              <w:bottom w:val="single" w:sz="8" w:space="0" w:color="DCDDDE"/>
              <w:right w:val="nil"/>
            </w:tcBorders>
            <w:shd w:val="clear" w:color="auto" w:fill="auto"/>
            <w:noWrap/>
            <w:vAlign w:val="center"/>
            <w:hideMark/>
          </w:tcPr>
          <w:p w14:paraId="53B2642F"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D823AE" w:rsidRPr="00D823AE" w14:paraId="71A34343" w14:textId="77777777" w:rsidTr="00D823AE">
        <w:trPr>
          <w:trHeight w:val="275"/>
        </w:trPr>
        <w:tc>
          <w:tcPr>
            <w:tcW w:w="9013" w:type="dxa"/>
            <w:gridSpan w:val="15"/>
            <w:tcBorders>
              <w:top w:val="single" w:sz="8" w:space="0" w:color="DCDDDE"/>
              <w:left w:val="nil"/>
              <w:bottom w:val="single" w:sz="8" w:space="0" w:color="DCDDDE"/>
              <w:right w:val="nil"/>
            </w:tcBorders>
            <w:shd w:val="clear" w:color="000000" w:fill="DADADA"/>
            <w:noWrap/>
            <w:vAlign w:val="center"/>
            <w:hideMark/>
          </w:tcPr>
          <w:p w14:paraId="6F2B77E3"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D823AE" w:rsidRPr="00D823AE" w14:paraId="7046D040"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1F584EAA"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4" w:type="dxa"/>
            <w:tcBorders>
              <w:top w:val="nil"/>
              <w:left w:val="nil"/>
              <w:bottom w:val="single" w:sz="8" w:space="0" w:color="DCDDDE"/>
              <w:right w:val="nil"/>
            </w:tcBorders>
            <w:shd w:val="clear" w:color="000000" w:fill="FFFFFF"/>
            <w:noWrap/>
            <w:vAlign w:val="center"/>
            <w:hideMark/>
          </w:tcPr>
          <w:p w14:paraId="19CE83D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51.2</w:t>
            </w:r>
          </w:p>
        </w:tc>
        <w:tc>
          <w:tcPr>
            <w:tcW w:w="594" w:type="dxa"/>
            <w:tcBorders>
              <w:top w:val="nil"/>
              <w:left w:val="nil"/>
              <w:bottom w:val="single" w:sz="8" w:space="0" w:color="DCDDDE"/>
              <w:right w:val="nil"/>
            </w:tcBorders>
            <w:shd w:val="clear" w:color="000000" w:fill="FFFFFF"/>
            <w:noWrap/>
            <w:vAlign w:val="center"/>
            <w:hideMark/>
          </w:tcPr>
          <w:p w14:paraId="22A4657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57.7</w:t>
            </w:r>
          </w:p>
        </w:tc>
        <w:tc>
          <w:tcPr>
            <w:tcW w:w="594" w:type="dxa"/>
            <w:tcBorders>
              <w:top w:val="nil"/>
              <w:left w:val="nil"/>
              <w:bottom w:val="single" w:sz="8" w:space="0" w:color="DCDDDE"/>
              <w:right w:val="nil"/>
            </w:tcBorders>
            <w:shd w:val="clear" w:color="000000" w:fill="FFFFFF"/>
            <w:noWrap/>
            <w:vAlign w:val="center"/>
            <w:hideMark/>
          </w:tcPr>
          <w:p w14:paraId="17D4321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51.3</w:t>
            </w:r>
          </w:p>
        </w:tc>
        <w:tc>
          <w:tcPr>
            <w:tcW w:w="594" w:type="dxa"/>
            <w:tcBorders>
              <w:top w:val="nil"/>
              <w:left w:val="nil"/>
              <w:bottom w:val="single" w:sz="8" w:space="0" w:color="DCDDDE"/>
              <w:right w:val="nil"/>
            </w:tcBorders>
            <w:shd w:val="clear" w:color="000000" w:fill="FFFFFF"/>
            <w:noWrap/>
            <w:vAlign w:val="center"/>
            <w:hideMark/>
          </w:tcPr>
          <w:p w14:paraId="42932D6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58.5</w:t>
            </w:r>
          </w:p>
        </w:tc>
        <w:tc>
          <w:tcPr>
            <w:tcW w:w="594" w:type="dxa"/>
            <w:tcBorders>
              <w:top w:val="nil"/>
              <w:left w:val="nil"/>
              <w:bottom w:val="single" w:sz="8" w:space="0" w:color="DCDDDE"/>
              <w:right w:val="nil"/>
            </w:tcBorders>
            <w:shd w:val="clear" w:color="000000" w:fill="FFFFFF"/>
            <w:noWrap/>
            <w:vAlign w:val="center"/>
            <w:hideMark/>
          </w:tcPr>
          <w:p w14:paraId="234151A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61.0</w:t>
            </w:r>
          </w:p>
        </w:tc>
        <w:tc>
          <w:tcPr>
            <w:tcW w:w="594" w:type="dxa"/>
            <w:tcBorders>
              <w:top w:val="nil"/>
              <w:left w:val="nil"/>
              <w:bottom w:val="single" w:sz="8" w:space="0" w:color="DCDDDE"/>
              <w:right w:val="nil"/>
            </w:tcBorders>
            <w:shd w:val="clear" w:color="000000" w:fill="FFFFFF"/>
            <w:noWrap/>
            <w:vAlign w:val="center"/>
            <w:hideMark/>
          </w:tcPr>
          <w:p w14:paraId="1BE59AC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62.6</w:t>
            </w:r>
          </w:p>
        </w:tc>
        <w:tc>
          <w:tcPr>
            <w:tcW w:w="594" w:type="dxa"/>
            <w:tcBorders>
              <w:top w:val="nil"/>
              <w:left w:val="nil"/>
              <w:bottom w:val="single" w:sz="8" w:space="0" w:color="DCDDDE"/>
              <w:right w:val="nil"/>
            </w:tcBorders>
            <w:shd w:val="clear" w:color="000000" w:fill="FFFFFF"/>
            <w:noWrap/>
            <w:vAlign w:val="center"/>
            <w:hideMark/>
          </w:tcPr>
          <w:p w14:paraId="52709A5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67.1</w:t>
            </w:r>
          </w:p>
        </w:tc>
        <w:tc>
          <w:tcPr>
            <w:tcW w:w="594" w:type="dxa"/>
            <w:tcBorders>
              <w:top w:val="nil"/>
              <w:left w:val="nil"/>
              <w:bottom w:val="single" w:sz="8" w:space="0" w:color="DCDDDE"/>
              <w:right w:val="nil"/>
            </w:tcBorders>
            <w:shd w:val="clear" w:color="000000" w:fill="FFFFFF"/>
            <w:noWrap/>
            <w:vAlign w:val="center"/>
            <w:hideMark/>
          </w:tcPr>
          <w:p w14:paraId="44DDDCB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68.7</w:t>
            </w:r>
          </w:p>
        </w:tc>
        <w:tc>
          <w:tcPr>
            <w:tcW w:w="594" w:type="dxa"/>
            <w:tcBorders>
              <w:top w:val="nil"/>
              <w:left w:val="nil"/>
              <w:bottom w:val="single" w:sz="8" w:space="0" w:color="DCDDDE"/>
              <w:right w:val="nil"/>
            </w:tcBorders>
            <w:shd w:val="clear" w:color="000000" w:fill="FFFFFF"/>
            <w:noWrap/>
            <w:vAlign w:val="center"/>
            <w:hideMark/>
          </w:tcPr>
          <w:p w14:paraId="0E691B8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68.5</w:t>
            </w:r>
          </w:p>
        </w:tc>
        <w:tc>
          <w:tcPr>
            <w:tcW w:w="594" w:type="dxa"/>
            <w:tcBorders>
              <w:top w:val="nil"/>
              <w:left w:val="nil"/>
              <w:bottom w:val="single" w:sz="8" w:space="0" w:color="DCDDDE"/>
              <w:right w:val="nil"/>
            </w:tcBorders>
            <w:shd w:val="clear" w:color="000000" w:fill="FFFFFF"/>
            <w:noWrap/>
            <w:vAlign w:val="center"/>
            <w:hideMark/>
          </w:tcPr>
          <w:p w14:paraId="71526CC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68.9</w:t>
            </w:r>
          </w:p>
        </w:tc>
        <w:tc>
          <w:tcPr>
            <w:tcW w:w="594" w:type="dxa"/>
            <w:tcBorders>
              <w:top w:val="nil"/>
              <w:left w:val="nil"/>
              <w:bottom w:val="single" w:sz="8" w:space="0" w:color="DCDDDE"/>
              <w:right w:val="nil"/>
            </w:tcBorders>
            <w:shd w:val="clear" w:color="000000" w:fill="FFFFFF"/>
            <w:noWrap/>
            <w:vAlign w:val="center"/>
            <w:hideMark/>
          </w:tcPr>
          <w:p w14:paraId="0223DA8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69.8</w:t>
            </w:r>
          </w:p>
        </w:tc>
        <w:tc>
          <w:tcPr>
            <w:tcW w:w="594" w:type="dxa"/>
            <w:tcBorders>
              <w:top w:val="nil"/>
              <w:left w:val="nil"/>
              <w:bottom w:val="single" w:sz="8" w:space="0" w:color="DCDDDE"/>
              <w:right w:val="nil"/>
            </w:tcBorders>
            <w:shd w:val="clear" w:color="000000" w:fill="FFFFFF"/>
            <w:noWrap/>
            <w:vAlign w:val="center"/>
            <w:hideMark/>
          </w:tcPr>
          <w:p w14:paraId="348209A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70.2</w:t>
            </w:r>
          </w:p>
        </w:tc>
        <w:tc>
          <w:tcPr>
            <w:tcW w:w="594" w:type="dxa"/>
            <w:tcBorders>
              <w:top w:val="nil"/>
              <w:left w:val="nil"/>
              <w:bottom w:val="single" w:sz="8" w:space="0" w:color="DCDDDE"/>
              <w:right w:val="nil"/>
            </w:tcBorders>
            <w:shd w:val="clear" w:color="000000" w:fill="FFFFFF"/>
            <w:noWrap/>
            <w:vAlign w:val="center"/>
            <w:hideMark/>
          </w:tcPr>
          <w:p w14:paraId="7BB8815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70.6</w:t>
            </w:r>
          </w:p>
        </w:tc>
      </w:tr>
      <w:tr w:rsidR="00D823AE" w:rsidRPr="00D823AE" w14:paraId="263D39BF"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67B02BF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4" w:type="dxa"/>
            <w:tcBorders>
              <w:top w:val="nil"/>
              <w:left w:val="nil"/>
              <w:bottom w:val="single" w:sz="8" w:space="0" w:color="DCDDDE"/>
              <w:right w:val="nil"/>
            </w:tcBorders>
            <w:shd w:val="clear" w:color="000000" w:fill="FFFFFF"/>
            <w:noWrap/>
            <w:vAlign w:val="center"/>
            <w:hideMark/>
          </w:tcPr>
          <w:p w14:paraId="6C92D72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162.8</w:t>
            </w:r>
          </w:p>
        </w:tc>
        <w:tc>
          <w:tcPr>
            <w:tcW w:w="594" w:type="dxa"/>
            <w:tcBorders>
              <w:top w:val="nil"/>
              <w:left w:val="nil"/>
              <w:bottom w:val="single" w:sz="8" w:space="0" w:color="DCDDDE"/>
              <w:right w:val="nil"/>
            </w:tcBorders>
            <w:shd w:val="clear" w:color="000000" w:fill="FFFFFF"/>
            <w:noWrap/>
            <w:vAlign w:val="center"/>
            <w:hideMark/>
          </w:tcPr>
          <w:p w14:paraId="5853DC4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163.5</w:t>
            </w:r>
          </w:p>
        </w:tc>
        <w:tc>
          <w:tcPr>
            <w:tcW w:w="594" w:type="dxa"/>
            <w:tcBorders>
              <w:top w:val="nil"/>
              <w:left w:val="nil"/>
              <w:bottom w:val="single" w:sz="8" w:space="0" w:color="DCDDDE"/>
              <w:right w:val="nil"/>
            </w:tcBorders>
            <w:shd w:val="clear" w:color="000000" w:fill="FFFFFF"/>
            <w:noWrap/>
            <w:vAlign w:val="center"/>
            <w:hideMark/>
          </w:tcPr>
          <w:p w14:paraId="2435D71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179.1</w:t>
            </w:r>
          </w:p>
        </w:tc>
        <w:tc>
          <w:tcPr>
            <w:tcW w:w="594" w:type="dxa"/>
            <w:tcBorders>
              <w:top w:val="nil"/>
              <w:left w:val="nil"/>
              <w:bottom w:val="single" w:sz="8" w:space="0" w:color="DCDDDE"/>
              <w:right w:val="nil"/>
            </w:tcBorders>
            <w:shd w:val="clear" w:color="000000" w:fill="FFFFFF"/>
            <w:noWrap/>
            <w:vAlign w:val="center"/>
            <w:hideMark/>
          </w:tcPr>
          <w:p w14:paraId="4088BA7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208.7</w:t>
            </w:r>
          </w:p>
        </w:tc>
        <w:tc>
          <w:tcPr>
            <w:tcW w:w="594" w:type="dxa"/>
            <w:tcBorders>
              <w:top w:val="nil"/>
              <w:left w:val="nil"/>
              <w:bottom w:val="single" w:sz="8" w:space="0" w:color="DCDDDE"/>
              <w:right w:val="nil"/>
            </w:tcBorders>
            <w:shd w:val="clear" w:color="000000" w:fill="FFFFFF"/>
            <w:noWrap/>
            <w:vAlign w:val="center"/>
            <w:hideMark/>
          </w:tcPr>
          <w:p w14:paraId="586704E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205.1</w:t>
            </w:r>
          </w:p>
        </w:tc>
        <w:tc>
          <w:tcPr>
            <w:tcW w:w="594" w:type="dxa"/>
            <w:tcBorders>
              <w:top w:val="nil"/>
              <w:left w:val="nil"/>
              <w:bottom w:val="single" w:sz="8" w:space="0" w:color="DCDDDE"/>
              <w:right w:val="nil"/>
            </w:tcBorders>
            <w:shd w:val="clear" w:color="000000" w:fill="FFFFFF"/>
            <w:noWrap/>
            <w:vAlign w:val="center"/>
            <w:hideMark/>
          </w:tcPr>
          <w:p w14:paraId="03350F2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241.6</w:t>
            </w:r>
          </w:p>
        </w:tc>
        <w:tc>
          <w:tcPr>
            <w:tcW w:w="594" w:type="dxa"/>
            <w:tcBorders>
              <w:top w:val="nil"/>
              <w:left w:val="nil"/>
              <w:bottom w:val="single" w:sz="8" w:space="0" w:color="DCDDDE"/>
              <w:right w:val="nil"/>
            </w:tcBorders>
            <w:shd w:val="clear" w:color="000000" w:fill="FFFFFF"/>
            <w:noWrap/>
            <w:vAlign w:val="center"/>
            <w:hideMark/>
          </w:tcPr>
          <w:p w14:paraId="25932C3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233.7</w:t>
            </w:r>
          </w:p>
        </w:tc>
        <w:tc>
          <w:tcPr>
            <w:tcW w:w="594" w:type="dxa"/>
            <w:tcBorders>
              <w:top w:val="nil"/>
              <w:left w:val="nil"/>
              <w:bottom w:val="single" w:sz="8" w:space="0" w:color="DCDDDE"/>
              <w:right w:val="nil"/>
            </w:tcBorders>
            <w:shd w:val="clear" w:color="000000" w:fill="FFFFFF"/>
            <w:noWrap/>
            <w:vAlign w:val="center"/>
            <w:hideMark/>
          </w:tcPr>
          <w:p w14:paraId="1A1382F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228.6</w:t>
            </w:r>
          </w:p>
        </w:tc>
        <w:tc>
          <w:tcPr>
            <w:tcW w:w="594" w:type="dxa"/>
            <w:tcBorders>
              <w:top w:val="nil"/>
              <w:left w:val="nil"/>
              <w:bottom w:val="single" w:sz="8" w:space="0" w:color="DCDDDE"/>
              <w:right w:val="nil"/>
            </w:tcBorders>
            <w:shd w:val="clear" w:color="000000" w:fill="FFFFFF"/>
            <w:noWrap/>
            <w:vAlign w:val="center"/>
            <w:hideMark/>
          </w:tcPr>
          <w:p w14:paraId="7994E1F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222.4</w:t>
            </w:r>
          </w:p>
        </w:tc>
        <w:tc>
          <w:tcPr>
            <w:tcW w:w="594" w:type="dxa"/>
            <w:tcBorders>
              <w:top w:val="nil"/>
              <w:left w:val="nil"/>
              <w:bottom w:val="single" w:sz="8" w:space="0" w:color="DCDDDE"/>
              <w:right w:val="nil"/>
            </w:tcBorders>
            <w:shd w:val="clear" w:color="000000" w:fill="FFFFFF"/>
            <w:noWrap/>
            <w:vAlign w:val="center"/>
            <w:hideMark/>
          </w:tcPr>
          <w:p w14:paraId="5FAD106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219.2</w:t>
            </w:r>
          </w:p>
        </w:tc>
        <w:tc>
          <w:tcPr>
            <w:tcW w:w="594" w:type="dxa"/>
            <w:tcBorders>
              <w:top w:val="nil"/>
              <w:left w:val="nil"/>
              <w:bottom w:val="single" w:sz="8" w:space="0" w:color="DCDDDE"/>
              <w:right w:val="nil"/>
            </w:tcBorders>
            <w:shd w:val="clear" w:color="000000" w:fill="FFFFFF"/>
            <w:noWrap/>
            <w:vAlign w:val="center"/>
            <w:hideMark/>
          </w:tcPr>
          <w:p w14:paraId="0D5B134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210.8</w:t>
            </w:r>
          </w:p>
        </w:tc>
        <w:tc>
          <w:tcPr>
            <w:tcW w:w="594" w:type="dxa"/>
            <w:tcBorders>
              <w:top w:val="nil"/>
              <w:left w:val="nil"/>
              <w:bottom w:val="single" w:sz="8" w:space="0" w:color="DCDDDE"/>
              <w:right w:val="nil"/>
            </w:tcBorders>
            <w:shd w:val="clear" w:color="000000" w:fill="FFFFFF"/>
            <w:noWrap/>
            <w:vAlign w:val="center"/>
            <w:hideMark/>
          </w:tcPr>
          <w:p w14:paraId="79FED4F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197.6</w:t>
            </w:r>
          </w:p>
        </w:tc>
        <w:tc>
          <w:tcPr>
            <w:tcW w:w="594" w:type="dxa"/>
            <w:tcBorders>
              <w:top w:val="nil"/>
              <w:left w:val="nil"/>
              <w:bottom w:val="single" w:sz="8" w:space="0" w:color="DCDDDE"/>
              <w:right w:val="nil"/>
            </w:tcBorders>
            <w:shd w:val="clear" w:color="000000" w:fill="FFFFFF"/>
            <w:noWrap/>
            <w:vAlign w:val="center"/>
            <w:hideMark/>
          </w:tcPr>
          <w:p w14:paraId="403E047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184.9</w:t>
            </w:r>
          </w:p>
        </w:tc>
      </w:tr>
      <w:tr w:rsidR="00D823AE" w:rsidRPr="00D823AE" w14:paraId="63F45F36"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15DD0DEF"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4" w:type="dxa"/>
            <w:tcBorders>
              <w:top w:val="nil"/>
              <w:left w:val="nil"/>
              <w:bottom w:val="single" w:sz="8" w:space="0" w:color="DCDDDE"/>
              <w:right w:val="nil"/>
            </w:tcBorders>
            <w:shd w:val="clear" w:color="000000" w:fill="FFFFFF"/>
            <w:noWrap/>
            <w:vAlign w:val="center"/>
            <w:hideMark/>
          </w:tcPr>
          <w:p w14:paraId="5C6C507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22.7</w:t>
            </w:r>
          </w:p>
        </w:tc>
        <w:tc>
          <w:tcPr>
            <w:tcW w:w="594" w:type="dxa"/>
            <w:tcBorders>
              <w:top w:val="nil"/>
              <w:left w:val="nil"/>
              <w:bottom w:val="single" w:sz="8" w:space="0" w:color="DCDDDE"/>
              <w:right w:val="nil"/>
            </w:tcBorders>
            <w:shd w:val="clear" w:color="000000" w:fill="FFFFFF"/>
            <w:noWrap/>
            <w:vAlign w:val="center"/>
            <w:hideMark/>
          </w:tcPr>
          <w:p w14:paraId="4258638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29.2</w:t>
            </w:r>
          </w:p>
        </w:tc>
        <w:tc>
          <w:tcPr>
            <w:tcW w:w="594" w:type="dxa"/>
            <w:tcBorders>
              <w:top w:val="nil"/>
              <w:left w:val="nil"/>
              <w:bottom w:val="single" w:sz="8" w:space="0" w:color="DCDDDE"/>
              <w:right w:val="nil"/>
            </w:tcBorders>
            <w:shd w:val="clear" w:color="000000" w:fill="FFFFFF"/>
            <w:noWrap/>
            <w:vAlign w:val="center"/>
            <w:hideMark/>
          </w:tcPr>
          <w:p w14:paraId="53EF6B5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32.1</w:t>
            </w:r>
          </w:p>
        </w:tc>
        <w:tc>
          <w:tcPr>
            <w:tcW w:w="594" w:type="dxa"/>
            <w:tcBorders>
              <w:top w:val="nil"/>
              <w:left w:val="nil"/>
              <w:bottom w:val="single" w:sz="8" w:space="0" w:color="DCDDDE"/>
              <w:right w:val="nil"/>
            </w:tcBorders>
            <w:shd w:val="clear" w:color="000000" w:fill="FFFFFF"/>
            <w:noWrap/>
            <w:vAlign w:val="center"/>
            <w:hideMark/>
          </w:tcPr>
          <w:p w14:paraId="22F5CA0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35.2</w:t>
            </w:r>
          </w:p>
        </w:tc>
        <w:tc>
          <w:tcPr>
            <w:tcW w:w="594" w:type="dxa"/>
            <w:tcBorders>
              <w:top w:val="nil"/>
              <w:left w:val="nil"/>
              <w:bottom w:val="single" w:sz="8" w:space="0" w:color="DCDDDE"/>
              <w:right w:val="nil"/>
            </w:tcBorders>
            <w:shd w:val="clear" w:color="000000" w:fill="FFFFFF"/>
            <w:noWrap/>
            <w:vAlign w:val="center"/>
            <w:hideMark/>
          </w:tcPr>
          <w:p w14:paraId="4A53B40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37.3</w:t>
            </w:r>
          </w:p>
        </w:tc>
        <w:tc>
          <w:tcPr>
            <w:tcW w:w="594" w:type="dxa"/>
            <w:tcBorders>
              <w:top w:val="nil"/>
              <w:left w:val="nil"/>
              <w:bottom w:val="single" w:sz="8" w:space="0" w:color="DCDDDE"/>
              <w:right w:val="nil"/>
            </w:tcBorders>
            <w:shd w:val="clear" w:color="000000" w:fill="FFFFFF"/>
            <w:noWrap/>
            <w:vAlign w:val="center"/>
            <w:hideMark/>
          </w:tcPr>
          <w:p w14:paraId="082E295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39.0</w:t>
            </w:r>
          </w:p>
        </w:tc>
        <w:tc>
          <w:tcPr>
            <w:tcW w:w="594" w:type="dxa"/>
            <w:tcBorders>
              <w:top w:val="nil"/>
              <w:left w:val="nil"/>
              <w:bottom w:val="single" w:sz="8" w:space="0" w:color="DCDDDE"/>
              <w:right w:val="nil"/>
            </w:tcBorders>
            <w:shd w:val="clear" w:color="000000" w:fill="FFFFFF"/>
            <w:noWrap/>
            <w:vAlign w:val="center"/>
            <w:hideMark/>
          </w:tcPr>
          <w:p w14:paraId="6DF4BC4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40.8</w:t>
            </w:r>
          </w:p>
        </w:tc>
        <w:tc>
          <w:tcPr>
            <w:tcW w:w="594" w:type="dxa"/>
            <w:tcBorders>
              <w:top w:val="nil"/>
              <w:left w:val="nil"/>
              <w:bottom w:val="single" w:sz="8" w:space="0" w:color="DCDDDE"/>
              <w:right w:val="nil"/>
            </w:tcBorders>
            <w:shd w:val="clear" w:color="000000" w:fill="FFFFFF"/>
            <w:noWrap/>
            <w:vAlign w:val="center"/>
            <w:hideMark/>
          </w:tcPr>
          <w:p w14:paraId="60E8E40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44.0</w:t>
            </w:r>
          </w:p>
        </w:tc>
        <w:tc>
          <w:tcPr>
            <w:tcW w:w="594" w:type="dxa"/>
            <w:tcBorders>
              <w:top w:val="nil"/>
              <w:left w:val="nil"/>
              <w:bottom w:val="single" w:sz="8" w:space="0" w:color="DCDDDE"/>
              <w:right w:val="nil"/>
            </w:tcBorders>
            <w:shd w:val="clear" w:color="000000" w:fill="FFFFFF"/>
            <w:noWrap/>
            <w:vAlign w:val="center"/>
            <w:hideMark/>
          </w:tcPr>
          <w:p w14:paraId="6181161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46.3</w:t>
            </w:r>
          </w:p>
        </w:tc>
        <w:tc>
          <w:tcPr>
            <w:tcW w:w="594" w:type="dxa"/>
            <w:tcBorders>
              <w:top w:val="nil"/>
              <w:left w:val="nil"/>
              <w:bottom w:val="single" w:sz="8" w:space="0" w:color="DCDDDE"/>
              <w:right w:val="nil"/>
            </w:tcBorders>
            <w:shd w:val="clear" w:color="000000" w:fill="FFFFFF"/>
            <w:noWrap/>
            <w:vAlign w:val="center"/>
            <w:hideMark/>
          </w:tcPr>
          <w:p w14:paraId="303974F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48.7</w:t>
            </w:r>
          </w:p>
        </w:tc>
        <w:tc>
          <w:tcPr>
            <w:tcW w:w="594" w:type="dxa"/>
            <w:tcBorders>
              <w:top w:val="nil"/>
              <w:left w:val="nil"/>
              <w:bottom w:val="single" w:sz="8" w:space="0" w:color="DCDDDE"/>
              <w:right w:val="nil"/>
            </w:tcBorders>
            <w:shd w:val="clear" w:color="000000" w:fill="FFFFFF"/>
            <w:noWrap/>
            <w:vAlign w:val="center"/>
            <w:hideMark/>
          </w:tcPr>
          <w:p w14:paraId="274987F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51.0</w:t>
            </w:r>
          </w:p>
        </w:tc>
        <w:tc>
          <w:tcPr>
            <w:tcW w:w="594" w:type="dxa"/>
            <w:tcBorders>
              <w:top w:val="nil"/>
              <w:left w:val="nil"/>
              <w:bottom w:val="single" w:sz="8" w:space="0" w:color="DCDDDE"/>
              <w:right w:val="nil"/>
            </w:tcBorders>
            <w:shd w:val="clear" w:color="000000" w:fill="FFFFFF"/>
            <w:noWrap/>
            <w:vAlign w:val="center"/>
            <w:hideMark/>
          </w:tcPr>
          <w:p w14:paraId="4AF2E7B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53.5</w:t>
            </w:r>
          </w:p>
        </w:tc>
        <w:tc>
          <w:tcPr>
            <w:tcW w:w="594" w:type="dxa"/>
            <w:tcBorders>
              <w:top w:val="nil"/>
              <w:left w:val="nil"/>
              <w:bottom w:val="single" w:sz="8" w:space="0" w:color="DCDDDE"/>
              <w:right w:val="nil"/>
            </w:tcBorders>
            <w:shd w:val="clear" w:color="000000" w:fill="FFFFFF"/>
            <w:noWrap/>
            <w:vAlign w:val="center"/>
            <w:hideMark/>
          </w:tcPr>
          <w:p w14:paraId="63AFA25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56.1</w:t>
            </w:r>
          </w:p>
        </w:tc>
      </w:tr>
      <w:tr w:rsidR="00D823AE" w:rsidRPr="00D823AE" w14:paraId="510FE8FB"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30F598DF"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4" w:type="dxa"/>
            <w:tcBorders>
              <w:top w:val="nil"/>
              <w:left w:val="nil"/>
              <w:bottom w:val="single" w:sz="8" w:space="0" w:color="DCDDDE"/>
              <w:right w:val="nil"/>
            </w:tcBorders>
            <w:shd w:val="clear" w:color="000000" w:fill="FFFFFF"/>
            <w:noWrap/>
            <w:vAlign w:val="center"/>
            <w:hideMark/>
          </w:tcPr>
          <w:p w14:paraId="58F67F5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5.2</w:t>
            </w:r>
          </w:p>
        </w:tc>
        <w:tc>
          <w:tcPr>
            <w:tcW w:w="594" w:type="dxa"/>
            <w:tcBorders>
              <w:top w:val="nil"/>
              <w:left w:val="nil"/>
              <w:bottom w:val="single" w:sz="8" w:space="0" w:color="DCDDDE"/>
              <w:right w:val="nil"/>
            </w:tcBorders>
            <w:shd w:val="clear" w:color="000000" w:fill="FFFFFF"/>
            <w:noWrap/>
            <w:vAlign w:val="center"/>
            <w:hideMark/>
          </w:tcPr>
          <w:p w14:paraId="037F649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49432C6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310C528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40C7B5D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489842B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14451EA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3AB4FBC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4C2AD8D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22CE16D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574DE77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62B5285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5AD8FA8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r>
      <w:tr w:rsidR="00D823AE" w:rsidRPr="00D823AE" w14:paraId="4F884AA8"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6A69BA26"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4" w:type="dxa"/>
            <w:tcBorders>
              <w:top w:val="nil"/>
              <w:left w:val="nil"/>
              <w:bottom w:val="single" w:sz="8" w:space="0" w:color="DCDDDE"/>
              <w:right w:val="nil"/>
            </w:tcBorders>
            <w:shd w:val="clear" w:color="000000" w:fill="FFFFFF"/>
            <w:noWrap/>
            <w:vAlign w:val="center"/>
            <w:hideMark/>
          </w:tcPr>
          <w:p w14:paraId="75174341"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241.9</w:t>
            </w:r>
          </w:p>
        </w:tc>
        <w:tc>
          <w:tcPr>
            <w:tcW w:w="594" w:type="dxa"/>
            <w:tcBorders>
              <w:top w:val="nil"/>
              <w:left w:val="nil"/>
              <w:bottom w:val="single" w:sz="8" w:space="0" w:color="DCDDDE"/>
              <w:right w:val="nil"/>
            </w:tcBorders>
            <w:shd w:val="clear" w:color="000000" w:fill="FFFFFF"/>
            <w:noWrap/>
            <w:vAlign w:val="center"/>
            <w:hideMark/>
          </w:tcPr>
          <w:p w14:paraId="187C13B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255.8</w:t>
            </w:r>
          </w:p>
        </w:tc>
        <w:tc>
          <w:tcPr>
            <w:tcW w:w="594" w:type="dxa"/>
            <w:tcBorders>
              <w:top w:val="nil"/>
              <w:left w:val="nil"/>
              <w:bottom w:val="single" w:sz="8" w:space="0" w:color="DCDDDE"/>
              <w:right w:val="nil"/>
            </w:tcBorders>
            <w:shd w:val="clear" w:color="000000" w:fill="FFFFFF"/>
            <w:noWrap/>
            <w:vAlign w:val="center"/>
            <w:hideMark/>
          </w:tcPr>
          <w:p w14:paraId="6B0C498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268.0</w:t>
            </w:r>
          </w:p>
        </w:tc>
        <w:tc>
          <w:tcPr>
            <w:tcW w:w="594" w:type="dxa"/>
            <w:tcBorders>
              <w:top w:val="nil"/>
              <w:left w:val="nil"/>
              <w:bottom w:val="single" w:sz="8" w:space="0" w:color="DCDDDE"/>
              <w:right w:val="nil"/>
            </w:tcBorders>
            <w:shd w:val="clear" w:color="000000" w:fill="FFFFFF"/>
            <w:noWrap/>
            <w:vAlign w:val="center"/>
            <w:hideMark/>
          </w:tcPr>
          <w:p w14:paraId="516DFD9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306.4</w:t>
            </w:r>
          </w:p>
        </w:tc>
        <w:tc>
          <w:tcPr>
            <w:tcW w:w="594" w:type="dxa"/>
            <w:tcBorders>
              <w:top w:val="nil"/>
              <w:left w:val="nil"/>
              <w:bottom w:val="single" w:sz="8" w:space="0" w:color="DCDDDE"/>
              <w:right w:val="nil"/>
            </w:tcBorders>
            <w:shd w:val="clear" w:color="000000" w:fill="FFFFFF"/>
            <w:noWrap/>
            <w:vAlign w:val="center"/>
            <w:hideMark/>
          </w:tcPr>
          <w:p w14:paraId="03A738CB"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307.4</w:t>
            </w:r>
          </w:p>
        </w:tc>
        <w:tc>
          <w:tcPr>
            <w:tcW w:w="594" w:type="dxa"/>
            <w:tcBorders>
              <w:top w:val="nil"/>
              <w:left w:val="nil"/>
              <w:bottom w:val="single" w:sz="8" w:space="0" w:color="DCDDDE"/>
              <w:right w:val="nil"/>
            </w:tcBorders>
            <w:shd w:val="clear" w:color="000000" w:fill="FFFFFF"/>
            <w:noWrap/>
            <w:vAlign w:val="center"/>
            <w:hideMark/>
          </w:tcPr>
          <w:p w14:paraId="413A858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347.2</w:t>
            </w:r>
          </w:p>
        </w:tc>
        <w:tc>
          <w:tcPr>
            <w:tcW w:w="594" w:type="dxa"/>
            <w:tcBorders>
              <w:top w:val="nil"/>
              <w:left w:val="nil"/>
              <w:bottom w:val="single" w:sz="8" w:space="0" w:color="DCDDDE"/>
              <w:right w:val="nil"/>
            </w:tcBorders>
            <w:shd w:val="clear" w:color="000000" w:fill="FFFFFF"/>
            <w:noWrap/>
            <w:vAlign w:val="center"/>
            <w:hideMark/>
          </w:tcPr>
          <w:p w14:paraId="7D219EA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345.6</w:t>
            </w:r>
          </w:p>
        </w:tc>
        <w:tc>
          <w:tcPr>
            <w:tcW w:w="594" w:type="dxa"/>
            <w:tcBorders>
              <w:top w:val="nil"/>
              <w:left w:val="nil"/>
              <w:bottom w:val="single" w:sz="8" w:space="0" w:color="DCDDDE"/>
              <w:right w:val="nil"/>
            </w:tcBorders>
            <w:shd w:val="clear" w:color="000000" w:fill="FFFFFF"/>
            <w:noWrap/>
            <w:vAlign w:val="center"/>
            <w:hideMark/>
          </w:tcPr>
          <w:p w14:paraId="0DD13EBF"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345.3</w:t>
            </w:r>
          </w:p>
        </w:tc>
        <w:tc>
          <w:tcPr>
            <w:tcW w:w="594" w:type="dxa"/>
            <w:tcBorders>
              <w:top w:val="nil"/>
              <w:left w:val="nil"/>
              <w:bottom w:val="single" w:sz="8" w:space="0" w:color="DCDDDE"/>
              <w:right w:val="nil"/>
            </w:tcBorders>
            <w:shd w:val="clear" w:color="000000" w:fill="FFFFFF"/>
            <w:noWrap/>
            <w:vAlign w:val="center"/>
            <w:hideMark/>
          </w:tcPr>
          <w:p w14:paraId="2F60EE71"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341.2</w:t>
            </w:r>
          </w:p>
        </w:tc>
        <w:tc>
          <w:tcPr>
            <w:tcW w:w="594" w:type="dxa"/>
            <w:tcBorders>
              <w:top w:val="nil"/>
              <w:left w:val="nil"/>
              <w:bottom w:val="single" w:sz="8" w:space="0" w:color="DCDDDE"/>
              <w:right w:val="nil"/>
            </w:tcBorders>
            <w:shd w:val="clear" w:color="000000" w:fill="FFFFFF"/>
            <w:noWrap/>
            <w:vAlign w:val="center"/>
            <w:hideMark/>
          </w:tcPr>
          <w:p w14:paraId="34A842B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340.7</w:t>
            </w:r>
          </w:p>
        </w:tc>
        <w:tc>
          <w:tcPr>
            <w:tcW w:w="594" w:type="dxa"/>
            <w:tcBorders>
              <w:top w:val="nil"/>
              <w:left w:val="nil"/>
              <w:bottom w:val="single" w:sz="8" w:space="0" w:color="DCDDDE"/>
              <w:right w:val="nil"/>
            </w:tcBorders>
            <w:shd w:val="clear" w:color="000000" w:fill="FFFFFF"/>
            <w:noWrap/>
            <w:vAlign w:val="center"/>
            <w:hideMark/>
          </w:tcPr>
          <w:p w14:paraId="36141BE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335.6</w:t>
            </w:r>
          </w:p>
        </w:tc>
        <w:tc>
          <w:tcPr>
            <w:tcW w:w="594" w:type="dxa"/>
            <w:tcBorders>
              <w:top w:val="nil"/>
              <w:left w:val="nil"/>
              <w:bottom w:val="single" w:sz="8" w:space="0" w:color="DCDDDE"/>
              <w:right w:val="nil"/>
            </w:tcBorders>
            <w:shd w:val="clear" w:color="000000" w:fill="FFFFFF"/>
            <w:noWrap/>
            <w:vAlign w:val="center"/>
            <w:hideMark/>
          </w:tcPr>
          <w:p w14:paraId="3C7F5A50"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325.2</w:t>
            </w:r>
          </w:p>
        </w:tc>
        <w:tc>
          <w:tcPr>
            <w:tcW w:w="594" w:type="dxa"/>
            <w:tcBorders>
              <w:top w:val="nil"/>
              <w:left w:val="nil"/>
              <w:bottom w:val="single" w:sz="8" w:space="0" w:color="DCDDDE"/>
              <w:right w:val="nil"/>
            </w:tcBorders>
            <w:shd w:val="clear" w:color="000000" w:fill="FFFFFF"/>
            <w:noWrap/>
            <w:vAlign w:val="center"/>
            <w:hideMark/>
          </w:tcPr>
          <w:p w14:paraId="7CB8906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315.5</w:t>
            </w:r>
          </w:p>
        </w:tc>
      </w:tr>
      <w:tr w:rsidR="00D823AE" w:rsidRPr="00D823AE" w14:paraId="64F67421" w14:textId="77777777" w:rsidTr="00D823AE">
        <w:trPr>
          <w:trHeight w:val="275"/>
        </w:trPr>
        <w:tc>
          <w:tcPr>
            <w:tcW w:w="9013" w:type="dxa"/>
            <w:gridSpan w:val="15"/>
            <w:tcBorders>
              <w:top w:val="single" w:sz="8" w:space="0" w:color="DCDDDE"/>
              <w:left w:val="nil"/>
              <w:bottom w:val="single" w:sz="8" w:space="0" w:color="DCDDDE"/>
              <w:right w:val="nil"/>
            </w:tcBorders>
            <w:shd w:val="clear" w:color="000000" w:fill="DADADA"/>
            <w:noWrap/>
            <w:vAlign w:val="center"/>
            <w:hideMark/>
          </w:tcPr>
          <w:p w14:paraId="3AA4F276"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D823AE" w:rsidRPr="00D823AE" w14:paraId="21FB99AB"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5DD1F8F8"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4" w:type="dxa"/>
            <w:tcBorders>
              <w:top w:val="nil"/>
              <w:left w:val="nil"/>
              <w:bottom w:val="single" w:sz="8" w:space="0" w:color="DCDDDE"/>
              <w:right w:val="nil"/>
            </w:tcBorders>
            <w:shd w:val="clear" w:color="000000" w:fill="FFFFFF"/>
            <w:noWrap/>
            <w:vAlign w:val="center"/>
            <w:hideMark/>
          </w:tcPr>
          <w:p w14:paraId="5B4919E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55.8</w:t>
            </w:r>
          </w:p>
        </w:tc>
        <w:tc>
          <w:tcPr>
            <w:tcW w:w="594" w:type="dxa"/>
            <w:tcBorders>
              <w:top w:val="nil"/>
              <w:left w:val="nil"/>
              <w:bottom w:val="single" w:sz="8" w:space="0" w:color="DCDDDE"/>
              <w:right w:val="nil"/>
            </w:tcBorders>
            <w:shd w:val="clear" w:color="000000" w:fill="FFFFFF"/>
            <w:noWrap/>
            <w:vAlign w:val="center"/>
            <w:hideMark/>
          </w:tcPr>
          <w:p w14:paraId="1E73D4F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65.8</w:t>
            </w:r>
          </w:p>
        </w:tc>
        <w:tc>
          <w:tcPr>
            <w:tcW w:w="594" w:type="dxa"/>
            <w:tcBorders>
              <w:top w:val="nil"/>
              <w:left w:val="nil"/>
              <w:bottom w:val="single" w:sz="8" w:space="0" w:color="DCDDDE"/>
              <w:right w:val="nil"/>
            </w:tcBorders>
            <w:shd w:val="clear" w:color="000000" w:fill="FFFFFF"/>
            <w:noWrap/>
            <w:vAlign w:val="center"/>
            <w:hideMark/>
          </w:tcPr>
          <w:p w14:paraId="5CBEC37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59.9</w:t>
            </w:r>
          </w:p>
        </w:tc>
        <w:tc>
          <w:tcPr>
            <w:tcW w:w="594" w:type="dxa"/>
            <w:tcBorders>
              <w:top w:val="nil"/>
              <w:left w:val="nil"/>
              <w:bottom w:val="single" w:sz="8" w:space="0" w:color="DCDDDE"/>
              <w:right w:val="nil"/>
            </w:tcBorders>
            <w:shd w:val="clear" w:color="000000" w:fill="FFFFFF"/>
            <w:noWrap/>
            <w:vAlign w:val="center"/>
            <w:hideMark/>
          </w:tcPr>
          <w:p w14:paraId="1D5E09C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67.7</w:t>
            </w:r>
          </w:p>
        </w:tc>
        <w:tc>
          <w:tcPr>
            <w:tcW w:w="594" w:type="dxa"/>
            <w:tcBorders>
              <w:top w:val="nil"/>
              <w:left w:val="nil"/>
              <w:bottom w:val="single" w:sz="8" w:space="0" w:color="DCDDDE"/>
              <w:right w:val="nil"/>
            </w:tcBorders>
            <w:shd w:val="clear" w:color="000000" w:fill="FFFFFF"/>
            <w:noWrap/>
            <w:vAlign w:val="center"/>
            <w:hideMark/>
          </w:tcPr>
          <w:p w14:paraId="3BAA8ED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68.0</w:t>
            </w:r>
          </w:p>
        </w:tc>
        <w:tc>
          <w:tcPr>
            <w:tcW w:w="594" w:type="dxa"/>
            <w:tcBorders>
              <w:top w:val="nil"/>
              <w:left w:val="nil"/>
              <w:bottom w:val="single" w:sz="8" w:space="0" w:color="DCDDDE"/>
              <w:right w:val="nil"/>
            </w:tcBorders>
            <w:shd w:val="clear" w:color="000000" w:fill="FFFFFF"/>
            <w:noWrap/>
            <w:vAlign w:val="center"/>
            <w:hideMark/>
          </w:tcPr>
          <w:p w14:paraId="193746C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68.3</w:t>
            </w:r>
          </w:p>
        </w:tc>
        <w:tc>
          <w:tcPr>
            <w:tcW w:w="594" w:type="dxa"/>
            <w:tcBorders>
              <w:top w:val="nil"/>
              <w:left w:val="nil"/>
              <w:bottom w:val="single" w:sz="8" w:space="0" w:color="DCDDDE"/>
              <w:right w:val="nil"/>
            </w:tcBorders>
            <w:shd w:val="clear" w:color="000000" w:fill="FFFFFF"/>
            <w:noWrap/>
            <w:vAlign w:val="center"/>
            <w:hideMark/>
          </w:tcPr>
          <w:p w14:paraId="78A3AE6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68.9</w:t>
            </w:r>
          </w:p>
        </w:tc>
        <w:tc>
          <w:tcPr>
            <w:tcW w:w="594" w:type="dxa"/>
            <w:tcBorders>
              <w:top w:val="nil"/>
              <w:left w:val="nil"/>
              <w:bottom w:val="single" w:sz="8" w:space="0" w:color="DCDDDE"/>
              <w:right w:val="nil"/>
            </w:tcBorders>
            <w:shd w:val="clear" w:color="000000" w:fill="FFFFFF"/>
            <w:noWrap/>
            <w:vAlign w:val="center"/>
            <w:hideMark/>
          </w:tcPr>
          <w:p w14:paraId="3A66FC1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69.8</w:t>
            </w:r>
          </w:p>
        </w:tc>
        <w:tc>
          <w:tcPr>
            <w:tcW w:w="594" w:type="dxa"/>
            <w:tcBorders>
              <w:top w:val="nil"/>
              <w:left w:val="nil"/>
              <w:bottom w:val="single" w:sz="8" w:space="0" w:color="DCDDDE"/>
              <w:right w:val="nil"/>
            </w:tcBorders>
            <w:shd w:val="clear" w:color="000000" w:fill="FFFFFF"/>
            <w:noWrap/>
            <w:vAlign w:val="center"/>
            <w:hideMark/>
          </w:tcPr>
          <w:p w14:paraId="1BE1C14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69.4</w:t>
            </w:r>
          </w:p>
        </w:tc>
        <w:tc>
          <w:tcPr>
            <w:tcW w:w="594" w:type="dxa"/>
            <w:tcBorders>
              <w:top w:val="nil"/>
              <w:left w:val="nil"/>
              <w:bottom w:val="single" w:sz="8" w:space="0" w:color="DCDDDE"/>
              <w:right w:val="nil"/>
            </w:tcBorders>
            <w:shd w:val="clear" w:color="000000" w:fill="FFFFFF"/>
            <w:noWrap/>
            <w:vAlign w:val="center"/>
            <w:hideMark/>
          </w:tcPr>
          <w:p w14:paraId="3EC02F6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69.7</w:t>
            </w:r>
          </w:p>
        </w:tc>
        <w:tc>
          <w:tcPr>
            <w:tcW w:w="594" w:type="dxa"/>
            <w:tcBorders>
              <w:top w:val="nil"/>
              <w:left w:val="nil"/>
              <w:bottom w:val="single" w:sz="8" w:space="0" w:color="DCDDDE"/>
              <w:right w:val="nil"/>
            </w:tcBorders>
            <w:shd w:val="clear" w:color="000000" w:fill="FFFFFF"/>
            <w:noWrap/>
            <w:vAlign w:val="center"/>
            <w:hideMark/>
          </w:tcPr>
          <w:p w14:paraId="6DE7A39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70.4</w:t>
            </w:r>
          </w:p>
        </w:tc>
        <w:tc>
          <w:tcPr>
            <w:tcW w:w="594" w:type="dxa"/>
            <w:tcBorders>
              <w:top w:val="nil"/>
              <w:left w:val="nil"/>
              <w:bottom w:val="single" w:sz="8" w:space="0" w:color="DCDDDE"/>
              <w:right w:val="nil"/>
            </w:tcBorders>
            <w:shd w:val="clear" w:color="000000" w:fill="FFFFFF"/>
            <w:noWrap/>
            <w:vAlign w:val="center"/>
            <w:hideMark/>
          </w:tcPr>
          <w:p w14:paraId="6A7BA68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70.6</w:t>
            </w:r>
          </w:p>
        </w:tc>
        <w:tc>
          <w:tcPr>
            <w:tcW w:w="594" w:type="dxa"/>
            <w:tcBorders>
              <w:top w:val="nil"/>
              <w:left w:val="nil"/>
              <w:bottom w:val="single" w:sz="8" w:space="0" w:color="DCDDDE"/>
              <w:right w:val="nil"/>
            </w:tcBorders>
            <w:shd w:val="clear" w:color="000000" w:fill="FFFFFF"/>
            <w:noWrap/>
            <w:vAlign w:val="center"/>
            <w:hideMark/>
          </w:tcPr>
          <w:p w14:paraId="24B07EC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71.3</w:t>
            </w:r>
          </w:p>
        </w:tc>
      </w:tr>
      <w:tr w:rsidR="00D823AE" w:rsidRPr="00D823AE" w14:paraId="37211FA8"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4C42E9A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4" w:type="dxa"/>
            <w:tcBorders>
              <w:top w:val="nil"/>
              <w:left w:val="nil"/>
              <w:bottom w:val="single" w:sz="8" w:space="0" w:color="DCDDDE"/>
              <w:right w:val="nil"/>
            </w:tcBorders>
            <w:shd w:val="clear" w:color="000000" w:fill="FFFFFF"/>
            <w:noWrap/>
            <w:vAlign w:val="center"/>
            <w:hideMark/>
          </w:tcPr>
          <w:p w14:paraId="3E0A457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162.8</w:t>
            </w:r>
          </w:p>
        </w:tc>
        <w:tc>
          <w:tcPr>
            <w:tcW w:w="594" w:type="dxa"/>
            <w:tcBorders>
              <w:top w:val="nil"/>
              <w:left w:val="nil"/>
              <w:bottom w:val="single" w:sz="8" w:space="0" w:color="DCDDDE"/>
              <w:right w:val="nil"/>
            </w:tcBorders>
            <w:shd w:val="clear" w:color="000000" w:fill="FFFFFF"/>
            <w:noWrap/>
            <w:vAlign w:val="center"/>
            <w:hideMark/>
          </w:tcPr>
          <w:p w14:paraId="2B16EC7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163.5</w:t>
            </w:r>
          </w:p>
        </w:tc>
        <w:tc>
          <w:tcPr>
            <w:tcW w:w="594" w:type="dxa"/>
            <w:tcBorders>
              <w:top w:val="nil"/>
              <w:left w:val="nil"/>
              <w:bottom w:val="single" w:sz="8" w:space="0" w:color="DCDDDE"/>
              <w:right w:val="nil"/>
            </w:tcBorders>
            <w:shd w:val="clear" w:color="000000" w:fill="FFFFFF"/>
            <w:noWrap/>
            <w:vAlign w:val="center"/>
            <w:hideMark/>
          </w:tcPr>
          <w:p w14:paraId="297AB16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179.1</w:t>
            </w:r>
          </w:p>
        </w:tc>
        <w:tc>
          <w:tcPr>
            <w:tcW w:w="594" w:type="dxa"/>
            <w:tcBorders>
              <w:top w:val="nil"/>
              <w:left w:val="nil"/>
              <w:bottom w:val="single" w:sz="8" w:space="0" w:color="DCDDDE"/>
              <w:right w:val="nil"/>
            </w:tcBorders>
            <w:shd w:val="clear" w:color="000000" w:fill="FFFFFF"/>
            <w:noWrap/>
            <w:vAlign w:val="center"/>
            <w:hideMark/>
          </w:tcPr>
          <w:p w14:paraId="62F589C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208.7</w:t>
            </w:r>
          </w:p>
        </w:tc>
        <w:tc>
          <w:tcPr>
            <w:tcW w:w="594" w:type="dxa"/>
            <w:tcBorders>
              <w:top w:val="nil"/>
              <w:left w:val="nil"/>
              <w:bottom w:val="single" w:sz="8" w:space="0" w:color="DCDDDE"/>
              <w:right w:val="nil"/>
            </w:tcBorders>
            <w:shd w:val="clear" w:color="000000" w:fill="FFFFFF"/>
            <w:noWrap/>
            <w:vAlign w:val="center"/>
            <w:hideMark/>
          </w:tcPr>
          <w:p w14:paraId="00B34F5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205.1</w:t>
            </w:r>
          </w:p>
        </w:tc>
        <w:tc>
          <w:tcPr>
            <w:tcW w:w="594" w:type="dxa"/>
            <w:tcBorders>
              <w:top w:val="nil"/>
              <w:left w:val="nil"/>
              <w:bottom w:val="single" w:sz="8" w:space="0" w:color="DCDDDE"/>
              <w:right w:val="nil"/>
            </w:tcBorders>
            <w:shd w:val="clear" w:color="000000" w:fill="FFFFFF"/>
            <w:noWrap/>
            <w:vAlign w:val="center"/>
            <w:hideMark/>
          </w:tcPr>
          <w:p w14:paraId="79F7915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241.6</w:t>
            </w:r>
          </w:p>
        </w:tc>
        <w:tc>
          <w:tcPr>
            <w:tcW w:w="594" w:type="dxa"/>
            <w:tcBorders>
              <w:top w:val="nil"/>
              <w:left w:val="nil"/>
              <w:bottom w:val="single" w:sz="8" w:space="0" w:color="DCDDDE"/>
              <w:right w:val="nil"/>
            </w:tcBorders>
            <w:shd w:val="clear" w:color="000000" w:fill="FFFFFF"/>
            <w:noWrap/>
            <w:vAlign w:val="center"/>
            <w:hideMark/>
          </w:tcPr>
          <w:p w14:paraId="298FEDE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233.7</w:t>
            </w:r>
          </w:p>
        </w:tc>
        <w:tc>
          <w:tcPr>
            <w:tcW w:w="594" w:type="dxa"/>
            <w:tcBorders>
              <w:top w:val="nil"/>
              <w:left w:val="nil"/>
              <w:bottom w:val="single" w:sz="8" w:space="0" w:color="DCDDDE"/>
              <w:right w:val="nil"/>
            </w:tcBorders>
            <w:shd w:val="clear" w:color="000000" w:fill="FFFFFF"/>
            <w:noWrap/>
            <w:vAlign w:val="center"/>
            <w:hideMark/>
          </w:tcPr>
          <w:p w14:paraId="11A5C15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228.6</w:t>
            </w:r>
          </w:p>
        </w:tc>
        <w:tc>
          <w:tcPr>
            <w:tcW w:w="594" w:type="dxa"/>
            <w:tcBorders>
              <w:top w:val="nil"/>
              <w:left w:val="nil"/>
              <w:bottom w:val="single" w:sz="8" w:space="0" w:color="DCDDDE"/>
              <w:right w:val="nil"/>
            </w:tcBorders>
            <w:shd w:val="clear" w:color="000000" w:fill="FFFFFF"/>
            <w:noWrap/>
            <w:vAlign w:val="center"/>
            <w:hideMark/>
          </w:tcPr>
          <w:p w14:paraId="1EF79A2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222.4</w:t>
            </w:r>
          </w:p>
        </w:tc>
        <w:tc>
          <w:tcPr>
            <w:tcW w:w="594" w:type="dxa"/>
            <w:tcBorders>
              <w:top w:val="nil"/>
              <w:left w:val="nil"/>
              <w:bottom w:val="single" w:sz="8" w:space="0" w:color="DCDDDE"/>
              <w:right w:val="nil"/>
            </w:tcBorders>
            <w:shd w:val="clear" w:color="000000" w:fill="FFFFFF"/>
            <w:noWrap/>
            <w:vAlign w:val="center"/>
            <w:hideMark/>
          </w:tcPr>
          <w:p w14:paraId="1BE07DD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219.2</w:t>
            </w:r>
          </w:p>
        </w:tc>
        <w:tc>
          <w:tcPr>
            <w:tcW w:w="594" w:type="dxa"/>
            <w:tcBorders>
              <w:top w:val="nil"/>
              <w:left w:val="nil"/>
              <w:bottom w:val="single" w:sz="8" w:space="0" w:color="DCDDDE"/>
              <w:right w:val="nil"/>
            </w:tcBorders>
            <w:shd w:val="clear" w:color="000000" w:fill="FFFFFF"/>
            <w:noWrap/>
            <w:vAlign w:val="center"/>
            <w:hideMark/>
          </w:tcPr>
          <w:p w14:paraId="0E486E2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210.8</w:t>
            </w:r>
          </w:p>
        </w:tc>
        <w:tc>
          <w:tcPr>
            <w:tcW w:w="594" w:type="dxa"/>
            <w:tcBorders>
              <w:top w:val="nil"/>
              <w:left w:val="nil"/>
              <w:bottom w:val="single" w:sz="8" w:space="0" w:color="DCDDDE"/>
              <w:right w:val="nil"/>
            </w:tcBorders>
            <w:shd w:val="clear" w:color="000000" w:fill="FFFFFF"/>
            <w:noWrap/>
            <w:vAlign w:val="center"/>
            <w:hideMark/>
          </w:tcPr>
          <w:p w14:paraId="0BB5DDB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197.6</w:t>
            </w:r>
          </w:p>
        </w:tc>
        <w:tc>
          <w:tcPr>
            <w:tcW w:w="594" w:type="dxa"/>
            <w:tcBorders>
              <w:top w:val="nil"/>
              <w:left w:val="nil"/>
              <w:bottom w:val="single" w:sz="8" w:space="0" w:color="DCDDDE"/>
              <w:right w:val="nil"/>
            </w:tcBorders>
            <w:shd w:val="clear" w:color="000000" w:fill="FFFFFF"/>
            <w:noWrap/>
            <w:vAlign w:val="center"/>
            <w:hideMark/>
          </w:tcPr>
          <w:p w14:paraId="5B07039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184.9</w:t>
            </w:r>
          </w:p>
        </w:tc>
      </w:tr>
      <w:tr w:rsidR="00D823AE" w:rsidRPr="00D823AE" w14:paraId="6C33A221"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0CC8302C"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4" w:type="dxa"/>
            <w:tcBorders>
              <w:top w:val="nil"/>
              <w:left w:val="nil"/>
              <w:bottom w:val="single" w:sz="8" w:space="0" w:color="DCDDDE"/>
              <w:right w:val="nil"/>
            </w:tcBorders>
            <w:shd w:val="clear" w:color="000000" w:fill="FFFFFF"/>
            <w:noWrap/>
            <w:vAlign w:val="center"/>
            <w:hideMark/>
          </w:tcPr>
          <w:p w14:paraId="76ECCE0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22.7</w:t>
            </w:r>
          </w:p>
        </w:tc>
        <w:tc>
          <w:tcPr>
            <w:tcW w:w="594" w:type="dxa"/>
            <w:tcBorders>
              <w:top w:val="nil"/>
              <w:left w:val="nil"/>
              <w:bottom w:val="single" w:sz="8" w:space="0" w:color="DCDDDE"/>
              <w:right w:val="nil"/>
            </w:tcBorders>
            <w:shd w:val="clear" w:color="000000" w:fill="FFFFFF"/>
            <w:noWrap/>
            <w:vAlign w:val="center"/>
            <w:hideMark/>
          </w:tcPr>
          <w:p w14:paraId="75A94F7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29.2</w:t>
            </w:r>
          </w:p>
        </w:tc>
        <w:tc>
          <w:tcPr>
            <w:tcW w:w="594" w:type="dxa"/>
            <w:tcBorders>
              <w:top w:val="nil"/>
              <w:left w:val="nil"/>
              <w:bottom w:val="single" w:sz="8" w:space="0" w:color="DCDDDE"/>
              <w:right w:val="nil"/>
            </w:tcBorders>
            <w:shd w:val="clear" w:color="000000" w:fill="FFFFFF"/>
            <w:noWrap/>
            <w:vAlign w:val="center"/>
            <w:hideMark/>
          </w:tcPr>
          <w:p w14:paraId="7B5A6F8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32.1</w:t>
            </w:r>
          </w:p>
        </w:tc>
        <w:tc>
          <w:tcPr>
            <w:tcW w:w="594" w:type="dxa"/>
            <w:tcBorders>
              <w:top w:val="nil"/>
              <w:left w:val="nil"/>
              <w:bottom w:val="single" w:sz="8" w:space="0" w:color="DCDDDE"/>
              <w:right w:val="nil"/>
            </w:tcBorders>
            <w:shd w:val="clear" w:color="000000" w:fill="FFFFFF"/>
            <w:noWrap/>
            <w:vAlign w:val="center"/>
            <w:hideMark/>
          </w:tcPr>
          <w:p w14:paraId="5776870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35.2</w:t>
            </w:r>
          </w:p>
        </w:tc>
        <w:tc>
          <w:tcPr>
            <w:tcW w:w="594" w:type="dxa"/>
            <w:tcBorders>
              <w:top w:val="nil"/>
              <w:left w:val="nil"/>
              <w:bottom w:val="single" w:sz="8" w:space="0" w:color="DCDDDE"/>
              <w:right w:val="nil"/>
            </w:tcBorders>
            <w:shd w:val="clear" w:color="000000" w:fill="FFFFFF"/>
            <w:noWrap/>
            <w:vAlign w:val="center"/>
            <w:hideMark/>
          </w:tcPr>
          <w:p w14:paraId="79262B4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37.3</w:t>
            </w:r>
          </w:p>
        </w:tc>
        <w:tc>
          <w:tcPr>
            <w:tcW w:w="594" w:type="dxa"/>
            <w:tcBorders>
              <w:top w:val="nil"/>
              <w:left w:val="nil"/>
              <w:bottom w:val="single" w:sz="8" w:space="0" w:color="DCDDDE"/>
              <w:right w:val="nil"/>
            </w:tcBorders>
            <w:shd w:val="clear" w:color="000000" w:fill="FFFFFF"/>
            <w:noWrap/>
            <w:vAlign w:val="center"/>
            <w:hideMark/>
          </w:tcPr>
          <w:p w14:paraId="4856E43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39.0</w:t>
            </w:r>
          </w:p>
        </w:tc>
        <w:tc>
          <w:tcPr>
            <w:tcW w:w="594" w:type="dxa"/>
            <w:tcBorders>
              <w:top w:val="nil"/>
              <w:left w:val="nil"/>
              <w:bottom w:val="single" w:sz="8" w:space="0" w:color="DCDDDE"/>
              <w:right w:val="nil"/>
            </w:tcBorders>
            <w:shd w:val="clear" w:color="000000" w:fill="FFFFFF"/>
            <w:noWrap/>
            <w:vAlign w:val="center"/>
            <w:hideMark/>
          </w:tcPr>
          <w:p w14:paraId="487DC60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40.8</w:t>
            </w:r>
          </w:p>
        </w:tc>
        <w:tc>
          <w:tcPr>
            <w:tcW w:w="594" w:type="dxa"/>
            <w:tcBorders>
              <w:top w:val="nil"/>
              <w:left w:val="nil"/>
              <w:bottom w:val="single" w:sz="8" w:space="0" w:color="DCDDDE"/>
              <w:right w:val="nil"/>
            </w:tcBorders>
            <w:shd w:val="clear" w:color="000000" w:fill="FFFFFF"/>
            <w:noWrap/>
            <w:vAlign w:val="center"/>
            <w:hideMark/>
          </w:tcPr>
          <w:p w14:paraId="1C23EA2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44.0</w:t>
            </w:r>
          </w:p>
        </w:tc>
        <w:tc>
          <w:tcPr>
            <w:tcW w:w="594" w:type="dxa"/>
            <w:tcBorders>
              <w:top w:val="nil"/>
              <w:left w:val="nil"/>
              <w:bottom w:val="single" w:sz="8" w:space="0" w:color="DCDDDE"/>
              <w:right w:val="nil"/>
            </w:tcBorders>
            <w:shd w:val="clear" w:color="000000" w:fill="FFFFFF"/>
            <w:noWrap/>
            <w:vAlign w:val="center"/>
            <w:hideMark/>
          </w:tcPr>
          <w:p w14:paraId="28DA45D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46.3</w:t>
            </w:r>
          </w:p>
        </w:tc>
        <w:tc>
          <w:tcPr>
            <w:tcW w:w="594" w:type="dxa"/>
            <w:tcBorders>
              <w:top w:val="nil"/>
              <w:left w:val="nil"/>
              <w:bottom w:val="single" w:sz="8" w:space="0" w:color="DCDDDE"/>
              <w:right w:val="nil"/>
            </w:tcBorders>
            <w:shd w:val="clear" w:color="000000" w:fill="FFFFFF"/>
            <w:noWrap/>
            <w:vAlign w:val="center"/>
            <w:hideMark/>
          </w:tcPr>
          <w:p w14:paraId="58B7008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48.7</w:t>
            </w:r>
          </w:p>
        </w:tc>
        <w:tc>
          <w:tcPr>
            <w:tcW w:w="594" w:type="dxa"/>
            <w:tcBorders>
              <w:top w:val="nil"/>
              <w:left w:val="nil"/>
              <w:bottom w:val="single" w:sz="8" w:space="0" w:color="DCDDDE"/>
              <w:right w:val="nil"/>
            </w:tcBorders>
            <w:shd w:val="clear" w:color="000000" w:fill="FFFFFF"/>
            <w:noWrap/>
            <w:vAlign w:val="center"/>
            <w:hideMark/>
          </w:tcPr>
          <w:p w14:paraId="7F9B512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51.0</w:t>
            </w:r>
          </w:p>
        </w:tc>
        <w:tc>
          <w:tcPr>
            <w:tcW w:w="594" w:type="dxa"/>
            <w:tcBorders>
              <w:top w:val="nil"/>
              <w:left w:val="nil"/>
              <w:bottom w:val="single" w:sz="8" w:space="0" w:color="DCDDDE"/>
              <w:right w:val="nil"/>
            </w:tcBorders>
            <w:shd w:val="clear" w:color="000000" w:fill="FFFFFF"/>
            <w:noWrap/>
            <w:vAlign w:val="center"/>
            <w:hideMark/>
          </w:tcPr>
          <w:p w14:paraId="0485C59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53.5</w:t>
            </w:r>
          </w:p>
        </w:tc>
        <w:tc>
          <w:tcPr>
            <w:tcW w:w="594" w:type="dxa"/>
            <w:tcBorders>
              <w:top w:val="nil"/>
              <w:left w:val="nil"/>
              <w:bottom w:val="single" w:sz="8" w:space="0" w:color="DCDDDE"/>
              <w:right w:val="nil"/>
            </w:tcBorders>
            <w:shd w:val="clear" w:color="000000" w:fill="FFFFFF"/>
            <w:noWrap/>
            <w:vAlign w:val="center"/>
            <w:hideMark/>
          </w:tcPr>
          <w:p w14:paraId="1AF9620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56.1</w:t>
            </w:r>
          </w:p>
        </w:tc>
      </w:tr>
      <w:tr w:rsidR="00D823AE" w:rsidRPr="00D823AE" w14:paraId="3F8A7864"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13DFAD2C"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4" w:type="dxa"/>
            <w:tcBorders>
              <w:top w:val="nil"/>
              <w:left w:val="nil"/>
              <w:bottom w:val="single" w:sz="8" w:space="0" w:color="DCDDDE"/>
              <w:right w:val="nil"/>
            </w:tcBorders>
            <w:shd w:val="clear" w:color="000000" w:fill="FFFFFF"/>
            <w:noWrap/>
            <w:vAlign w:val="center"/>
            <w:hideMark/>
          </w:tcPr>
          <w:p w14:paraId="07033B1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5.2</w:t>
            </w:r>
          </w:p>
        </w:tc>
        <w:tc>
          <w:tcPr>
            <w:tcW w:w="594" w:type="dxa"/>
            <w:tcBorders>
              <w:top w:val="nil"/>
              <w:left w:val="nil"/>
              <w:bottom w:val="single" w:sz="8" w:space="0" w:color="DCDDDE"/>
              <w:right w:val="nil"/>
            </w:tcBorders>
            <w:shd w:val="clear" w:color="000000" w:fill="FFFFFF"/>
            <w:noWrap/>
            <w:vAlign w:val="center"/>
            <w:hideMark/>
          </w:tcPr>
          <w:p w14:paraId="21FEAD7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4252368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6701BF2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490E9E7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50E24BF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148A266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12F093D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3265599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752A69D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772C411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77C9E84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17E1767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r>
      <w:tr w:rsidR="00D823AE" w:rsidRPr="00D823AE" w14:paraId="6D8DAE6B"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3E3960E8"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4" w:type="dxa"/>
            <w:tcBorders>
              <w:top w:val="nil"/>
              <w:left w:val="nil"/>
              <w:bottom w:val="single" w:sz="8" w:space="0" w:color="DCDDDE"/>
              <w:right w:val="nil"/>
            </w:tcBorders>
            <w:shd w:val="clear" w:color="000000" w:fill="FFFFFF"/>
            <w:noWrap/>
            <w:vAlign w:val="center"/>
            <w:hideMark/>
          </w:tcPr>
          <w:p w14:paraId="3A47702F"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246.5</w:t>
            </w:r>
          </w:p>
        </w:tc>
        <w:tc>
          <w:tcPr>
            <w:tcW w:w="594" w:type="dxa"/>
            <w:tcBorders>
              <w:top w:val="nil"/>
              <w:left w:val="nil"/>
              <w:bottom w:val="single" w:sz="8" w:space="0" w:color="DCDDDE"/>
              <w:right w:val="nil"/>
            </w:tcBorders>
            <w:shd w:val="clear" w:color="000000" w:fill="FFFFFF"/>
            <w:noWrap/>
            <w:vAlign w:val="center"/>
            <w:hideMark/>
          </w:tcPr>
          <w:p w14:paraId="61A794F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263.9</w:t>
            </w:r>
          </w:p>
        </w:tc>
        <w:tc>
          <w:tcPr>
            <w:tcW w:w="594" w:type="dxa"/>
            <w:tcBorders>
              <w:top w:val="nil"/>
              <w:left w:val="nil"/>
              <w:bottom w:val="single" w:sz="8" w:space="0" w:color="DCDDDE"/>
              <w:right w:val="nil"/>
            </w:tcBorders>
            <w:shd w:val="clear" w:color="000000" w:fill="FFFFFF"/>
            <w:noWrap/>
            <w:vAlign w:val="center"/>
            <w:hideMark/>
          </w:tcPr>
          <w:p w14:paraId="750B868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276.5</w:t>
            </w:r>
          </w:p>
        </w:tc>
        <w:tc>
          <w:tcPr>
            <w:tcW w:w="594" w:type="dxa"/>
            <w:tcBorders>
              <w:top w:val="nil"/>
              <w:left w:val="nil"/>
              <w:bottom w:val="single" w:sz="8" w:space="0" w:color="DCDDDE"/>
              <w:right w:val="nil"/>
            </w:tcBorders>
            <w:shd w:val="clear" w:color="000000" w:fill="FFFFFF"/>
            <w:noWrap/>
            <w:vAlign w:val="center"/>
            <w:hideMark/>
          </w:tcPr>
          <w:p w14:paraId="5635A47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315.6</w:t>
            </w:r>
          </w:p>
        </w:tc>
        <w:tc>
          <w:tcPr>
            <w:tcW w:w="594" w:type="dxa"/>
            <w:tcBorders>
              <w:top w:val="nil"/>
              <w:left w:val="nil"/>
              <w:bottom w:val="single" w:sz="8" w:space="0" w:color="DCDDDE"/>
              <w:right w:val="nil"/>
            </w:tcBorders>
            <w:shd w:val="clear" w:color="000000" w:fill="FFFFFF"/>
            <w:noWrap/>
            <w:vAlign w:val="center"/>
            <w:hideMark/>
          </w:tcPr>
          <w:p w14:paraId="62F4448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314.3</w:t>
            </w:r>
          </w:p>
        </w:tc>
        <w:tc>
          <w:tcPr>
            <w:tcW w:w="594" w:type="dxa"/>
            <w:tcBorders>
              <w:top w:val="nil"/>
              <w:left w:val="nil"/>
              <w:bottom w:val="single" w:sz="8" w:space="0" w:color="DCDDDE"/>
              <w:right w:val="nil"/>
            </w:tcBorders>
            <w:shd w:val="clear" w:color="000000" w:fill="FFFFFF"/>
            <w:noWrap/>
            <w:vAlign w:val="center"/>
            <w:hideMark/>
          </w:tcPr>
          <w:p w14:paraId="4FF59ED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352.9</w:t>
            </w:r>
          </w:p>
        </w:tc>
        <w:tc>
          <w:tcPr>
            <w:tcW w:w="594" w:type="dxa"/>
            <w:tcBorders>
              <w:top w:val="nil"/>
              <w:left w:val="nil"/>
              <w:bottom w:val="single" w:sz="8" w:space="0" w:color="DCDDDE"/>
              <w:right w:val="nil"/>
            </w:tcBorders>
            <w:shd w:val="clear" w:color="000000" w:fill="FFFFFF"/>
            <w:noWrap/>
            <w:vAlign w:val="center"/>
            <w:hideMark/>
          </w:tcPr>
          <w:p w14:paraId="1CDBC05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347.5</w:t>
            </w:r>
          </w:p>
        </w:tc>
        <w:tc>
          <w:tcPr>
            <w:tcW w:w="594" w:type="dxa"/>
            <w:tcBorders>
              <w:top w:val="nil"/>
              <w:left w:val="nil"/>
              <w:bottom w:val="single" w:sz="8" w:space="0" w:color="DCDDDE"/>
              <w:right w:val="nil"/>
            </w:tcBorders>
            <w:shd w:val="clear" w:color="000000" w:fill="FFFFFF"/>
            <w:noWrap/>
            <w:vAlign w:val="center"/>
            <w:hideMark/>
          </w:tcPr>
          <w:p w14:paraId="356E13A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346.4</w:t>
            </w:r>
          </w:p>
        </w:tc>
        <w:tc>
          <w:tcPr>
            <w:tcW w:w="594" w:type="dxa"/>
            <w:tcBorders>
              <w:top w:val="nil"/>
              <w:left w:val="nil"/>
              <w:bottom w:val="single" w:sz="8" w:space="0" w:color="DCDDDE"/>
              <w:right w:val="nil"/>
            </w:tcBorders>
            <w:shd w:val="clear" w:color="000000" w:fill="FFFFFF"/>
            <w:noWrap/>
            <w:vAlign w:val="center"/>
            <w:hideMark/>
          </w:tcPr>
          <w:p w14:paraId="5AF4F643"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342.1</w:t>
            </w:r>
          </w:p>
        </w:tc>
        <w:tc>
          <w:tcPr>
            <w:tcW w:w="594" w:type="dxa"/>
            <w:tcBorders>
              <w:top w:val="nil"/>
              <w:left w:val="nil"/>
              <w:bottom w:val="single" w:sz="8" w:space="0" w:color="DCDDDE"/>
              <w:right w:val="nil"/>
            </w:tcBorders>
            <w:shd w:val="clear" w:color="000000" w:fill="FFFFFF"/>
            <w:noWrap/>
            <w:vAlign w:val="center"/>
            <w:hideMark/>
          </w:tcPr>
          <w:p w14:paraId="0298473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341.4</w:t>
            </w:r>
          </w:p>
        </w:tc>
        <w:tc>
          <w:tcPr>
            <w:tcW w:w="594" w:type="dxa"/>
            <w:tcBorders>
              <w:top w:val="nil"/>
              <w:left w:val="nil"/>
              <w:bottom w:val="single" w:sz="8" w:space="0" w:color="DCDDDE"/>
              <w:right w:val="nil"/>
            </w:tcBorders>
            <w:shd w:val="clear" w:color="000000" w:fill="FFFFFF"/>
            <w:noWrap/>
            <w:vAlign w:val="center"/>
            <w:hideMark/>
          </w:tcPr>
          <w:p w14:paraId="26F047B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336.2</w:t>
            </w:r>
          </w:p>
        </w:tc>
        <w:tc>
          <w:tcPr>
            <w:tcW w:w="594" w:type="dxa"/>
            <w:tcBorders>
              <w:top w:val="nil"/>
              <w:left w:val="nil"/>
              <w:bottom w:val="single" w:sz="8" w:space="0" w:color="DCDDDE"/>
              <w:right w:val="nil"/>
            </w:tcBorders>
            <w:shd w:val="clear" w:color="000000" w:fill="FFFFFF"/>
            <w:noWrap/>
            <w:vAlign w:val="center"/>
            <w:hideMark/>
          </w:tcPr>
          <w:p w14:paraId="6AFC2FA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325.7</w:t>
            </w:r>
          </w:p>
        </w:tc>
        <w:tc>
          <w:tcPr>
            <w:tcW w:w="594" w:type="dxa"/>
            <w:tcBorders>
              <w:top w:val="nil"/>
              <w:left w:val="nil"/>
              <w:bottom w:val="single" w:sz="8" w:space="0" w:color="DCDDDE"/>
              <w:right w:val="nil"/>
            </w:tcBorders>
            <w:shd w:val="clear" w:color="000000" w:fill="FFFFFF"/>
            <w:noWrap/>
            <w:vAlign w:val="center"/>
            <w:hideMark/>
          </w:tcPr>
          <w:p w14:paraId="67BD8B1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316.2</w:t>
            </w:r>
          </w:p>
        </w:tc>
      </w:tr>
      <w:tr w:rsidR="00D823AE" w:rsidRPr="00D823AE" w14:paraId="33DC2B45" w14:textId="77777777" w:rsidTr="00D823AE">
        <w:trPr>
          <w:trHeight w:val="275"/>
        </w:trPr>
        <w:tc>
          <w:tcPr>
            <w:tcW w:w="9013" w:type="dxa"/>
            <w:gridSpan w:val="15"/>
            <w:tcBorders>
              <w:top w:val="single" w:sz="8" w:space="0" w:color="DCDDDE"/>
              <w:left w:val="nil"/>
              <w:bottom w:val="single" w:sz="8" w:space="0" w:color="DCDDDE"/>
              <w:right w:val="nil"/>
            </w:tcBorders>
            <w:shd w:val="clear" w:color="000000" w:fill="DADADA"/>
            <w:noWrap/>
            <w:vAlign w:val="center"/>
            <w:hideMark/>
          </w:tcPr>
          <w:p w14:paraId="6F69407F"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D823AE" w:rsidRPr="00D823AE" w14:paraId="64AADA5C"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2074B588"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4" w:type="dxa"/>
            <w:tcBorders>
              <w:top w:val="nil"/>
              <w:left w:val="nil"/>
              <w:bottom w:val="single" w:sz="8" w:space="0" w:color="DCDDDE"/>
              <w:right w:val="nil"/>
            </w:tcBorders>
            <w:shd w:val="clear" w:color="000000" w:fill="FFFFFF"/>
            <w:noWrap/>
            <w:vAlign w:val="center"/>
            <w:hideMark/>
          </w:tcPr>
          <w:p w14:paraId="3864F67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58.3</w:t>
            </w:r>
          </w:p>
        </w:tc>
        <w:tc>
          <w:tcPr>
            <w:tcW w:w="594" w:type="dxa"/>
            <w:tcBorders>
              <w:top w:val="nil"/>
              <w:left w:val="nil"/>
              <w:bottom w:val="single" w:sz="8" w:space="0" w:color="DCDDDE"/>
              <w:right w:val="nil"/>
            </w:tcBorders>
            <w:shd w:val="clear" w:color="000000" w:fill="FFFFFF"/>
            <w:noWrap/>
            <w:vAlign w:val="center"/>
            <w:hideMark/>
          </w:tcPr>
          <w:p w14:paraId="1450788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66.2</w:t>
            </w:r>
          </w:p>
        </w:tc>
        <w:tc>
          <w:tcPr>
            <w:tcW w:w="594" w:type="dxa"/>
            <w:tcBorders>
              <w:top w:val="nil"/>
              <w:left w:val="nil"/>
              <w:bottom w:val="single" w:sz="8" w:space="0" w:color="DCDDDE"/>
              <w:right w:val="nil"/>
            </w:tcBorders>
            <w:shd w:val="clear" w:color="000000" w:fill="FFFFFF"/>
            <w:noWrap/>
            <w:vAlign w:val="center"/>
            <w:hideMark/>
          </w:tcPr>
          <w:p w14:paraId="6E2C43C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64.8</w:t>
            </w:r>
          </w:p>
        </w:tc>
        <w:tc>
          <w:tcPr>
            <w:tcW w:w="594" w:type="dxa"/>
            <w:tcBorders>
              <w:top w:val="nil"/>
              <w:left w:val="nil"/>
              <w:bottom w:val="single" w:sz="8" w:space="0" w:color="DCDDDE"/>
              <w:right w:val="nil"/>
            </w:tcBorders>
            <w:shd w:val="clear" w:color="000000" w:fill="FFFFFF"/>
            <w:noWrap/>
            <w:vAlign w:val="center"/>
            <w:hideMark/>
          </w:tcPr>
          <w:p w14:paraId="3330413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73.5</w:t>
            </w:r>
          </w:p>
        </w:tc>
        <w:tc>
          <w:tcPr>
            <w:tcW w:w="594" w:type="dxa"/>
            <w:tcBorders>
              <w:top w:val="nil"/>
              <w:left w:val="nil"/>
              <w:bottom w:val="single" w:sz="8" w:space="0" w:color="DCDDDE"/>
              <w:right w:val="nil"/>
            </w:tcBorders>
            <w:shd w:val="clear" w:color="000000" w:fill="FFFFFF"/>
            <w:noWrap/>
            <w:vAlign w:val="center"/>
            <w:hideMark/>
          </w:tcPr>
          <w:p w14:paraId="5D42CFC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75.2</w:t>
            </w:r>
          </w:p>
        </w:tc>
        <w:tc>
          <w:tcPr>
            <w:tcW w:w="594" w:type="dxa"/>
            <w:tcBorders>
              <w:top w:val="nil"/>
              <w:left w:val="nil"/>
              <w:bottom w:val="single" w:sz="8" w:space="0" w:color="DCDDDE"/>
              <w:right w:val="nil"/>
            </w:tcBorders>
            <w:shd w:val="clear" w:color="000000" w:fill="FFFFFF"/>
            <w:noWrap/>
            <w:vAlign w:val="center"/>
            <w:hideMark/>
          </w:tcPr>
          <w:p w14:paraId="672A7F6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75.5</w:t>
            </w:r>
          </w:p>
        </w:tc>
        <w:tc>
          <w:tcPr>
            <w:tcW w:w="594" w:type="dxa"/>
            <w:tcBorders>
              <w:top w:val="nil"/>
              <w:left w:val="nil"/>
              <w:bottom w:val="single" w:sz="8" w:space="0" w:color="DCDDDE"/>
              <w:right w:val="nil"/>
            </w:tcBorders>
            <w:shd w:val="clear" w:color="000000" w:fill="FFFFFF"/>
            <w:noWrap/>
            <w:vAlign w:val="center"/>
            <w:hideMark/>
          </w:tcPr>
          <w:p w14:paraId="6466786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75.9</w:t>
            </w:r>
          </w:p>
        </w:tc>
        <w:tc>
          <w:tcPr>
            <w:tcW w:w="594" w:type="dxa"/>
            <w:tcBorders>
              <w:top w:val="nil"/>
              <w:left w:val="nil"/>
              <w:bottom w:val="single" w:sz="8" w:space="0" w:color="DCDDDE"/>
              <w:right w:val="nil"/>
            </w:tcBorders>
            <w:shd w:val="clear" w:color="000000" w:fill="FFFFFF"/>
            <w:noWrap/>
            <w:vAlign w:val="center"/>
            <w:hideMark/>
          </w:tcPr>
          <w:p w14:paraId="4A259CB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77.1</w:t>
            </w:r>
          </w:p>
        </w:tc>
        <w:tc>
          <w:tcPr>
            <w:tcW w:w="594" w:type="dxa"/>
            <w:tcBorders>
              <w:top w:val="nil"/>
              <w:left w:val="nil"/>
              <w:bottom w:val="single" w:sz="8" w:space="0" w:color="DCDDDE"/>
              <w:right w:val="nil"/>
            </w:tcBorders>
            <w:shd w:val="clear" w:color="000000" w:fill="FFFFFF"/>
            <w:noWrap/>
            <w:vAlign w:val="center"/>
            <w:hideMark/>
          </w:tcPr>
          <w:p w14:paraId="1FF948F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79.9</w:t>
            </w:r>
          </w:p>
        </w:tc>
        <w:tc>
          <w:tcPr>
            <w:tcW w:w="594" w:type="dxa"/>
            <w:tcBorders>
              <w:top w:val="nil"/>
              <w:left w:val="nil"/>
              <w:bottom w:val="single" w:sz="8" w:space="0" w:color="DCDDDE"/>
              <w:right w:val="nil"/>
            </w:tcBorders>
            <w:shd w:val="clear" w:color="000000" w:fill="FFFFFF"/>
            <w:noWrap/>
            <w:vAlign w:val="center"/>
            <w:hideMark/>
          </w:tcPr>
          <w:p w14:paraId="3971A9B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79.7</w:t>
            </w:r>
          </w:p>
        </w:tc>
        <w:tc>
          <w:tcPr>
            <w:tcW w:w="594" w:type="dxa"/>
            <w:tcBorders>
              <w:top w:val="nil"/>
              <w:left w:val="nil"/>
              <w:bottom w:val="single" w:sz="8" w:space="0" w:color="DCDDDE"/>
              <w:right w:val="nil"/>
            </w:tcBorders>
            <w:shd w:val="clear" w:color="000000" w:fill="FFFFFF"/>
            <w:noWrap/>
            <w:vAlign w:val="center"/>
            <w:hideMark/>
          </w:tcPr>
          <w:p w14:paraId="5889885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80.1</w:t>
            </w:r>
          </w:p>
        </w:tc>
        <w:tc>
          <w:tcPr>
            <w:tcW w:w="594" w:type="dxa"/>
            <w:tcBorders>
              <w:top w:val="nil"/>
              <w:left w:val="nil"/>
              <w:bottom w:val="single" w:sz="8" w:space="0" w:color="DCDDDE"/>
              <w:right w:val="nil"/>
            </w:tcBorders>
            <w:shd w:val="clear" w:color="000000" w:fill="FFFFFF"/>
            <w:noWrap/>
            <w:vAlign w:val="center"/>
            <w:hideMark/>
          </w:tcPr>
          <w:p w14:paraId="2F40FCF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86.3</w:t>
            </w:r>
          </w:p>
        </w:tc>
        <w:tc>
          <w:tcPr>
            <w:tcW w:w="594" w:type="dxa"/>
            <w:tcBorders>
              <w:top w:val="nil"/>
              <w:left w:val="nil"/>
              <w:bottom w:val="single" w:sz="8" w:space="0" w:color="DCDDDE"/>
              <w:right w:val="nil"/>
            </w:tcBorders>
            <w:shd w:val="clear" w:color="000000" w:fill="FFFFFF"/>
            <w:noWrap/>
            <w:vAlign w:val="center"/>
            <w:hideMark/>
          </w:tcPr>
          <w:p w14:paraId="6B34D3B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86.4</w:t>
            </w:r>
          </w:p>
        </w:tc>
      </w:tr>
      <w:tr w:rsidR="00D823AE" w:rsidRPr="00D823AE" w14:paraId="359327C3"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0987F55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4" w:type="dxa"/>
            <w:tcBorders>
              <w:top w:val="nil"/>
              <w:left w:val="nil"/>
              <w:bottom w:val="single" w:sz="8" w:space="0" w:color="DCDDDE"/>
              <w:right w:val="nil"/>
            </w:tcBorders>
            <w:shd w:val="clear" w:color="000000" w:fill="FFFFFF"/>
            <w:noWrap/>
            <w:vAlign w:val="center"/>
            <w:hideMark/>
          </w:tcPr>
          <w:p w14:paraId="3FDB85A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162.8</w:t>
            </w:r>
          </w:p>
        </w:tc>
        <w:tc>
          <w:tcPr>
            <w:tcW w:w="594" w:type="dxa"/>
            <w:tcBorders>
              <w:top w:val="nil"/>
              <w:left w:val="nil"/>
              <w:bottom w:val="single" w:sz="8" w:space="0" w:color="DCDDDE"/>
              <w:right w:val="nil"/>
            </w:tcBorders>
            <w:shd w:val="clear" w:color="000000" w:fill="FFFFFF"/>
            <w:noWrap/>
            <w:vAlign w:val="center"/>
            <w:hideMark/>
          </w:tcPr>
          <w:p w14:paraId="63A37EA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163.5</w:t>
            </w:r>
          </w:p>
        </w:tc>
        <w:tc>
          <w:tcPr>
            <w:tcW w:w="594" w:type="dxa"/>
            <w:tcBorders>
              <w:top w:val="nil"/>
              <w:left w:val="nil"/>
              <w:bottom w:val="single" w:sz="8" w:space="0" w:color="DCDDDE"/>
              <w:right w:val="nil"/>
            </w:tcBorders>
            <w:shd w:val="clear" w:color="000000" w:fill="FFFFFF"/>
            <w:noWrap/>
            <w:vAlign w:val="center"/>
            <w:hideMark/>
          </w:tcPr>
          <w:p w14:paraId="123FD4B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179.1</w:t>
            </w:r>
          </w:p>
        </w:tc>
        <w:tc>
          <w:tcPr>
            <w:tcW w:w="594" w:type="dxa"/>
            <w:tcBorders>
              <w:top w:val="nil"/>
              <w:left w:val="nil"/>
              <w:bottom w:val="single" w:sz="8" w:space="0" w:color="DCDDDE"/>
              <w:right w:val="nil"/>
            </w:tcBorders>
            <w:shd w:val="clear" w:color="000000" w:fill="FFFFFF"/>
            <w:noWrap/>
            <w:vAlign w:val="center"/>
            <w:hideMark/>
          </w:tcPr>
          <w:p w14:paraId="35CF715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208.7</w:t>
            </w:r>
          </w:p>
        </w:tc>
        <w:tc>
          <w:tcPr>
            <w:tcW w:w="594" w:type="dxa"/>
            <w:tcBorders>
              <w:top w:val="nil"/>
              <w:left w:val="nil"/>
              <w:bottom w:val="single" w:sz="8" w:space="0" w:color="DCDDDE"/>
              <w:right w:val="nil"/>
            </w:tcBorders>
            <w:shd w:val="clear" w:color="000000" w:fill="FFFFFF"/>
            <w:noWrap/>
            <w:vAlign w:val="center"/>
            <w:hideMark/>
          </w:tcPr>
          <w:p w14:paraId="723B73F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205.1</w:t>
            </w:r>
          </w:p>
        </w:tc>
        <w:tc>
          <w:tcPr>
            <w:tcW w:w="594" w:type="dxa"/>
            <w:tcBorders>
              <w:top w:val="nil"/>
              <w:left w:val="nil"/>
              <w:bottom w:val="single" w:sz="8" w:space="0" w:color="DCDDDE"/>
              <w:right w:val="nil"/>
            </w:tcBorders>
            <w:shd w:val="clear" w:color="000000" w:fill="FFFFFF"/>
            <w:noWrap/>
            <w:vAlign w:val="center"/>
            <w:hideMark/>
          </w:tcPr>
          <w:p w14:paraId="6DDD8DE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241.6</w:t>
            </w:r>
          </w:p>
        </w:tc>
        <w:tc>
          <w:tcPr>
            <w:tcW w:w="594" w:type="dxa"/>
            <w:tcBorders>
              <w:top w:val="nil"/>
              <w:left w:val="nil"/>
              <w:bottom w:val="single" w:sz="8" w:space="0" w:color="DCDDDE"/>
              <w:right w:val="nil"/>
            </w:tcBorders>
            <w:shd w:val="clear" w:color="000000" w:fill="FFFFFF"/>
            <w:noWrap/>
            <w:vAlign w:val="center"/>
            <w:hideMark/>
          </w:tcPr>
          <w:p w14:paraId="6799741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233.7</w:t>
            </w:r>
          </w:p>
        </w:tc>
        <w:tc>
          <w:tcPr>
            <w:tcW w:w="594" w:type="dxa"/>
            <w:tcBorders>
              <w:top w:val="nil"/>
              <w:left w:val="nil"/>
              <w:bottom w:val="single" w:sz="8" w:space="0" w:color="DCDDDE"/>
              <w:right w:val="nil"/>
            </w:tcBorders>
            <w:shd w:val="clear" w:color="000000" w:fill="FFFFFF"/>
            <w:noWrap/>
            <w:vAlign w:val="center"/>
            <w:hideMark/>
          </w:tcPr>
          <w:p w14:paraId="05067CF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228.6</w:t>
            </w:r>
          </w:p>
        </w:tc>
        <w:tc>
          <w:tcPr>
            <w:tcW w:w="594" w:type="dxa"/>
            <w:tcBorders>
              <w:top w:val="nil"/>
              <w:left w:val="nil"/>
              <w:bottom w:val="single" w:sz="8" w:space="0" w:color="DCDDDE"/>
              <w:right w:val="nil"/>
            </w:tcBorders>
            <w:shd w:val="clear" w:color="000000" w:fill="FFFFFF"/>
            <w:noWrap/>
            <w:vAlign w:val="center"/>
            <w:hideMark/>
          </w:tcPr>
          <w:p w14:paraId="64F563A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222.4</w:t>
            </w:r>
          </w:p>
        </w:tc>
        <w:tc>
          <w:tcPr>
            <w:tcW w:w="594" w:type="dxa"/>
            <w:tcBorders>
              <w:top w:val="nil"/>
              <w:left w:val="nil"/>
              <w:bottom w:val="single" w:sz="8" w:space="0" w:color="DCDDDE"/>
              <w:right w:val="nil"/>
            </w:tcBorders>
            <w:shd w:val="clear" w:color="000000" w:fill="FFFFFF"/>
            <w:noWrap/>
            <w:vAlign w:val="center"/>
            <w:hideMark/>
          </w:tcPr>
          <w:p w14:paraId="34FBE50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219.2</w:t>
            </w:r>
          </w:p>
        </w:tc>
        <w:tc>
          <w:tcPr>
            <w:tcW w:w="594" w:type="dxa"/>
            <w:tcBorders>
              <w:top w:val="nil"/>
              <w:left w:val="nil"/>
              <w:bottom w:val="single" w:sz="8" w:space="0" w:color="DCDDDE"/>
              <w:right w:val="nil"/>
            </w:tcBorders>
            <w:shd w:val="clear" w:color="000000" w:fill="FFFFFF"/>
            <w:noWrap/>
            <w:vAlign w:val="center"/>
            <w:hideMark/>
          </w:tcPr>
          <w:p w14:paraId="3E8E8A6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210.8</w:t>
            </w:r>
          </w:p>
        </w:tc>
        <w:tc>
          <w:tcPr>
            <w:tcW w:w="594" w:type="dxa"/>
            <w:tcBorders>
              <w:top w:val="nil"/>
              <w:left w:val="nil"/>
              <w:bottom w:val="single" w:sz="8" w:space="0" w:color="DCDDDE"/>
              <w:right w:val="nil"/>
            </w:tcBorders>
            <w:shd w:val="clear" w:color="000000" w:fill="FFFFFF"/>
            <w:noWrap/>
            <w:vAlign w:val="center"/>
            <w:hideMark/>
          </w:tcPr>
          <w:p w14:paraId="7D6035C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197.6</w:t>
            </w:r>
          </w:p>
        </w:tc>
        <w:tc>
          <w:tcPr>
            <w:tcW w:w="594" w:type="dxa"/>
            <w:tcBorders>
              <w:top w:val="nil"/>
              <w:left w:val="nil"/>
              <w:bottom w:val="single" w:sz="8" w:space="0" w:color="DCDDDE"/>
              <w:right w:val="nil"/>
            </w:tcBorders>
            <w:shd w:val="clear" w:color="000000" w:fill="FFFFFF"/>
            <w:noWrap/>
            <w:vAlign w:val="center"/>
            <w:hideMark/>
          </w:tcPr>
          <w:p w14:paraId="6EFB30F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184.9</w:t>
            </w:r>
          </w:p>
        </w:tc>
      </w:tr>
      <w:tr w:rsidR="00D823AE" w:rsidRPr="00D823AE" w14:paraId="6AC8CC16"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69693330"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4" w:type="dxa"/>
            <w:tcBorders>
              <w:top w:val="nil"/>
              <w:left w:val="nil"/>
              <w:bottom w:val="single" w:sz="8" w:space="0" w:color="DCDDDE"/>
              <w:right w:val="nil"/>
            </w:tcBorders>
            <w:shd w:val="clear" w:color="000000" w:fill="FFFFFF"/>
            <w:noWrap/>
            <w:vAlign w:val="center"/>
            <w:hideMark/>
          </w:tcPr>
          <w:p w14:paraId="03DD9FF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22.7</w:t>
            </w:r>
          </w:p>
        </w:tc>
        <w:tc>
          <w:tcPr>
            <w:tcW w:w="594" w:type="dxa"/>
            <w:tcBorders>
              <w:top w:val="nil"/>
              <w:left w:val="nil"/>
              <w:bottom w:val="single" w:sz="8" w:space="0" w:color="DCDDDE"/>
              <w:right w:val="nil"/>
            </w:tcBorders>
            <w:shd w:val="clear" w:color="000000" w:fill="FFFFFF"/>
            <w:noWrap/>
            <w:vAlign w:val="center"/>
            <w:hideMark/>
          </w:tcPr>
          <w:p w14:paraId="684F87C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29.2</w:t>
            </w:r>
          </w:p>
        </w:tc>
        <w:tc>
          <w:tcPr>
            <w:tcW w:w="594" w:type="dxa"/>
            <w:tcBorders>
              <w:top w:val="nil"/>
              <w:left w:val="nil"/>
              <w:bottom w:val="single" w:sz="8" w:space="0" w:color="DCDDDE"/>
              <w:right w:val="nil"/>
            </w:tcBorders>
            <w:shd w:val="clear" w:color="000000" w:fill="FFFFFF"/>
            <w:noWrap/>
            <w:vAlign w:val="center"/>
            <w:hideMark/>
          </w:tcPr>
          <w:p w14:paraId="4E19839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32.1</w:t>
            </w:r>
          </w:p>
        </w:tc>
        <w:tc>
          <w:tcPr>
            <w:tcW w:w="594" w:type="dxa"/>
            <w:tcBorders>
              <w:top w:val="nil"/>
              <w:left w:val="nil"/>
              <w:bottom w:val="single" w:sz="8" w:space="0" w:color="DCDDDE"/>
              <w:right w:val="nil"/>
            </w:tcBorders>
            <w:shd w:val="clear" w:color="000000" w:fill="FFFFFF"/>
            <w:noWrap/>
            <w:vAlign w:val="center"/>
            <w:hideMark/>
          </w:tcPr>
          <w:p w14:paraId="43DAE41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35.2</w:t>
            </w:r>
          </w:p>
        </w:tc>
        <w:tc>
          <w:tcPr>
            <w:tcW w:w="594" w:type="dxa"/>
            <w:tcBorders>
              <w:top w:val="nil"/>
              <w:left w:val="nil"/>
              <w:bottom w:val="single" w:sz="8" w:space="0" w:color="DCDDDE"/>
              <w:right w:val="nil"/>
            </w:tcBorders>
            <w:shd w:val="clear" w:color="000000" w:fill="FFFFFF"/>
            <w:noWrap/>
            <w:vAlign w:val="center"/>
            <w:hideMark/>
          </w:tcPr>
          <w:p w14:paraId="3F6D403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37.3</w:t>
            </w:r>
          </w:p>
        </w:tc>
        <w:tc>
          <w:tcPr>
            <w:tcW w:w="594" w:type="dxa"/>
            <w:tcBorders>
              <w:top w:val="nil"/>
              <w:left w:val="nil"/>
              <w:bottom w:val="single" w:sz="8" w:space="0" w:color="DCDDDE"/>
              <w:right w:val="nil"/>
            </w:tcBorders>
            <w:shd w:val="clear" w:color="000000" w:fill="FFFFFF"/>
            <w:noWrap/>
            <w:vAlign w:val="center"/>
            <w:hideMark/>
          </w:tcPr>
          <w:p w14:paraId="5D44589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39.0</w:t>
            </w:r>
          </w:p>
        </w:tc>
        <w:tc>
          <w:tcPr>
            <w:tcW w:w="594" w:type="dxa"/>
            <w:tcBorders>
              <w:top w:val="nil"/>
              <w:left w:val="nil"/>
              <w:bottom w:val="single" w:sz="8" w:space="0" w:color="DCDDDE"/>
              <w:right w:val="nil"/>
            </w:tcBorders>
            <w:shd w:val="clear" w:color="000000" w:fill="FFFFFF"/>
            <w:noWrap/>
            <w:vAlign w:val="center"/>
            <w:hideMark/>
          </w:tcPr>
          <w:p w14:paraId="22085D7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40.8</w:t>
            </w:r>
          </w:p>
        </w:tc>
        <w:tc>
          <w:tcPr>
            <w:tcW w:w="594" w:type="dxa"/>
            <w:tcBorders>
              <w:top w:val="nil"/>
              <w:left w:val="nil"/>
              <w:bottom w:val="single" w:sz="8" w:space="0" w:color="DCDDDE"/>
              <w:right w:val="nil"/>
            </w:tcBorders>
            <w:shd w:val="clear" w:color="000000" w:fill="FFFFFF"/>
            <w:noWrap/>
            <w:vAlign w:val="center"/>
            <w:hideMark/>
          </w:tcPr>
          <w:p w14:paraId="35F5B32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44.0</w:t>
            </w:r>
          </w:p>
        </w:tc>
        <w:tc>
          <w:tcPr>
            <w:tcW w:w="594" w:type="dxa"/>
            <w:tcBorders>
              <w:top w:val="nil"/>
              <w:left w:val="nil"/>
              <w:bottom w:val="single" w:sz="8" w:space="0" w:color="DCDDDE"/>
              <w:right w:val="nil"/>
            </w:tcBorders>
            <w:shd w:val="clear" w:color="000000" w:fill="FFFFFF"/>
            <w:noWrap/>
            <w:vAlign w:val="center"/>
            <w:hideMark/>
          </w:tcPr>
          <w:p w14:paraId="2DE6F01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46.3</w:t>
            </w:r>
          </w:p>
        </w:tc>
        <w:tc>
          <w:tcPr>
            <w:tcW w:w="594" w:type="dxa"/>
            <w:tcBorders>
              <w:top w:val="nil"/>
              <w:left w:val="nil"/>
              <w:bottom w:val="single" w:sz="8" w:space="0" w:color="DCDDDE"/>
              <w:right w:val="nil"/>
            </w:tcBorders>
            <w:shd w:val="clear" w:color="000000" w:fill="FFFFFF"/>
            <w:noWrap/>
            <w:vAlign w:val="center"/>
            <w:hideMark/>
          </w:tcPr>
          <w:p w14:paraId="0F95145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48.7</w:t>
            </w:r>
          </w:p>
        </w:tc>
        <w:tc>
          <w:tcPr>
            <w:tcW w:w="594" w:type="dxa"/>
            <w:tcBorders>
              <w:top w:val="nil"/>
              <w:left w:val="nil"/>
              <w:bottom w:val="single" w:sz="8" w:space="0" w:color="DCDDDE"/>
              <w:right w:val="nil"/>
            </w:tcBorders>
            <w:shd w:val="clear" w:color="000000" w:fill="FFFFFF"/>
            <w:noWrap/>
            <w:vAlign w:val="center"/>
            <w:hideMark/>
          </w:tcPr>
          <w:p w14:paraId="653A4F1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51.0</w:t>
            </w:r>
          </w:p>
        </w:tc>
        <w:tc>
          <w:tcPr>
            <w:tcW w:w="594" w:type="dxa"/>
            <w:tcBorders>
              <w:top w:val="nil"/>
              <w:left w:val="nil"/>
              <w:bottom w:val="single" w:sz="8" w:space="0" w:color="DCDDDE"/>
              <w:right w:val="nil"/>
            </w:tcBorders>
            <w:shd w:val="clear" w:color="000000" w:fill="FFFFFF"/>
            <w:noWrap/>
            <w:vAlign w:val="center"/>
            <w:hideMark/>
          </w:tcPr>
          <w:p w14:paraId="08F8ADA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53.5</w:t>
            </w:r>
          </w:p>
        </w:tc>
        <w:tc>
          <w:tcPr>
            <w:tcW w:w="594" w:type="dxa"/>
            <w:tcBorders>
              <w:top w:val="nil"/>
              <w:left w:val="nil"/>
              <w:bottom w:val="single" w:sz="8" w:space="0" w:color="DCDDDE"/>
              <w:right w:val="nil"/>
            </w:tcBorders>
            <w:shd w:val="clear" w:color="000000" w:fill="FFFFFF"/>
            <w:noWrap/>
            <w:vAlign w:val="center"/>
            <w:hideMark/>
          </w:tcPr>
          <w:p w14:paraId="472B7F8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56.1</w:t>
            </w:r>
          </w:p>
        </w:tc>
      </w:tr>
      <w:tr w:rsidR="00D823AE" w:rsidRPr="00D823AE" w14:paraId="4C02ADB5"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344A6AF8"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4" w:type="dxa"/>
            <w:tcBorders>
              <w:top w:val="nil"/>
              <w:left w:val="nil"/>
              <w:bottom w:val="single" w:sz="8" w:space="0" w:color="DCDDDE"/>
              <w:right w:val="nil"/>
            </w:tcBorders>
            <w:shd w:val="clear" w:color="000000" w:fill="FFFFFF"/>
            <w:noWrap/>
            <w:vAlign w:val="center"/>
            <w:hideMark/>
          </w:tcPr>
          <w:p w14:paraId="25F6730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5.2</w:t>
            </w:r>
          </w:p>
        </w:tc>
        <w:tc>
          <w:tcPr>
            <w:tcW w:w="594" w:type="dxa"/>
            <w:tcBorders>
              <w:top w:val="nil"/>
              <w:left w:val="nil"/>
              <w:bottom w:val="single" w:sz="8" w:space="0" w:color="DCDDDE"/>
              <w:right w:val="nil"/>
            </w:tcBorders>
            <w:shd w:val="clear" w:color="000000" w:fill="FFFFFF"/>
            <w:noWrap/>
            <w:vAlign w:val="center"/>
            <w:hideMark/>
          </w:tcPr>
          <w:p w14:paraId="7AA8941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3045EC1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057E9E4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6589AEB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6E0004B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11C275D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6C3089E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1D27755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0DCCEEA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09EC866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51EC584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7302C31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r>
      <w:tr w:rsidR="00D823AE" w:rsidRPr="00D823AE" w14:paraId="31EF4C3F"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1DCED1B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4" w:type="dxa"/>
            <w:tcBorders>
              <w:top w:val="nil"/>
              <w:left w:val="nil"/>
              <w:bottom w:val="single" w:sz="8" w:space="0" w:color="DCDDDE"/>
              <w:right w:val="nil"/>
            </w:tcBorders>
            <w:shd w:val="clear" w:color="000000" w:fill="FFFFFF"/>
            <w:noWrap/>
            <w:vAlign w:val="center"/>
            <w:hideMark/>
          </w:tcPr>
          <w:p w14:paraId="224F647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249.0</w:t>
            </w:r>
          </w:p>
        </w:tc>
        <w:tc>
          <w:tcPr>
            <w:tcW w:w="594" w:type="dxa"/>
            <w:tcBorders>
              <w:top w:val="nil"/>
              <w:left w:val="nil"/>
              <w:bottom w:val="single" w:sz="8" w:space="0" w:color="DCDDDE"/>
              <w:right w:val="nil"/>
            </w:tcBorders>
            <w:shd w:val="clear" w:color="000000" w:fill="FFFFFF"/>
            <w:noWrap/>
            <w:vAlign w:val="center"/>
            <w:hideMark/>
          </w:tcPr>
          <w:p w14:paraId="5ACD2787"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264.3</w:t>
            </w:r>
          </w:p>
        </w:tc>
        <w:tc>
          <w:tcPr>
            <w:tcW w:w="594" w:type="dxa"/>
            <w:tcBorders>
              <w:top w:val="nil"/>
              <w:left w:val="nil"/>
              <w:bottom w:val="single" w:sz="8" w:space="0" w:color="DCDDDE"/>
              <w:right w:val="nil"/>
            </w:tcBorders>
            <w:shd w:val="clear" w:color="000000" w:fill="FFFFFF"/>
            <w:noWrap/>
            <w:vAlign w:val="center"/>
            <w:hideMark/>
          </w:tcPr>
          <w:p w14:paraId="0B72562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281.4</w:t>
            </w:r>
          </w:p>
        </w:tc>
        <w:tc>
          <w:tcPr>
            <w:tcW w:w="594" w:type="dxa"/>
            <w:tcBorders>
              <w:top w:val="nil"/>
              <w:left w:val="nil"/>
              <w:bottom w:val="single" w:sz="8" w:space="0" w:color="DCDDDE"/>
              <w:right w:val="nil"/>
            </w:tcBorders>
            <w:shd w:val="clear" w:color="000000" w:fill="FFFFFF"/>
            <w:noWrap/>
            <w:vAlign w:val="center"/>
            <w:hideMark/>
          </w:tcPr>
          <w:p w14:paraId="3C5F4C5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321.4</w:t>
            </w:r>
          </w:p>
        </w:tc>
        <w:tc>
          <w:tcPr>
            <w:tcW w:w="594" w:type="dxa"/>
            <w:tcBorders>
              <w:top w:val="nil"/>
              <w:left w:val="nil"/>
              <w:bottom w:val="single" w:sz="8" w:space="0" w:color="DCDDDE"/>
              <w:right w:val="nil"/>
            </w:tcBorders>
            <w:shd w:val="clear" w:color="000000" w:fill="FFFFFF"/>
            <w:noWrap/>
            <w:vAlign w:val="center"/>
            <w:hideMark/>
          </w:tcPr>
          <w:p w14:paraId="2F0168D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321.5</w:t>
            </w:r>
          </w:p>
        </w:tc>
        <w:tc>
          <w:tcPr>
            <w:tcW w:w="594" w:type="dxa"/>
            <w:tcBorders>
              <w:top w:val="nil"/>
              <w:left w:val="nil"/>
              <w:bottom w:val="single" w:sz="8" w:space="0" w:color="DCDDDE"/>
              <w:right w:val="nil"/>
            </w:tcBorders>
            <w:shd w:val="clear" w:color="000000" w:fill="FFFFFF"/>
            <w:noWrap/>
            <w:vAlign w:val="center"/>
            <w:hideMark/>
          </w:tcPr>
          <w:p w14:paraId="6420173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360.1</w:t>
            </w:r>
          </w:p>
        </w:tc>
        <w:tc>
          <w:tcPr>
            <w:tcW w:w="594" w:type="dxa"/>
            <w:tcBorders>
              <w:top w:val="nil"/>
              <w:left w:val="nil"/>
              <w:bottom w:val="single" w:sz="8" w:space="0" w:color="DCDDDE"/>
              <w:right w:val="nil"/>
            </w:tcBorders>
            <w:shd w:val="clear" w:color="000000" w:fill="FFFFFF"/>
            <w:noWrap/>
            <w:vAlign w:val="center"/>
            <w:hideMark/>
          </w:tcPr>
          <w:p w14:paraId="3E2840C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354.4</w:t>
            </w:r>
          </w:p>
        </w:tc>
        <w:tc>
          <w:tcPr>
            <w:tcW w:w="594" w:type="dxa"/>
            <w:tcBorders>
              <w:top w:val="nil"/>
              <w:left w:val="nil"/>
              <w:bottom w:val="single" w:sz="8" w:space="0" w:color="DCDDDE"/>
              <w:right w:val="nil"/>
            </w:tcBorders>
            <w:shd w:val="clear" w:color="000000" w:fill="FFFFFF"/>
            <w:noWrap/>
            <w:vAlign w:val="center"/>
            <w:hideMark/>
          </w:tcPr>
          <w:p w14:paraId="294AB07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353.7</w:t>
            </w:r>
          </w:p>
        </w:tc>
        <w:tc>
          <w:tcPr>
            <w:tcW w:w="594" w:type="dxa"/>
            <w:tcBorders>
              <w:top w:val="nil"/>
              <w:left w:val="nil"/>
              <w:bottom w:val="single" w:sz="8" w:space="0" w:color="DCDDDE"/>
              <w:right w:val="nil"/>
            </w:tcBorders>
            <w:shd w:val="clear" w:color="000000" w:fill="FFFFFF"/>
            <w:noWrap/>
            <w:vAlign w:val="center"/>
            <w:hideMark/>
          </w:tcPr>
          <w:p w14:paraId="315FD331"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352.6</w:t>
            </w:r>
          </w:p>
        </w:tc>
        <w:tc>
          <w:tcPr>
            <w:tcW w:w="594" w:type="dxa"/>
            <w:tcBorders>
              <w:top w:val="nil"/>
              <w:left w:val="nil"/>
              <w:bottom w:val="single" w:sz="8" w:space="0" w:color="DCDDDE"/>
              <w:right w:val="nil"/>
            </w:tcBorders>
            <w:shd w:val="clear" w:color="000000" w:fill="FFFFFF"/>
            <w:noWrap/>
            <w:vAlign w:val="center"/>
            <w:hideMark/>
          </w:tcPr>
          <w:p w14:paraId="4435C71B"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351.4</w:t>
            </w:r>
          </w:p>
        </w:tc>
        <w:tc>
          <w:tcPr>
            <w:tcW w:w="594" w:type="dxa"/>
            <w:tcBorders>
              <w:top w:val="nil"/>
              <w:left w:val="nil"/>
              <w:bottom w:val="single" w:sz="8" w:space="0" w:color="DCDDDE"/>
              <w:right w:val="nil"/>
            </w:tcBorders>
            <w:shd w:val="clear" w:color="000000" w:fill="FFFFFF"/>
            <w:noWrap/>
            <w:vAlign w:val="center"/>
            <w:hideMark/>
          </w:tcPr>
          <w:p w14:paraId="5E243B83"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345.9</w:t>
            </w:r>
          </w:p>
        </w:tc>
        <w:tc>
          <w:tcPr>
            <w:tcW w:w="594" w:type="dxa"/>
            <w:tcBorders>
              <w:top w:val="nil"/>
              <w:left w:val="nil"/>
              <w:bottom w:val="single" w:sz="8" w:space="0" w:color="DCDDDE"/>
              <w:right w:val="nil"/>
            </w:tcBorders>
            <w:shd w:val="clear" w:color="000000" w:fill="FFFFFF"/>
            <w:noWrap/>
            <w:vAlign w:val="center"/>
            <w:hideMark/>
          </w:tcPr>
          <w:p w14:paraId="2F0BEF3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341.3</w:t>
            </w:r>
          </w:p>
        </w:tc>
        <w:tc>
          <w:tcPr>
            <w:tcW w:w="594" w:type="dxa"/>
            <w:tcBorders>
              <w:top w:val="nil"/>
              <w:left w:val="nil"/>
              <w:bottom w:val="single" w:sz="8" w:space="0" w:color="DCDDDE"/>
              <w:right w:val="nil"/>
            </w:tcBorders>
            <w:shd w:val="clear" w:color="000000" w:fill="FFFFFF"/>
            <w:noWrap/>
            <w:vAlign w:val="center"/>
            <w:hideMark/>
          </w:tcPr>
          <w:p w14:paraId="77E5475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331.4</w:t>
            </w:r>
          </w:p>
        </w:tc>
      </w:tr>
      <w:tr w:rsidR="00D823AE" w:rsidRPr="00D823AE" w14:paraId="5159ABFD" w14:textId="77777777" w:rsidTr="00D823AE">
        <w:trPr>
          <w:trHeight w:val="275"/>
        </w:trPr>
        <w:tc>
          <w:tcPr>
            <w:tcW w:w="9013" w:type="dxa"/>
            <w:gridSpan w:val="15"/>
            <w:tcBorders>
              <w:top w:val="single" w:sz="8" w:space="0" w:color="DCDDDE"/>
              <w:left w:val="nil"/>
              <w:bottom w:val="single" w:sz="8" w:space="0" w:color="DCDDDE"/>
              <w:right w:val="nil"/>
            </w:tcBorders>
            <w:shd w:val="clear" w:color="000000" w:fill="DADADA"/>
            <w:noWrap/>
            <w:vAlign w:val="center"/>
            <w:hideMark/>
          </w:tcPr>
          <w:p w14:paraId="444CCCCD"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D823AE" w:rsidRPr="00D823AE" w14:paraId="5D448390"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7827E8BE"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4" w:type="dxa"/>
            <w:tcBorders>
              <w:top w:val="nil"/>
              <w:left w:val="nil"/>
              <w:bottom w:val="single" w:sz="8" w:space="0" w:color="DCDDDE"/>
              <w:right w:val="nil"/>
            </w:tcBorders>
            <w:shd w:val="clear" w:color="000000" w:fill="FFFFFF"/>
            <w:noWrap/>
            <w:vAlign w:val="center"/>
            <w:hideMark/>
          </w:tcPr>
          <w:p w14:paraId="2E18A71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91.4</w:t>
            </w:r>
          </w:p>
        </w:tc>
        <w:tc>
          <w:tcPr>
            <w:tcW w:w="594" w:type="dxa"/>
            <w:tcBorders>
              <w:top w:val="nil"/>
              <w:left w:val="nil"/>
              <w:bottom w:val="single" w:sz="8" w:space="0" w:color="DCDDDE"/>
              <w:right w:val="nil"/>
            </w:tcBorders>
            <w:shd w:val="clear" w:color="000000" w:fill="FFFFFF"/>
            <w:noWrap/>
            <w:vAlign w:val="center"/>
            <w:hideMark/>
          </w:tcPr>
          <w:p w14:paraId="02CE6D0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99.4</w:t>
            </w:r>
          </w:p>
        </w:tc>
        <w:tc>
          <w:tcPr>
            <w:tcW w:w="594" w:type="dxa"/>
            <w:tcBorders>
              <w:top w:val="nil"/>
              <w:left w:val="nil"/>
              <w:bottom w:val="single" w:sz="8" w:space="0" w:color="DCDDDE"/>
              <w:right w:val="nil"/>
            </w:tcBorders>
            <w:shd w:val="clear" w:color="000000" w:fill="FFFFFF"/>
            <w:noWrap/>
            <w:vAlign w:val="center"/>
            <w:hideMark/>
          </w:tcPr>
          <w:p w14:paraId="4439795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93.6</w:t>
            </w:r>
          </w:p>
        </w:tc>
        <w:tc>
          <w:tcPr>
            <w:tcW w:w="594" w:type="dxa"/>
            <w:tcBorders>
              <w:top w:val="nil"/>
              <w:left w:val="nil"/>
              <w:bottom w:val="single" w:sz="8" w:space="0" w:color="DCDDDE"/>
              <w:right w:val="nil"/>
            </w:tcBorders>
            <w:shd w:val="clear" w:color="000000" w:fill="FFFFFF"/>
            <w:noWrap/>
            <w:vAlign w:val="center"/>
            <w:hideMark/>
          </w:tcPr>
          <w:p w14:paraId="6BEFCEC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103.8</w:t>
            </w:r>
          </w:p>
        </w:tc>
        <w:tc>
          <w:tcPr>
            <w:tcW w:w="594" w:type="dxa"/>
            <w:tcBorders>
              <w:top w:val="nil"/>
              <w:left w:val="nil"/>
              <w:bottom w:val="single" w:sz="8" w:space="0" w:color="DCDDDE"/>
              <w:right w:val="nil"/>
            </w:tcBorders>
            <w:shd w:val="clear" w:color="000000" w:fill="FFFFFF"/>
            <w:noWrap/>
            <w:vAlign w:val="center"/>
            <w:hideMark/>
          </w:tcPr>
          <w:p w14:paraId="69DB80A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104.8</w:t>
            </w:r>
          </w:p>
        </w:tc>
        <w:tc>
          <w:tcPr>
            <w:tcW w:w="594" w:type="dxa"/>
            <w:tcBorders>
              <w:top w:val="nil"/>
              <w:left w:val="nil"/>
              <w:bottom w:val="single" w:sz="8" w:space="0" w:color="DCDDDE"/>
              <w:right w:val="nil"/>
            </w:tcBorders>
            <w:shd w:val="clear" w:color="000000" w:fill="FFFFFF"/>
            <w:noWrap/>
            <w:vAlign w:val="center"/>
            <w:hideMark/>
          </w:tcPr>
          <w:p w14:paraId="24E4607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102.8</w:t>
            </w:r>
          </w:p>
        </w:tc>
        <w:tc>
          <w:tcPr>
            <w:tcW w:w="594" w:type="dxa"/>
            <w:tcBorders>
              <w:top w:val="nil"/>
              <w:left w:val="nil"/>
              <w:bottom w:val="single" w:sz="8" w:space="0" w:color="DCDDDE"/>
              <w:right w:val="nil"/>
            </w:tcBorders>
            <w:shd w:val="clear" w:color="000000" w:fill="FFFFFF"/>
            <w:noWrap/>
            <w:vAlign w:val="center"/>
            <w:hideMark/>
          </w:tcPr>
          <w:p w14:paraId="6855731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100.9</w:t>
            </w:r>
          </w:p>
        </w:tc>
        <w:tc>
          <w:tcPr>
            <w:tcW w:w="594" w:type="dxa"/>
            <w:tcBorders>
              <w:top w:val="nil"/>
              <w:left w:val="nil"/>
              <w:bottom w:val="single" w:sz="8" w:space="0" w:color="DCDDDE"/>
              <w:right w:val="nil"/>
            </w:tcBorders>
            <w:shd w:val="clear" w:color="000000" w:fill="FFFFFF"/>
            <w:noWrap/>
            <w:vAlign w:val="center"/>
            <w:hideMark/>
          </w:tcPr>
          <w:p w14:paraId="312E477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101.3</w:t>
            </w:r>
          </w:p>
        </w:tc>
        <w:tc>
          <w:tcPr>
            <w:tcW w:w="594" w:type="dxa"/>
            <w:tcBorders>
              <w:top w:val="nil"/>
              <w:left w:val="nil"/>
              <w:bottom w:val="single" w:sz="8" w:space="0" w:color="DCDDDE"/>
              <w:right w:val="nil"/>
            </w:tcBorders>
            <w:shd w:val="clear" w:color="000000" w:fill="FFFFFF"/>
            <w:noWrap/>
            <w:vAlign w:val="center"/>
            <w:hideMark/>
          </w:tcPr>
          <w:p w14:paraId="5777E2C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98.5</w:t>
            </w:r>
          </w:p>
        </w:tc>
        <w:tc>
          <w:tcPr>
            <w:tcW w:w="594" w:type="dxa"/>
            <w:tcBorders>
              <w:top w:val="nil"/>
              <w:left w:val="nil"/>
              <w:bottom w:val="single" w:sz="8" w:space="0" w:color="DCDDDE"/>
              <w:right w:val="nil"/>
            </w:tcBorders>
            <w:shd w:val="clear" w:color="000000" w:fill="FFFFFF"/>
            <w:noWrap/>
            <w:vAlign w:val="center"/>
            <w:hideMark/>
          </w:tcPr>
          <w:p w14:paraId="2D443B5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97.7</w:t>
            </w:r>
          </w:p>
        </w:tc>
        <w:tc>
          <w:tcPr>
            <w:tcW w:w="594" w:type="dxa"/>
            <w:tcBorders>
              <w:top w:val="nil"/>
              <w:left w:val="nil"/>
              <w:bottom w:val="single" w:sz="8" w:space="0" w:color="DCDDDE"/>
              <w:right w:val="nil"/>
            </w:tcBorders>
            <w:shd w:val="clear" w:color="000000" w:fill="FFFFFF"/>
            <w:noWrap/>
            <w:vAlign w:val="center"/>
            <w:hideMark/>
          </w:tcPr>
          <w:p w14:paraId="2DA48DC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97.7</w:t>
            </w:r>
          </w:p>
        </w:tc>
        <w:tc>
          <w:tcPr>
            <w:tcW w:w="594" w:type="dxa"/>
            <w:tcBorders>
              <w:top w:val="nil"/>
              <w:left w:val="nil"/>
              <w:bottom w:val="single" w:sz="8" w:space="0" w:color="DCDDDE"/>
              <w:right w:val="nil"/>
            </w:tcBorders>
            <w:shd w:val="clear" w:color="000000" w:fill="FFFFFF"/>
            <w:noWrap/>
            <w:vAlign w:val="center"/>
            <w:hideMark/>
          </w:tcPr>
          <w:p w14:paraId="1CDF249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97.2</w:t>
            </w:r>
          </w:p>
        </w:tc>
        <w:tc>
          <w:tcPr>
            <w:tcW w:w="594" w:type="dxa"/>
            <w:tcBorders>
              <w:top w:val="nil"/>
              <w:left w:val="nil"/>
              <w:bottom w:val="single" w:sz="8" w:space="0" w:color="DCDDDE"/>
              <w:right w:val="nil"/>
            </w:tcBorders>
            <w:shd w:val="clear" w:color="000000" w:fill="FFFFFF"/>
            <w:noWrap/>
            <w:vAlign w:val="center"/>
            <w:hideMark/>
          </w:tcPr>
          <w:p w14:paraId="378AA76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97.1</w:t>
            </w:r>
          </w:p>
        </w:tc>
      </w:tr>
      <w:tr w:rsidR="00D823AE" w:rsidRPr="00D823AE" w14:paraId="2F8C9418"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28781C28"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4" w:type="dxa"/>
            <w:tcBorders>
              <w:top w:val="nil"/>
              <w:left w:val="nil"/>
              <w:bottom w:val="single" w:sz="8" w:space="0" w:color="DCDDDE"/>
              <w:right w:val="nil"/>
            </w:tcBorders>
            <w:shd w:val="clear" w:color="000000" w:fill="FFFFFF"/>
            <w:noWrap/>
            <w:vAlign w:val="center"/>
            <w:hideMark/>
          </w:tcPr>
          <w:p w14:paraId="22DCF32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162.8</w:t>
            </w:r>
          </w:p>
        </w:tc>
        <w:tc>
          <w:tcPr>
            <w:tcW w:w="594" w:type="dxa"/>
            <w:tcBorders>
              <w:top w:val="nil"/>
              <w:left w:val="nil"/>
              <w:bottom w:val="single" w:sz="8" w:space="0" w:color="DCDDDE"/>
              <w:right w:val="nil"/>
            </w:tcBorders>
            <w:shd w:val="clear" w:color="000000" w:fill="FFFFFF"/>
            <w:noWrap/>
            <w:vAlign w:val="center"/>
            <w:hideMark/>
          </w:tcPr>
          <w:p w14:paraId="11685FE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163.5</w:t>
            </w:r>
          </w:p>
        </w:tc>
        <w:tc>
          <w:tcPr>
            <w:tcW w:w="594" w:type="dxa"/>
            <w:tcBorders>
              <w:top w:val="nil"/>
              <w:left w:val="nil"/>
              <w:bottom w:val="single" w:sz="8" w:space="0" w:color="DCDDDE"/>
              <w:right w:val="nil"/>
            </w:tcBorders>
            <w:shd w:val="clear" w:color="000000" w:fill="FFFFFF"/>
            <w:noWrap/>
            <w:vAlign w:val="center"/>
            <w:hideMark/>
          </w:tcPr>
          <w:p w14:paraId="6C34FB9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179.1</w:t>
            </w:r>
          </w:p>
        </w:tc>
        <w:tc>
          <w:tcPr>
            <w:tcW w:w="594" w:type="dxa"/>
            <w:tcBorders>
              <w:top w:val="nil"/>
              <w:left w:val="nil"/>
              <w:bottom w:val="single" w:sz="8" w:space="0" w:color="DCDDDE"/>
              <w:right w:val="nil"/>
            </w:tcBorders>
            <w:shd w:val="clear" w:color="000000" w:fill="FFFFFF"/>
            <w:noWrap/>
            <w:vAlign w:val="center"/>
            <w:hideMark/>
          </w:tcPr>
          <w:p w14:paraId="47A57AD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208.7</w:t>
            </w:r>
          </w:p>
        </w:tc>
        <w:tc>
          <w:tcPr>
            <w:tcW w:w="594" w:type="dxa"/>
            <w:tcBorders>
              <w:top w:val="nil"/>
              <w:left w:val="nil"/>
              <w:bottom w:val="single" w:sz="8" w:space="0" w:color="DCDDDE"/>
              <w:right w:val="nil"/>
            </w:tcBorders>
            <w:shd w:val="clear" w:color="000000" w:fill="FFFFFF"/>
            <w:noWrap/>
            <w:vAlign w:val="center"/>
            <w:hideMark/>
          </w:tcPr>
          <w:p w14:paraId="32659A8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205.1</w:t>
            </w:r>
          </w:p>
        </w:tc>
        <w:tc>
          <w:tcPr>
            <w:tcW w:w="594" w:type="dxa"/>
            <w:tcBorders>
              <w:top w:val="nil"/>
              <w:left w:val="nil"/>
              <w:bottom w:val="single" w:sz="8" w:space="0" w:color="DCDDDE"/>
              <w:right w:val="nil"/>
            </w:tcBorders>
            <w:shd w:val="clear" w:color="000000" w:fill="FFFFFF"/>
            <w:noWrap/>
            <w:vAlign w:val="center"/>
            <w:hideMark/>
          </w:tcPr>
          <w:p w14:paraId="7EE6683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241.6</w:t>
            </w:r>
          </w:p>
        </w:tc>
        <w:tc>
          <w:tcPr>
            <w:tcW w:w="594" w:type="dxa"/>
            <w:tcBorders>
              <w:top w:val="nil"/>
              <w:left w:val="nil"/>
              <w:bottom w:val="single" w:sz="8" w:space="0" w:color="DCDDDE"/>
              <w:right w:val="nil"/>
            </w:tcBorders>
            <w:shd w:val="clear" w:color="000000" w:fill="FFFFFF"/>
            <w:noWrap/>
            <w:vAlign w:val="center"/>
            <w:hideMark/>
          </w:tcPr>
          <w:p w14:paraId="6838D5C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233.7</w:t>
            </w:r>
          </w:p>
        </w:tc>
        <w:tc>
          <w:tcPr>
            <w:tcW w:w="594" w:type="dxa"/>
            <w:tcBorders>
              <w:top w:val="nil"/>
              <w:left w:val="nil"/>
              <w:bottom w:val="single" w:sz="8" w:space="0" w:color="DCDDDE"/>
              <w:right w:val="nil"/>
            </w:tcBorders>
            <w:shd w:val="clear" w:color="000000" w:fill="FFFFFF"/>
            <w:noWrap/>
            <w:vAlign w:val="center"/>
            <w:hideMark/>
          </w:tcPr>
          <w:p w14:paraId="676E1E5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228.6</w:t>
            </w:r>
          </w:p>
        </w:tc>
        <w:tc>
          <w:tcPr>
            <w:tcW w:w="594" w:type="dxa"/>
            <w:tcBorders>
              <w:top w:val="nil"/>
              <w:left w:val="nil"/>
              <w:bottom w:val="single" w:sz="8" w:space="0" w:color="DCDDDE"/>
              <w:right w:val="nil"/>
            </w:tcBorders>
            <w:shd w:val="clear" w:color="000000" w:fill="FFFFFF"/>
            <w:noWrap/>
            <w:vAlign w:val="center"/>
            <w:hideMark/>
          </w:tcPr>
          <w:p w14:paraId="068FC54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222.4</w:t>
            </w:r>
          </w:p>
        </w:tc>
        <w:tc>
          <w:tcPr>
            <w:tcW w:w="594" w:type="dxa"/>
            <w:tcBorders>
              <w:top w:val="nil"/>
              <w:left w:val="nil"/>
              <w:bottom w:val="single" w:sz="8" w:space="0" w:color="DCDDDE"/>
              <w:right w:val="nil"/>
            </w:tcBorders>
            <w:shd w:val="clear" w:color="000000" w:fill="FFFFFF"/>
            <w:noWrap/>
            <w:vAlign w:val="center"/>
            <w:hideMark/>
          </w:tcPr>
          <w:p w14:paraId="5490196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219.2</w:t>
            </w:r>
          </w:p>
        </w:tc>
        <w:tc>
          <w:tcPr>
            <w:tcW w:w="594" w:type="dxa"/>
            <w:tcBorders>
              <w:top w:val="nil"/>
              <w:left w:val="nil"/>
              <w:bottom w:val="single" w:sz="8" w:space="0" w:color="DCDDDE"/>
              <w:right w:val="nil"/>
            </w:tcBorders>
            <w:shd w:val="clear" w:color="000000" w:fill="FFFFFF"/>
            <w:noWrap/>
            <w:vAlign w:val="center"/>
            <w:hideMark/>
          </w:tcPr>
          <w:p w14:paraId="372C1BE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210.8</w:t>
            </w:r>
          </w:p>
        </w:tc>
        <w:tc>
          <w:tcPr>
            <w:tcW w:w="594" w:type="dxa"/>
            <w:tcBorders>
              <w:top w:val="nil"/>
              <w:left w:val="nil"/>
              <w:bottom w:val="single" w:sz="8" w:space="0" w:color="DCDDDE"/>
              <w:right w:val="nil"/>
            </w:tcBorders>
            <w:shd w:val="clear" w:color="000000" w:fill="FFFFFF"/>
            <w:noWrap/>
            <w:vAlign w:val="center"/>
            <w:hideMark/>
          </w:tcPr>
          <w:p w14:paraId="3237345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197.6</w:t>
            </w:r>
          </w:p>
        </w:tc>
        <w:tc>
          <w:tcPr>
            <w:tcW w:w="594" w:type="dxa"/>
            <w:tcBorders>
              <w:top w:val="nil"/>
              <w:left w:val="nil"/>
              <w:bottom w:val="single" w:sz="8" w:space="0" w:color="DCDDDE"/>
              <w:right w:val="nil"/>
            </w:tcBorders>
            <w:shd w:val="clear" w:color="000000" w:fill="FFFFFF"/>
            <w:noWrap/>
            <w:vAlign w:val="center"/>
            <w:hideMark/>
          </w:tcPr>
          <w:p w14:paraId="0ADF31F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184.9</w:t>
            </w:r>
          </w:p>
        </w:tc>
      </w:tr>
      <w:tr w:rsidR="00D823AE" w:rsidRPr="00D823AE" w14:paraId="73458F3B"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3F1A1B8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4" w:type="dxa"/>
            <w:tcBorders>
              <w:top w:val="nil"/>
              <w:left w:val="nil"/>
              <w:bottom w:val="single" w:sz="8" w:space="0" w:color="DCDDDE"/>
              <w:right w:val="nil"/>
            </w:tcBorders>
            <w:shd w:val="clear" w:color="000000" w:fill="FFFFFF"/>
            <w:noWrap/>
            <w:vAlign w:val="center"/>
            <w:hideMark/>
          </w:tcPr>
          <w:p w14:paraId="679E2C4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22.7</w:t>
            </w:r>
          </w:p>
        </w:tc>
        <w:tc>
          <w:tcPr>
            <w:tcW w:w="594" w:type="dxa"/>
            <w:tcBorders>
              <w:top w:val="nil"/>
              <w:left w:val="nil"/>
              <w:bottom w:val="single" w:sz="8" w:space="0" w:color="DCDDDE"/>
              <w:right w:val="nil"/>
            </w:tcBorders>
            <w:shd w:val="clear" w:color="000000" w:fill="FFFFFF"/>
            <w:noWrap/>
            <w:vAlign w:val="center"/>
            <w:hideMark/>
          </w:tcPr>
          <w:p w14:paraId="3A16A39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29.2</w:t>
            </w:r>
          </w:p>
        </w:tc>
        <w:tc>
          <w:tcPr>
            <w:tcW w:w="594" w:type="dxa"/>
            <w:tcBorders>
              <w:top w:val="nil"/>
              <w:left w:val="nil"/>
              <w:bottom w:val="single" w:sz="8" w:space="0" w:color="DCDDDE"/>
              <w:right w:val="nil"/>
            </w:tcBorders>
            <w:shd w:val="clear" w:color="000000" w:fill="FFFFFF"/>
            <w:noWrap/>
            <w:vAlign w:val="center"/>
            <w:hideMark/>
          </w:tcPr>
          <w:p w14:paraId="118FEB3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32.1</w:t>
            </w:r>
          </w:p>
        </w:tc>
        <w:tc>
          <w:tcPr>
            <w:tcW w:w="594" w:type="dxa"/>
            <w:tcBorders>
              <w:top w:val="nil"/>
              <w:left w:val="nil"/>
              <w:bottom w:val="single" w:sz="8" w:space="0" w:color="DCDDDE"/>
              <w:right w:val="nil"/>
            </w:tcBorders>
            <w:shd w:val="clear" w:color="000000" w:fill="FFFFFF"/>
            <w:noWrap/>
            <w:vAlign w:val="center"/>
            <w:hideMark/>
          </w:tcPr>
          <w:p w14:paraId="593EAE3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35.2</w:t>
            </w:r>
          </w:p>
        </w:tc>
        <w:tc>
          <w:tcPr>
            <w:tcW w:w="594" w:type="dxa"/>
            <w:tcBorders>
              <w:top w:val="nil"/>
              <w:left w:val="nil"/>
              <w:bottom w:val="single" w:sz="8" w:space="0" w:color="DCDDDE"/>
              <w:right w:val="nil"/>
            </w:tcBorders>
            <w:shd w:val="clear" w:color="000000" w:fill="FFFFFF"/>
            <w:noWrap/>
            <w:vAlign w:val="center"/>
            <w:hideMark/>
          </w:tcPr>
          <w:p w14:paraId="54AF222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37.3</w:t>
            </w:r>
          </w:p>
        </w:tc>
        <w:tc>
          <w:tcPr>
            <w:tcW w:w="594" w:type="dxa"/>
            <w:tcBorders>
              <w:top w:val="nil"/>
              <w:left w:val="nil"/>
              <w:bottom w:val="single" w:sz="8" w:space="0" w:color="DCDDDE"/>
              <w:right w:val="nil"/>
            </w:tcBorders>
            <w:shd w:val="clear" w:color="000000" w:fill="FFFFFF"/>
            <w:noWrap/>
            <w:vAlign w:val="center"/>
            <w:hideMark/>
          </w:tcPr>
          <w:p w14:paraId="5DBE947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39.0</w:t>
            </w:r>
          </w:p>
        </w:tc>
        <w:tc>
          <w:tcPr>
            <w:tcW w:w="594" w:type="dxa"/>
            <w:tcBorders>
              <w:top w:val="nil"/>
              <w:left w:val="nil"/>
              <w:bottom w:val="single" w:sz="8" w:space="0" w:color="DCDDDE"/>
              <w:right w:val="nil"/>
            </w:tcBorders>
            <w:shd w:val="clear" w:color="000000" w:fill="FFFFFF"/>
            <w:noWrap/>
            <w:vAlign w:val="center"/>
            <w:hideMark/>
          </w:tcPr>
          <w:p w14:paraId="7351EEE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40.8</w:t>
            </w:r>
          </w:p>
        </w:tc>
        <w:tc>
          <w:tcPr>
            <w:tcW w:w="594" w:type="dxa"/>
            <w:tcBorders>
              <w:top w:val="nil"/>
              <w:left w:val="nil"/>
              <w:bottom w:val="single" w:sz="8" w:space="0" w:color="DCDDDE"/>
              <w:right w:val="nil"/>
            </w:tcBorders>
            <w:shd w:val="clear" w:color="000000" w:fill="FFFFFF"/>
            <w:noWrap/>
            <w:vAlign w:val="center"/>
            <w:hideMark/>
          </w:tcPr>
          <w:p w14:paraId="2946AF5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44.0</w:t>
            </w:r>
          </w:p>
        </w:tc>
        <w:tc>
          <w:tcPr>
            <w:tcW w:w="594" w:type="dxa"/>
            <w:tcBorders>
              <w:top w:val="nil"/>
              <w:left w:val="nil"/>
              <w:bottom w:val="single" w:sz="8" w:space="0" w:color="DCDDDE"/>
              <w:right w:val="nil"/>
            </w:tcBorders>
            <w:shd w:val="clear" w:color="000000" w:fill="FFFFFF"/>
            <w:noWrap/>
            <w:vAlign w:val="center"/>
            <w:hideMark/>
          </w:tcPr>
          <w:p w14:paraId="17C1890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46.3</w:t>
            </w:r>
          </w:p>
        </w:tc>
        <w:tc>
          <w:tcPr>
            <w:tcW w:w="594" w:type="dxa"/>
            <w:tcBorders>
              <w:top w:val="nil"/>
              <w:left w:val="nil"/>
              <w:bottom w:val="single" w:sz="8" w:space="0" w:color="DCDDDE"/>
              <w:right w:val="nil"/>
            </w:tcBorders>
            <w:shd w:val="clear" w:color="000000" w:fill="FFFFFF"/>
            <w:noWrap/>
            <w:vAlign w:val="center"/>
            <w:hideMark/>
          </w:tcPr>
          <w:p w14:paraId="76B2A50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48.7</w:t>
            </w:r>
          </w:p>
        </w:tc>
        <w:tc>
          <w:tcPr>
            <w:tcW w:w="594" w:type="dxa"/>
            <w:tcBorders>
              <w:top w:val="nil"/>
              <w:left w:val="nil"/>
              <w:bottom w:val="single" w:sz="8" w:space="0" w:color="DCDDDE"/>
              <w:right w:val="nil"/>
            </w:tcBorders>
            <w:shd w:val="clear" w:color="000000" w:fill="FFFFFF"/>
            <w:noWrap/>
            <w:vAlign w:val="center"/>
            <w:hideMark/>
          </w:tcPr>
          <w:p w14:paraId="3E714B4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51.0</w:t>
            </w:r>
          </w:p>
        </w:tc>
        <w:tc>
          <w:tcPr>
            <w:tcW w:w="594" w:type="dxa"/>
            <w:tcBorders>
              <w:top w:val="nil"/>
              <w:left w:val="nil"/>
              <w:bottom w:val="single" w:sz="8" w:space="0" w:color="DCDDDE"/>
              <w:right w:val="nil"/>
            </w:tcBorders>
            <w:shd w:val="clear" w:color="000000" w:fill="FFFFFF"/>
            <w:noWrap/>
            <w:vAlign w:val="center"/>
            <w:hideMark/>
          </w:tcPr>
          <w:p w14:paraId="1B614E3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53.5</w:t>
            </w:r>
          </w:p>
        </w:tc>
        <w:tc>
          <w:tcPr>
            <w:tcW w:w="594" w:type="dxa"/>
            <w:tcBorders>
              <w:top w:val="nil"/>
              <w:left w:val="nil"/>
              <w:bottom w:val="single" w:sz="8" w:space="0" w:color="DCDDDE"/>
              <w:right w:val="nil"/>
            </w:tcBorders>
            <w:shd w:val="clear" w:color="000000" w:fill="FFFFFF"/>
            <w:noWrap/>
            <w:vAlign w:val="center"/>
            <w:hideMark/>
          </w:tcPr>
          <w:p w14:paraId="7F01632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56.1</w:t>
            </w:r>
          </w:p>
        </w:tc>
      </w:tr>
      <w:tr w:rsidR="00D823AE" w:rsidRPr="00D823AE" w14:paraId="5340A957"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4E94AFF6"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4" w:type="dxa"/>
            <w:tcBorders>
              <w:top w:val="nil"/>
              <w:left w:val="nil"/>
              <w:bottom w:val="single" w:sz="8" w:space="0" w:color="DCDDDE"/>
              <w:right w:val="nil"/>
            </w:tcBorders>
            <w:shd w:val="clear" w:color="000000" w:fill="FFFFFF"/>
            <w:noWrap/>
            <w:vAlign w:val="center"/>
            <w:hideMark/>
          </w:tcPr>
          <w:p w14:paraId="392F4F0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5.2</w:t>
            </w:r>
          </w:p>
        </w:tc>
        <w:tc>
          <w:tcPr>
            <w:tcW w:w="594" w:type="dxa"/>
            <w:tcBorders>
              <w:top w:val="nil"/>
              <w:left w:val="nil"/>
              <w:bottom w:val="single" w:sz="8" w:space="0" w:color="DCDDDE"/>
              <w:right w:val="nil"/>
            </w:tcBorders>
            <w:shd w:val="clear" w:color="000000" w:fill="FFFFFF"/>
            <w:noWrap/>
            <w:vAlign w:val="center"/>
            <w:hideMark/>
          </w:tcPr>
          <w:p w14:paraId="66F69CA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1DE46A7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5ED6239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58210E9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07394E1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3C75614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7E22D9D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1A0B9AD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4A3F270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73CA29D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2DB3EA3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6A2CC9A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r>
      <w:tr w:rsidR="00D823AE" w:rsidRPr="00D823AE" w14:paraId="5A726A70"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72AD45BF"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4" w:type="dxa"/>
            <w:tcBorders>
              <w:top w:val="nil"/>
              <w:left w:val="nil"/>
              <w:bottom w:val="single" w:sz="8" w:space="0" w:color="DCDDDE"/>
              <w:right w:val="nil"/>
            </w:tcBorders>
            <w:shd w:val="clear" w:color="000000" w:fill="FFFFFF"/>
            <w:noWrap/>
            <w:vAlign w:val="center"/>
            <w:hideMark/>
          </w:tcPr>
          <w:p w14:paraId="7C5993B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282.2</w:t>
            </w:r>
          </w:p>
        </w:tc>
        <w:tc>
          <w:tcPr>
            <w:tcW w:w="594" w:type="dxa"/>
            <w:tcBorders>
              <w:top w:val="nil"/>
              <w:left w:val="nil"/>
              <w:bottom w:val="single" w:sz="8" w:space="0" w:color="DCDDDE"/>
              <w:right w:val="nil"/>
            </w:tcBorders>
            <w:shd w:val="clear" w:color="000000" w:fill="FFFFFF"/>
            <w:noWrap/>
            <w:vAlign w:val="center"/>
            <w:hideMark/>
          </w:tcPr>
          <w:p w14:paraId="1385B47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297.5</w:t>
            </w:r>
          </w:p>
        </w:tc>
        <w:tc>
          <w:tcPr>
            <w:tcW w:w="594" w:type="dxa"/>
            <w:tcBorders>
              <w:top w:val="nil"/>
              <w:left w:val="nil"/>
              <w:bottom w:val="single" w:sz="8" w:space="0" w:color="DCDDDE"/>
              <w:right w:val="nil"/>
            </w:tcBorders>
            <w:shd w:val="clear" w:color="000000" w:fill="FFFFFF"/>
            <w:noWrap/>
            <w:vAlign w:val="center"/>
            <w:hideMark/>
          </w:tcPr>
          <w:p w14:paraId="0B692E5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310.2</w:t>
            </w:r>
          </w:p>
        </w:tc>
        <w:tc>
          <w:tcPr>
            <w:tcW w:w="594" w:type="dxa"/>
            <w:tcBorders>
              <w:top w:val="nil"/>
              <w:left w:val="nil"/>
              <w:bottom w:val="single" w:sz="8" w:space="0" w:color="DCDDDE"/>
              <w:right w:val="nil"/>
            </w:tcBorders>
            <w:shd w:val="clear" w:color="000000" w:fill="FFFFFF"/>
            <w:noWrap/>
            <w:vAlign w:val="center"/>
            <w:hideMark/>
          </w:tcPr>
          <w:p w14:paraId="5D23BC23"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351.7</w:t>
            </w:r>
          </w:p>
        </w:tc>
        <w:tc>
          <w:tcPr>
            <w:tcW w:w="594" w:type="dxa"/>
            <w:tcBorders>
              <w:top w:val="nil"/>
              <w:left w:val="nil"/>
              <w:bottom w:val="single" w:sz="8" w:space="0" w:color="DCDDDE"/>
              <w:right w:val="nil"/>
            </w:tcBorders>
            <w:shd w:val="clear" w:color="000000" w:fill="FFFFFF"/>
            <w:noWrap/>
            <w:vAlign w:val="center"/>
            <w:hideMark/>
          </w:tcPr>
          <w:p w14:paraId="3EF5603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351.1</w:t>
            </w:r>
          </w:p>
        </w:tc>
        <w:tc>
          <w:tcPr>
            <w:tcW w:w="594" w:type="dxa"/>
            <w:tcBorders>
              <w:top w:val="nil"/>
              <w:left w:val="nil"/>
              <w:bottom w:val="single" w:sz="8" w:space="0" w:color="DCDDDE"/>
              <w:right w:val="nil"/>
            </w:tcBorders>
            <w:shd w:val="clear" w:color="000000" w:fill="FFFFFF"/>
            <w:noWrap/>
            <w:vAlign w:val="center"/>
            <w:hideMark/>
          </w:tcPr>
          <w:p w14:paraId="6678B4C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387.4</w:t>
            </w:r>
          </w:p>
        </w:tc>
        <w:tc>
          <w:tcPr>
            <w:tcW w:w="594" w:type="dxa"/>
            <w:tcBorders>
              <w:top w:val="nil"/>
              <w:left w:val="nil"/>
              <w:bottom w:val="single" w:sz="8" w:space="0" w:color="DCDDDE"/>
              <w:right w:val="nil"/>
            </w:tcBorders>
            <w:shd w:val="clear" w:color="000000" w:fill="FFFFFF"/>
            <w:noWrap/>
            <w:vAlign w:val="center"/>
            <w:hideMark/>
          </w:tcPr>
          <w:p w14:paraId="3FBB58B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379.4</w:t>
            </w:r>
          </w:p>
        </w:tc>
        <w:tc>
          <w:tcPr>
            <w:tcW w:w="594" w:type="dxa"/>
            <w:tcBorders>
              <w:top w:val="nil"/>
              <w:left w:val="nil"/>
              <w:bottom w:val="single" w:sz="8" w:space="0" w:color="DCDDDE"/>
              <w:right w:val="nil"/>
            </w:tcBorders>
            <w:shd w:val="clear" w:color="000000" w:fill="FFFFFF"/>
            <w:noWrap/>
            <w:vAlign w:val="center"/>
            <w:hideMark/>
          </w:tcPr>
          <w:p w14:paraId="1146F69E"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377.9</w:t>
            </w:r>
          </w:p>
        </w:tc>
        <w:tc>
          <w:tcPr>
            <w:tcW w:w="594" w:type="dxa"/>
            <w:tcBorders>
              <w:top w:val="nil"/>
              <w:left w:val="nil"/>
              <w:bottom w:val="single" w:sz="8" w:space="0" w:color="DCDDDE"/>
              <w:right w:val="nil"/>
            </w:tcBorders>
            <w:shd w:val="clear" w:color="000000" w:fill="FFFFFF"/>
            <w:noWrap/>
            <w:vAlign w:val="center"/>
            <w:hideMark/>
          </w:tcPr>
          <w:p w14:paraId="6A6FBD3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371.1</w:t>
            </w:r>
          </w:p>
        </w:tc>
        <w:tc>
          <w:tcPr>
            <w:tcW w:w="594" w:type="dxa"/>
            <w:tcBorders>
              <w:top w:val="nil"/>
              <w:left w:val="nil"/>
              <w:bottom w:val="single" w:sz="8" w:space="0" w:color="DCDDDE"/>
              <w:right w:val="nil"/>
            </w:tcBorders>
            <w:shd w:val="clear" w:color="000000" w:fill="FFFFFF"/>
            <w:noWrap/>
            <w:vAlign w:val="center"/>
            <w:hideMark/>
          </w:tcPr>
          <w:p w14:paraId="5BBB2BE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369.5</w:t>
            </w:r>
          </w:p>
        </w:tc>
        <w:tc>
          <w:tcPr>
            <w:tcW w:w="594" w:type="dxa"/>
            <w:tcBorders>
              <w:top w:val="nil"/>
              <w:left w:val="nil"/>
              <w:bottom w:val="single" w:sz="8" w:space="0" w:color="DCDDDE"/>
              <w:right w:val="nil"/>
            </w:tcBorders>
            <w:shd w:val="clear" w:color="000000" w:fill="FFFFFF"/>
            <w:noWrap/>
            <w:vAlign w:val="center"/>
            <w:hideMark/>
          </w:tcPr>
          <w:p w14:paraId="368FB12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363.4</w:t>
            </w:r>
          </w:p>
        </w:tc>
        <w:tc>
          <w:tcPr>
            <w:tcW w:w="594" w:type="dxa"/>
            <w:tcBorders>
              <w:top w:val="nil"/>
              <w:left w:val="nil"/>
              <w:bottom w:val="single" w:sz="8" w:space="0" w:color="DCDDDE"/>
              <w:right w:val="nil"/>
            </w:tcBorders>
            <w:shd w:val="clear" w:color="000000" w:fill="FFFFFF"/>
            <w:noWrap/>
            <w:vAlign w:val="center"/>
            <w:hideMark/>
          </w:tcPr>
          <w:p w14:paraId="418C118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352.3</w:t>
            </w:r>
          </w:p>
        </w:tc>
        <w:tc>
          <w:tcPr>
            <w:tcW w:w="594" w:type="dxa"/>
            <w:tcBorders>
              <w:top w:val="nil"/>
              <w:left w:val="nil"/>
              <w:bottom w:val="single" w:sz="8" w:space="0" w:color="DCDDDE"/>
              <w:right w:val="nil"/>
            </w:tcBorders>
            <w:shd w:val="clear" w:color="000000" w:fill="FFFFFF"/>
            <w:noWrap/>
            <w:vAlign w:val="center"/>
            <w:hideMark/>
          </w:tcPr>
          <w:p w14:paraId="3588C17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342.0</w:t>
            </w:r>
          </w:p>
        </w:tc>
      </w:tr>
      <w:tr w:rsidR="00D823AE" w:rsidRPr="00D823AE" w14:paraId="6DA91978" w14:textId="77777777" w:rsidTr="00D823AE">
        <w:trPr>
          <w:trHeight w:val="275"/>
        </w:trPr>
        <w:tc>
          <w:tcPr>
            <w:tcW w:w="9013" w:type="dxa"/>
            <w:gridSpan w:val="15"/>
            <w:tcBorders>
              <w:top w:val="single" w:sz="8" w:space="0" w:color="DCDDDE"/>
              <w:left w:val="nil"/>
              <w:bottom w:val="single" w:sz="8" w:space="0" w:color="DCDDDE"/>
              <w:right w:val="nil"/>
            </w:tcBorders>
            <w:shd w:val="clear" w:color="000000" w:fill="DADADA"/>
            <w:noWrap/>
            <w:vAlign w:val="center"/>
            <w:hideMark/>
          </w:tcPr>
          <w:p w14:paraId="726A28B8"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D823AE" w:rsidRPr="00D823AE" w14:paraId="512CDA43"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0B430FE7"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lastRenderedPageBreak/>
              <w:t>Rebate Programs</w:t>
            </w:r>
          </w:p>
        </w:tc>
        <w:tc>
          <w:tcPr>
            <w:tcW w:w="594" w:type="dxa"/>
            <w:tcBorders>
              <w:top w:val="nil"/>
              <w:left w:val="nil"/>
              <w:bottom w:val="single" w:sz="8" w:space="0" w:color="DCDDDE"/>
              <w:right w:val="nil"/>
            </w:tcBorders>
            <w:shd w:val="clear" w:color="000000" w:fill="FFFFFF"/>
            <w:noWrap/>
            <w:vAlign w:val="center"/>
            <w:hideMark/>
          </w:tcPr>
          <w:p w14:paraId="26C5B56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96.0</w:t>
            </w:r>
          </w:p>
        </w:tc>
        <w:tc>
          <w:tcPr>
            <w:tcW w:w="594" w:type="dxa"/>
            <w:tcBorders>
              <w:top w:val="nil"/>
              <w:left w:val="nil"/>
              <w:bottom w:val="single" w:sz="8" w:space="0" w:color="DCDDDE"/>
              <w:right w:val="nil"/>
            </w:tcBorders>
            <w:shd w:val="clear" w:color="000000" w:fill="FFFFFF"/>
            <w:noWrap/>
            <w:vAlign w:val="center"/>
            <w:hideMark/>
          </w:tcPr>
          <w:p w14:paraId="09CD423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104.3</w:t>
            </w:r>
          </w:p>
        </w:tc>
        <w:tc>
          <w:tcPr>
            <w:tcW w:w="594" w:type="dxa"/>
            <w:tcBorders>
              <w:top w:val="nil"/>
              <w:left w:val="nil"/>
              <w:bottom w:val="single" w:sz="8" w:space="0" w:color="DCDDDE"/>
              <w:right w:val="nil"/>
            </w:tcBorders>
            <w:shd w:val="clear" w:color="000000" w:fill="FFFFFF"/>
            <w:noWrap/>
            <w:vAlign w:val="center"/>
            <w:hideMark/>
          </w:tcPr>
          <w:p w14:paraId="2272970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99.0</w:t>
            </w:r>
          </w:p>
        </w:tc>
        <w:tc>
          <w:tcPr>
            <w:tcW w:w="594" w:type="dxa"/>
            <w:tcBorders>
              <w:top w:val="nil"/>
              <w:left w:val="nil"/>
              <w:bottom w:val="single" w:sz="8" w:space="0" w:color="DCDDDE"/>
              <w:right w:val="nil"/>
            </w:tcBorders>
            <w:shd w:val="clear" w:color="000000" w:fill="FFFFFF"/>
            <w:noWrap/>
            <w:vAlign w:val="center"/>
            <w:hideMark/>
          </w:tcPr>
          <w:p w14:paraId="2119510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110.9</w:t>
            </w:r>
          </w:p>
        </w:tc>
        <w:tc>
          <w:tcPr>
            <w:tcW w:w="594" w:type="dxa"/>
            <w:tcBorders>
              <w:top w:val="nil"/>
              <w:left w:val="nil"/>
              <w:bottom w:val="single" w:sz="8" w:space="0" w:color="DCDDDE"/>
              <w:right w:val="nil"/>
            </w:tcBorders>
            <w:shd w:val="clear" w:color="000000" w:fill="FFFFFF"/>
            <w:noWrap/>
            <w:vAlign w:val="center"/>
            <w:hideMark/>
          </w:tcPr>
          <w:p w14:paraId="6346065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111.7</w:t>
            </w:r>
          </w:p>
        </w:tc>
        <w:tc>
          <w:tcPr>
            <w:tcW w:w="594" w:type="dxa"/>
            <w:tcBorders>
              <w:top w:val="nil"/>
              <w:left w:val="nil"/>
              <w:bottom w:val="single" w:sz="8" w:space="0" w:color="DCDDDE"/>
              <w:right w:val="nil"/>
            </w:tcBorders>
            <w:shd w:val="clear" w:color="000000" w:fill="FFFFFF"/>
            <w:noWrap/>
            <w:vAlign w:val="center"/>
            <w:hideMark/>
          </w:tcPr>
          <w:p w14:paraId="106EAD3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109.2</w:t>
            </w:r>
          </w:p>
        </w:tc>
        <w:tc>
          <w:tcPr>
            <w:tcW w:w="594" w:type="dxa"/>
            <w:tcBorders>
              <w:top w:val="nil"/>
              <w:left w:val="nil"/>
              <w:bottom w:val="single" w:sz="8" w:space="0" w:color="DCDDDE"/>
              <w:right w:val="nil"/>
            </w:tcBorders>
            <w:shd w:val="clear" w:color="000000" w:fill="FFFFFF"/>
            <w:noWrap/>
            <w:vAlign w:val="center"/>
            <w:hideMark/>
          </w:tcPr>
          <w:p w14:paraId="00F8273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106.7</w:t>
            </w:r>
          </w:p>
        </w:tc>
        <w:tc>
          <w:tcPr>
            <w:tcW w:w="594" w:type="dxa"/>
            <w:tcBorders>
              <w:top w:val="nil"/>
              <w:left w:val="nil"/>
              <w:bottom w:val="single" w:sz="8" w:space="0" w:color="DCDDDE"/>
              <w:right w:val="nil"/>
            </w:tcBorders>
            <w:shd w:val="clear" w:color="000000" w:fill="FFFFFF"/>
            <w:noWrap/>
            <w:vAlign w:val="center"/>
            <w:hideMark/>
          </w:tcPr>
          <w:p w14:paraId="4B055C1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105.2</w:t>
            </w:r>
          </w:p>
        </w:tc>
        <w:tc>
          <w:tcPr>
            <w:tcW w:w="594" w:type="dxa"/>
            <w:tcBorders>
              <w:top w:val="nil"/>
              <w:left w:val="nil"/>
              <w:bottom w:val="single" w:sz="8" w:space="0" w:color="DCDDDE"/>
              <w:right w:val="nil"/>
            </w:tcBorders>
            <w:shd w:val="clear" w:color="000000" w:fill="FFFFFF"/>
            <w:noWrap/>
            <w:vAlign w:val="center"/>
            <w:hideMark/>
          </w:tcPr>
          <w:p w14:paraId="27A9F86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104.0</w:t>
            </w:r>
          </w:p>
        </w:tc>
        <w:tc>
          <w:tcPr>
            <w:tcW w:w="594" w:type="dxa"/>
            <w:tcBorders>
              <w:top w:val="nil"/>
              <w:left w:val="nil"/>
              <w:bottom w:val="single" w:sz="8" w:space="0" w:color="DCDDDE"/>
              <w:right w:val="nil"/>
            </w:tcBorders>
            <w:shd w:val="clear" w:color="000000" w:fill="FFFFFF"/>
            <w:noWrap/>
            <w:vAlign w:val="center"/>
            <w:hideMark/>
          </w:tcPr>
          <w:p w14:paraId="3EAA7E6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103.2</w:t>
            </w:r>
          </w:p>
        </w:tc>
        <w:tc>
          <w:tcPr>
            <w:tcW w:w="594" w:type="dxa"/>
            <w:tcBorders>
              <w:top w:val="nil"/>
              <w:left w:val="nil"/>
              <w:bottom w:val="single" w:sz="8" w:space="0" w:color="DCDDDE"/>
              <w:right w:val="nil"/>
            </w:tcBorders>
            <w:shd w:val="clear" w:color="000000" w:fill="FFFFFF"/>
            <w:noWrap/>
            <w:vAlign w:val="center"/>
            <w:hideMark/>
          </w:tcPr>
          <w:p w14:paraId="2DBEFA4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103.7</w:t>
            </w:r>
          </w:p>
        </w:tc>
        <w:tc>
          <w:tcPr>
            <w:tcW w:w="594" w:type="dxa"/>
            <w:tcBorders>
              <w:top w:val="nil"/>
              <w:left w:val="nil"/>
              <w:bottom w:val="single" w:sz="8" w:space="0" w:color="DCDDDE"/>
              <w:right w:val="nil"/>
            </w:tcBorders>
            <w:shd w:val="clear" w:color="000000" w:fill="FFFFFF"/>
            <w:noWrap/>
            <w:vAlign w:val="center"/>
            <w:hideMark/>
          </w:tcPr>
          <w:p w14:paraId="129326C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103.7</w:t>
            </w:r>
          </w:p>
        </w:tc>
        <w:tc>
          <w:tcPr>
            <w:tcW w:w="594" w:type="dxa"/>
            <w:tcBorders>
              <w:top w:val="nil"/>
              <w:left w:val="nil"/>
              <w:bottom w:val="single" w:sz="8" w:space="0" w:color="DCDDDE"/>
              <w:right w:val="nil"/>
            </w:tcBorders>
            <w:shd w:val="clear" w:color="000000" w:fill="FFFFFF"/>
            <w:noWrap/>
            <w:vAlign w:val="center"/>
            <w:hideMark/>
          </w:tcPr>
          <w:p w14:paraId="32430BE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104.6</w:t>
            </w:r>
          </w:p>
        </w:tc>
      </w:tr>
      <w:tr w:rsidR="00D823AE" w:rsidRPr="00D823AE" w14:paraId="1BD20079"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40BE1667"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4" w:type="dxa"/>
            <w:tcBorders>
              <w:top w:val="nil"/>
              <w:left w:val="nil"/>
              <w:bottom w:val="single" w:sz="8" w:space="0" w:color="DCDDDE"/>
              <w:right w:val="nil"/>
            </w:tcBorders>
            <w:shd w:val="clear" w:color="000000" w:fill="FFFFFF"/>
            <w:noWrap/>
            <w:vAlign w:val="center"/>
            <w:hideMark/>
          </w:tcPr>
          <w:p w14:paraId="576E53F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162.8</w:t>
            </w:r>
          </w:p>
        </w:tc>
        <w:tc>
          <w:tcPr>
            <w:tcW w:w="594" w:type="dxa"/>
            <w:tcBorders>
              <w:top w:val="nil"/>
              <w:left w:val="nil"/>
              <w:bottom w:val="single" w:sz="8" w:space="0" w:color="DCDDDE"/>
              <w:right w:val="nil"/>
            </w:tcBorders>
            <w:shd w:val="clear" w:color="000000" w:fill="FFFFFF"/>
            <w:noWrap/>
            <w:vAlign w:val="center"/>
            <w:hideMark/>
          </w:tcPr>
          <w:p w14:paraId="3E992AA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163.5</w:t>
            </w:r>
          </w:p>
        </w:tc>
        <w:tc>
          <w:tcPr>
            <w:tcW w:w="594" w:type="dxa"/>
            <w:tcBorders>
              <w:top w:val="nil"/>
              <w:left w:val="nil"/>
              <w:bottom w:val="single" w:sz="8" w:space="0" w:color="DCDDDE"/>
              <w:right w:val="nil"/>
            </w:tcBorders>
            <w:shd w:val="clear" w:color="000000" w:fill="FFFFFF"/>
            <w:noWrap/>
            <w:vAlign w:val="center"/>
            <w:hideMark/>
          </w:tcPr>
          <w:p w14:paraId="15068B1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179.1</w:t>
            </w:r>
          </w:p>
        </w:tc>
        <w:tc>
          <w:tcPr>
            <w:tcW w:w="594" w:type="dxa"/>
            <w:tcBorders>
              <w:top w:val="nil"/>
              <w:left w:val="nil"/>
              <w:bottom w:val="single" w:sz="8" w:space="0" w:color="DCDDDE"/>
              <w:right w:val="nil"/>
            </w:tcBorders>
            <w:shd w:val="clear" w:color="000000" w:fill="FFFFFF"/>
            <w:noWrap/>
            <w:vAlign w:val="center"/>
            <w:hideMark/>
          </w:tcPr>
          <w:p w14:paraId="3713725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208.7</w:t>
            </w:r>
          </w:p>
        </w:tc>
        <w:tc>
          <w:tcPr>
            <w:tcW w:w="594" w:type="dxa"/>
            <w:tcBorders>
              <w:top w:val="nil"/>
              <w:left w:val="nil"/>
              <w:bottom w:val="single" w:sz="8" w:space="0" w:color="DCDDDE"/>
              <w:right w:val="nil"/>
            </w:tcBorders>
            <w:shd w:val="clear" w:color="000000" w:fill="FFFFFF"/>
            <w:noWrap/>
            <w:vAlign w:val="center"/>
            <w:hideMark/>
          </w:tcPr>
          <w:p w14:paraId="00170E5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205.1</w:t>
            </w:r>
          </w:p>
        </w:tc>
        <w:tc>
          <w:tcPr>
            <w:tcW w:w="594" w:type="dxa"/>
            <w:tcBorders>
              <w:top w:val="nil"/>
              <w:left w:val="nil"/>
              <w:bottom w:val="single" w:sz="8" w:space="0" w:color="DCDDDE"/>
              <w:right w:val="nil"/>
            </w:tcBorders>
            <w:shd w:val="clear" w:color="000000" w:fill="FFFFFF"/>
            <w:noWrap/>
            <w:vAlign w:val="center"/>
            <w:hideMark/>
          </w:tcPr>
          <w:p w14:paraId="0F8CD33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241.6</w:t>
            </w:r>
          </w:p>
        </w:tc>
        <w:tc>
          <w:tcPr>
            <w:tcW w:w="594" w:type="dxa"/>
            <w:tcBorders>
              <w:top w:val="nil"/>
              <w:left w:val="nil"/>
              <w:bottom w:val="single" w:sz="8" w:space="0" w:color="DCDDDE"/>
              <w:right w:val="nil"/>
            </w:tcBorders>
            <w:shd w:val="clear" w:color="000000" w:fill="FFFFFF"/>
            <w:noWrap/>
            <w:vAlign w:val="center"/>
            <w:hideMark/>
          </w:tcPr>
          <w:p w14:paraId="288F37F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233.7</w:t>
            </w:r>
          </w:p>
        </w:tc>
        <w:tc>
          <w:tcPr>
            <w:tcW w:w="594" w:type="dxa"/>
            <w:tcBorders>
              <w:top w:val="nil"/>
              <w:left w:val="nil"/>
              <w:bottom w:val="single" w:sz="8" w:space="0" w:color="DCDDDE"/>
              <w:right w:val="nil"/>
            </w:tcBorders>
            <w:shd w:val="clear" w:color="000000" w:fill="FFFFFF"/>
            <w:noWrap/>
            <w:vAlign w:val="center"/>
            <w:hideMark/>
          </w:tcPr>
          <w:p w14:paraId="1962466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228.6</w:t>
            </w:r>
          </w:p>
        </w:tc>
        <w:tc>
          <w:tcPr>
            <w:tcW w:w="594" w:type="dxa"/>
            <w:tcBorders>
              <w:top w:val="nil"/>
              <w:left w:val="nil"/>
              <w:bottom w:val="single" w:sz="8" w:space="0" w:color="DCDDDE"/>
              <w:right w:val="nil"/>
            </w:tcBorders>
            <w:shd w:val="clear" w:color="000000" w:fill="FFFFFF"/>
            <w:noWrap/>
            <w:vAlign w:val="center"/>
            <w:hideMark/>
          </w:tcPr>
          <w:p w14:paraId="6A33BEF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222.4</w:t>
            </w:r>
          </w:p>
        </w:tc>
        <w:tc>
          <w:tcPr>
            <w:tcW w:w="594" w:type="dxa"/>
            <w:tcBorders>
              <w:top w:val="nil"/>
              <w:left w:val="nil"/>
              <w:bottom w:val="single" w:sz="8" w:space="0" w:color="DCDDDE"/>
              <w:right w:val="nil"/>
            </w:tcBorders>
            <w:shd w:val="clear" w:color="000000" w:fill="FFFFFF"/>
            <w:noWrap/>
            <w:vAlign w:val="center"/>
            <w:hideMark/>
          </w:tcPr>
          <w:p w14:paraId="5E32435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219.2</w:t>
            </w:r>
          </w:p>
        </w:tc>
        <w:tc>
          <w:tcPr>
            <w:tcW w:w="594" w:type="dxa"/>
            <w:tcBorders>
              <w:top w:val="nil"/>
              <w:left w:val="nil"/>
              <w:bottom w:val="single" w:sz="8" w:space="0" w:color="DCDDDE"/>
              <w:right w:val="nil"/>
            </w:tcBorders>
            <w:shd w:val="clear" w:color="000000" w:fill="FFFFFF"/>
            <w:noWrap/>
            <w:vAlign w:val="center"/>
            <w:hideMark/>
          </w:tcPr>
          <w:p w14:paraId="494DC46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210.8</w:t>
            </w:r>
          </w:p>
        </w:tc>
        <w:tc>
          <w:tcPr>
            <w:tcW w:w="594" w:type="dxa"/>
            <w:tcBorders>
              <w:top w:val="nil"/>
              <w:left w:val="nil"/>
              <w:bottom w:val="single" w:sz="8" w:space="0" w:color="DCDDDE"/>
              <w:right w:val="nil"/>
            </w:tcBorders>
            <w:shd w:val="clear" w:color="000000" w:fill="FFFFFF"/>
            <w:noWrap/>
            <w:vAlign w:val="center"/>
            <w:hideMark/>
          </w:tcPr>
          <w:p w14:paraId="4775A4C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197.6</w:t>
            </w:r>
          </w:p>
        </w:tc>
        <w:tc>
          <w:tcPr>
            <w:tcW w:w="594" w:type="dxa"/>
            <w:tcBorders>
              <w:top w:val="nil"/>
              <w:left w:val="nil"/>
              <w:bottom w:val="single" w:sz="8" w:space="0" w:color="DCDDDE"/>
              <w:right w:val="nil"/>
            </w:tcBorders>
            <w:shd w:val="clear" w:color="000000" w:fill="FFFFFF"/>
            <w:noWrap/>
            <w:vAlign w:val="center"/>
            <w:hideMark/>
          </w:tcPr>
          <w:p w14:paraId="073F209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184.9</w:t>
            </w:r>
          </w:p>
        </w:tc>
      </w:tr>
      <w:tr w:rsidR="00D823AE" w:rsidRPr="00D823AE" w14:paraId="0AC904B7"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6268DD99"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4" w:type="dxa"/>
            <w:tcBorders>
              <w:top w:val="nil"/>
              <w:left w:val="nil"/>
              <w:bottom w:val="single" w:sz="8" w:space="0" w:color="DCDDDE"/>
              <w:right w:val="nil"/>
            </w:tcBorders>
            <w:shd w:val="clear" w:color="000000" w:fill="FFFFFF"/>
            <w:noWrap/>
            <w:vAlign w:val="center"/>
            <w:hideMark/>
          </w:tcPr>
          <w:p w14:paraId="6C0A26E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28.1</w:t>
            </w:r>
          </w:p>
        </w:tc>
        <w:tc>
          <w:tcPr>
            <w:tcW w:w="594" w:type="dxa"/>
            <w:tcBorders>
              <w:top w:val="nil"/>
              <w:left w:val="nil"/>
              <w:bottom w:val="single" w:sz="8" w:space="0" w:color="DCDDDE"/>
              <w:right w:val="nil"/>
            </w:tcBorders>
            <w:shd w:val="clear" w:color="000000" w:fill="FFFFFF"/>
            <w:noWrap/>
            <w:vAlign w:val="center"/>
            <w:hideMark/>
          </w:tcPr>
          <w:p w14:paraId="5C832A1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35.5</w:t>
            </w:r>
          </w:p>
        </w:tc>
        <w:tc>
          <w:tcPr>
            <w:tcW w:w="594" w:type="dxa"/>
            <w:tcBorders>
              <w:top w:val="nil"/>
              <w:left w:val="nil"/>
              <w:bottom w:val="single" w:sz="8" w:space="0" w:color="DCDDDE"/>
              <w:right w:val="nil"/>
            </w:tcBorders>
            <w:shd w:val="clear" w:color="000000" w:fill="FFFFFF"/>
            <w:noWrap/>
            <w:vAlign w:val="center"/>
            <w:hideMark/>
          </w:tcPr>
          <w:p w14:paraId="2EF3450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40.7</w:t>
            </w:r>
          </w:p>
        </w:tc>
        <w:tc>
          <w:tcPr>
            <w:tcW w:w="594" w:type="dxa"/>
            <w:tcBorders>
              <w:top w:val="nil"/>
              <w:left w:val="nil"/>
              <w:bottom w:val="single" w:sz="8" w:space="0" w:color="DCDDDE"/>
              <w:right w:val="nil"/>
            </w:tcBorders>
            <w:shd w:val="clear" w:color="000000" w:fill="FFFFFF"/>
            <w:noWrap/>
            <w:vAlign w:val="center"/>
            <w:hideMark/>
          </w:tcPr>
          <w:p w14:paraId="45ABAA4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43.5</w:t>
            </w:r>
          </w:p>
        </w:tc>
        <w:tc>
          <w:tcPr>
            <w:tcW w:w="594" w:type="dxa"/>
            <w:tcBorders>
              <w:top w:val="nil"/>
              <w:left w:val="nil"/>
              <w:bottom w:val="single" w:sz="8" w:space="0" w:color="DCDDDE"/>
              <w:right w:val="nil"/>
            </w:tcBorders>
            <w:shd w:val="clear" w:color="000000" w:fill="FFFFFF"/>
            <w:noWrap/>
            <w:vAlign w:val="center"/>
            <w:hideMark/>
          </w:tcPr>
          <w:p w14:paraId="65B0615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46.6</w:t>
            </w:r>
          </w:p>
        </w:tc>
        <w:tc>
          <w:tcPr>
            <w:tcW w:w="594" w:type="dxa"/>
            <w:tcBorders>
              <w:top w:val="nil"/>
              <w:left w:val="nil"/>
              <w:bottom w:val="single" w:sz="8" w:space="0" w:color="DCDDDE"/>
              <w:right w:val="nil"/>
            </w:tcBorders>
            <w:shd w:val="clear" w:color="000000" w:fill="FFFFFF"/>
            <w:noWrap/>
            <w:vAlign w:val="center"/>
            <w:hideMark/>
          </w:tcPr>
          <w:p w14:paraId="3A93815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49.8</w:t>
            </w:r>
          </w:p>
        </w:tc>
        <w:tc>
          <w:tcPr>
            <w:tcW w:w="594" w:type="dxa"/>
            <w:tcBorders>
              <w:top w:val="nil"/>
              <w:left w:val="nil"/>
              <w:bottom w:val="single" w:sz="8" w:space="0" w:color="DCDDDE"/>
              <w:right w:val="nil"/>
            </w:tcBorders>
            <w:shd w:val="clear" w:color="000000" w:fill="FFFFFF"/>
            <w:noWrap/>
            <w:vAlign w:val="center"/>
            <w:hideMark/>
          </w:tcPr>
          <w:p w14:paraId="47D53FD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53.6</w:t>
            </w:r>
          </w:p>
        </w:tc>
        <w:tc>
          <w:tcPr>
            <w:tcW w:w="594" w:type="dxa"/>
            <w:tcBorders>
              <w:top w:val="nil"/>
              <w:left w:val="nil"/>
              <w:bottom w:val="single" w:sz="8" w:space="0" w:color="DCDDDE"/>
              <w:right w:val="nil"/>
            </w:tcBorders>
            <w:shd w:val="clear" w:color="000000" w:fill="FFFFFF"/>
            <w:noWrap/>
            <w:vAlign w:val="center"/>
            <w:hideMark/>
          </w:tcPr>
          <w:p w14:paraId="5B00050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62.9</w:t>
            </w:r>
          </w:p>
        </w:tc>
        <w:tc>
          <w:tcPr>
            <w:tcW w:w="594" w:type="dxa"/>
            <w:tcBorders>
              <w:top w:val="nil"/>
              <w:left w:val="nil"/>
              <w:bottom w:val="single" w:sz="8" w:space="0" w:color="DCDDDE"/>
              <w:right w:val="nil"/>
            </w:tcBorders>
            <w:shd w:val="clear" w:color="000000" w:fill="FFFFFF"/>
            <w:noWrap/>
            <w:vAlign w:val="center"/>
            <w:hideMark/>
          </w:tcPr>
          <w:p w14:paraId="2ACD040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68.0</w:t>
            </w:r>
          </w:p>
        </w:tc>
        <w:tc>
          <w:tcPr>
            <w:tcW w:w="594" w:type="dxa"/>
            <w:tcBorders>
              <w:top w:val="nil"/>
              <w:left w:val="nil"/>
              <w:bottom w:val="single" w:sz="8" w:space="0" w:color="DCDDDE"/>
              <w:right w:val="nil"/>
            </w:tcBorders>
            <w:shd w:val="clear" w:color="000000" w:fill="FFFFFF"/>
            <w:noWrap/>
            <w:vAlign w:val="center"/>
            <w:hideMark/>
          </w:tcPr>
          <w:p w14:paraId="161F71E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73.6</w:t>
            </w:r>
          </w:p>
        </w:tc>
        <w:tc>
          <w:tcPr>
            <w:tcW w:w="594" w:type="dxa"/>
            <w:tcBorders>
              <w:top w:val="nil"/>
              <w:left w:val="nil"/>
              <w:bottom w:val="single" w:sz="8" w:space="0" w:color="DCDDDE"/>
              <w:right w:val="nil"/>
            </w:tcBorders>
            <w:shd w:val="clear" w:color="000000" w:fill="FFFFFF"/>
            <w:noWrap/>
            <w:vAlign w:val="center"/>
            <w:hideMark/>
          </w:tcPr>
          <w:p w14:paraId="4F60A49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80.0</w:t>
            </w:r>
          </w:p>
        </w:tc>
        <w:tc>
          <w:tcPr>
            <w:tcW w:w="594" w:type="dxa"/>
            <w:tcBorders>
              <w:top w:val="nil"/>
              <w:left w:val="nil"/>
              <w:bottom w:val="single" w:sz="8" w:space="0" w:color="DCDDDE"/>
              <w:right w:val="nil"/>
            </w:tcBorders>
            <w:shd w:val="clear" w:color="000000" w:fill="FFFFFF"/>
            <w:noWrap/>
            <w:vAlign w:val="center"/>
            <w:hideMark/>
          </w:tcPr>
          <w:p w14:paraId="49965B1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87.2</w:t>
            </w:r>
          </w:p>
        </w:tc>
        <w:tc>
          <w:tcPr>
            <w:tcW w:w="594" w:type="dxa"/>
            <w:tcBorders>
              <w:top w:val="nil"/>
              <w:left w:val="nil"/>
              <w:bottom w:val="single" w:sz="8" w:space="0" w:color="DCDDDE"/>
              <w:right w:val="nil"/>
            </w:tcBorders>
            <w:shd w:val="clear" w:color="000000" w:fill="FFFFFF"/>
            <w:noWrap/>
            <w:vAlign w:val="center"/>
            <w:hideMark/>
          </w:tcPr>
          <w:p w14:paraId="28316A5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95.6</w:t>
            </w:r>
          </w:p>
        </w:tc>
      </w:tr>
      <w:tr w:rsidR="00D823AE" w:rsidRPr="00D823AE" w14:paraId="7139B7F7" w14:textId="77777777" w:rsidTr="00D823AE">
        <w:trPr>
          <w:gridAfter w:val="1"/>
          <w:wAfter w:w="12" w:type="dxa"/>
          <w:trHeight w:val="486"/>
        </w:trPr>
        <w:tc>
          <w:tcPr>
            <w:tcW w:w="1279" w:type="dxa"/>
            <w:tcBorders>
              <w:top w:val="nil"/>
              <w:left w:val="nil"/>
              <w:bottom w:val="single" w:sz="8" w:space="0" w:color="DCDDDE"/>
              <w:right w:val="nil"/>
            </w:tcBorders>
            <w:shd w:val="clear" w:color="000000" w:fill="FFFFFF"/>
            <w:vAlign w:val="center"/>
            <w:hideMark/>
          </w:tcPr>
          <w:p w14:paraId="5CC69F0B"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4" w:type="dxa"/>
            <w:tcBorders>
              <w:top w:val="nil"/>
              <w:left w:val="nil"/>
              <w:bottom w:val="single" w:sz="8" w:space="0" w:color="DCDDDE"/>
              <w:right w:val="nil"/>
            </w:tcBorders>
            <w:shd w:val="clear" w:color="000000" w:fill="FFFFFF"/>
            <w:noWrap/>
            <w:vAlign w:val="center"/>
            <w:hideMark/>
          </w:tcPr>
          <w:p w14:paraId="4AD05C8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5.2</w:t>
            </w:r>
          </w:p>
        </w:tc>
        <w:tc>
          <w:tcPr>
            <w:tcW w:w="594" w:type="dxa"/>
            <w:tcBorders>
              <w:top w:val="nil"/>
              <w:left w:val="nil"/>
              <w:bottom w:val="single" w:sz="8" w:space="0" w:color="DCDDDE"/>
              <w:right w:val="nil"/>
            </w:tcBorders>
            <w:shd w:val="clear" w:color="000000" w:fill="FFFFFF"/>
            <w:noWrap/>
            <w:vAlign w:val="center"/>
            <w:hideMark/>
          </w:tcPr>
          <w:p w14:paraId="367AD10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20B2E56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94" w:type="dxa"/>
            <w:tcBorders>
              <w:top w:val="nil"/>
              <w:left w:val="nil"/>
              <w:bottom w:val="single" w:sz="8" w:space="0" w:color="DCDDDE"/>
              <w:right w:val="nil"/>
            </w:tcBorders>
            <w:shd w:val="clear" w:color="000000" w:fill="FFFFFF"/>
            <w:noWrap/>
            <w:vAlign w:val="center"/>
            <w:hideMark/>
          </w:tcPr>
          <w:p w14:paraId="0A172F5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367F88F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55B6A20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5A72E41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04A6639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7E4741A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0EAEFE3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6A5C17C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6A0991F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c>
          <w:tcPr>
            <w:tcW w:w="594" w:type="dxa"/>
            <w:tcBorders>
              <w:top w:val="nil"/>
              <w:left w:val="nil"/>
              <w:bottom w:val="single" w:sz="8" w:space="0" w:color="DCDDDE"/>
              <w:right w:val="nil"/>
            </w:tcBorders>
            <w:shd w:val="clear" w:color="000000" w:fill="FFFFFF"/>
            <w:noWrap/>
            <w:vAlign w:val="center"/>
            <w:hideMark/>
          </w:tcPr>
          <w:p w14:paraId="0C31E56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4.0</w:t>
            </w:r>
          </w:p>
        </w:tc>
      </w:tr>
      <w:tr w:rsidR="00D823AE" w:rsidRPr="00D823AE" w14:paraId="5F51C5BC" w14:textId="77777777" w:rsidTr="00D823AE">
        <w:trPr>
          <w:gridAfter w:val="1"/>
          <w:wAfter w:w="12" w:type="dxa"/>
          <w:trHeight w:val="275"/>
        </w:trPr>
        <w:tc>
          <w:tcPr>
            <w:tcW w:w="1279" w:type="dxa"/>
            <w:tcBorders>
              <w:top w:val="nil"/>
              <w:left w:val="nil"/>
              <w:bottom w:val="single" w:sz="8" w:space="0" w:color="DCDDDE"/>
              <w:right w:val="nil"/>
            </w:tcBorders>
            <w:shd w:val="clear" w:color="000000" w:fill="FFFFFF"/>
            <w:vAlign w:val="center"/>
            <w:hideMark/>
          </w:tcPr>
          <w:p w14:paraId="4E5376FD"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4" w:type="dxa"/>
            <w:tcBorders>
              <w:top w:val="nil"/>
              <w:left w:val="nil"/>
              <w:bottom w:val="single" w:sz="8" w:space="0" w:color="DCDDDE"/>
              <w:right w:val="nil"/>
            </w:tcBorders>
            <w:shd w:val="clear" w:color="000000" w:fill="FFFFFF"/>
            <w:noWrap/>
            <w:vAlign w:val="center"/>
            <w:hideMark/>
          </w:tcPr>
          <w:p w14:paraId="7308B647"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292.2</w:t>
            </w:r>
          </w:p>
        </w:tc>
        <w:tc>
          <w:tcPr>
            <w:tcW w:w="594" w:type="dxa"/>
            <w:tcBorders>
              <w:top w:val="nil"/>
              <w:left w:val="nil"/>
              <w:bottom w:val="single" w:sz="8" w:space="0" w:color="DCDDDE"/>
              <w:right w:val="nil"/>
            </w:tcBorders>
            <w:shd w:val="clear" w:color="000000" w:fill="FFFFFF"/>
            <w:noWrap/>
            <w:vAlign w:val="center"/>
            <w:hideMark/>
          </w:tcPr>
          <w:p w14:paraId="3045B0F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308.7</w:t>
            </w:r>
          </w:p>
        </w:tc>
        <w:tc>
          <w:tcPr>
            <w:tcW w:w="594" w:type="dxa"/>
            <w:tcBorders>
              <w:top w:val="nil"/>
              <w:left w:val="nil"/>
              <w:bottom w:val="single" w:sz="8" w:space="0" w:color="DCDDDE"/>
              <w:right w:val="nil"/>
            </w:tcBorders>
            <w:shd w:val="clear" w:color="000000" w:fill="FFFFFF"/>
            <w:noWrap/>
            <w:vAlign w:val="center"/>
            <w:hideMark/>
          </w:tcPr>
          <w:p w14:paraId="7CA3A2A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324.2</w:t>
            </w:r>
          </w:p>
        </w:tc>
        <w:tc>
          <w:tcPr>
            <w:tcW w:w="594" w:type="dxa"/>
            <w:tcBorders>
              <w:top w:val="nil"/>
              <w:left w:val="nil"/>
              <w:bottom w:val="single" w:sz="8" w:space="0" w:color="DCDDDE"/>
              <w:right w:val="nil"/>
            </w:tcBorders>
            <w:shd w:val="clear" w:color="000000" w:fill="FFFFFF"/>
            <w:noWrap/>
            <w:vAlign w:val="center"/>
            <w:hideMark/>
          </w:tcPr>
          <w:p w14:paraId="2CA43BE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367.1</w:t>
            </w:r>
          </w:p>
        </w:tc>
        <w:tc>
          <w:tcPr>
            <w:tcW w:w="594" w:type="dxa"/>
            <w:tcBorders>
              <w:top w:val="nil"/>
              <w:left w:val="nil"/>
              <w:bottom w:val="single" w:sz="8" w:space="0" w:color="DCDDDE"/>
              <w:right w:val="nil"/>
            </w:tcBorders>
            <w:shd w:val="clear" w:color="000000" w:fill="FFFFFF"/>
            <w:noWrap/>
            <w:vAlign w:val="center"/>
            <w:hideMark/>
          </w:tcPr>
          <w:p w14:paraId="339B1FB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367.4</w:t>
            </w:r>
          </w:p>
        </w:tc>
        <w:tc>
          <w:tcPr>
            <w:tcW w:w="594" w:type="dxa"/>
            <w:tcBorders>
              <w:top w:val="nil"/>
              <w:left w:val="nil"/>
              <w:bottom w:val="single" w:sz="8" w:space="0" w:color="DCDDDE"/>
              <w:right w:val="nil"/>
            </w:tcBorders>
            <w:shd w:val="clear" w:color="000000" w:fill="FFFFFF"/>
            <w:noWrap/>
            <w:vAlign w:val="center"/>
            <w:hideMark/>
          </w:tcPr>
          <w:p w14:paraId="611C0FD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404.6</w:t>
            </w:r>
          </w:p>
        </w:tc>
        <w:tc>
          <w:tcPr>
            <w:tcW w:w="594" w:type="dxa"/>
            <w:tcBorders>
              <w:top w:val="nil"/>
              <w:left w:val="nil"/>
              <w:bottom w:val="single" w:sz="8" w:space="0" w:color="DCDDDE"/>
              <w:right w:val="nil"/>
            </w:tcBorders>
            <w:shd w:val="clear" w:color="000000" w:fill="FFFFFF"/>
            <w:noWrap/>
            <w:vAlign w:val="center"/>
            <w:hideMark/>
          </w:tcPr>
          <w:p w14:paraId="0C99521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397.9</w:t>
            </w:r>
          </w:p>
        </w:tc>
        <w:tc>
          <w:tcPr>
            <w:tcW w:w="594" w:type="dxa"/>
            <w:tcBorders>
              <w:top w:val="nil"/>
              <w:left w:val="nil"/>
              <w:bottom w:val="single" w:sz="8" w:space="0" w:color="DCDDDE"/>
              <w:right w:val="nil"/>
            </w:tcBorders>
            <w:shd w:val="clear" w:color="000000" w:fill="FFFFFF"/>
            <w:noWrap/>
            <w:vAlign w:val="center"/>
            <w:hideMark/>
          </w:tcPr>
          <w:p w14:paraId="70EF677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400.7</w:t>
            </w:r>
          </w:p>
        </w:tc>
        <w:tc>
          <w:tcPr>
            <w:tcW w:w="594" w:type="dxa"/>
            <w:tcBorders>
              <w:top w:val="nil"/>
              <w:left w:val="nil"/>
              <w:bottom w:val="single" w:sz="8" w:space="0" w:color="DCDDDE"/>
              <w:right w:val="nil"/>
            </w:tcBorders>
            <w:shd w:val="clear" w:color="000000" w:fill="FFFFFF"/>
            <w:noWrap/>
            <w:vAlign w:val="center"/>
            <w:hideMark/>
          </w:tcPr>
          <w:p w14:paraId="2B62218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398.4</w:t>
            </w:r>
          </w:p>
        </w:tc>
        <w:tc>
          <w:tcPr>
            <w:tcW w:w="594" w:type="dxa"/>
            <w:tcBorders>
              <w:top w:val="nil"/>
              <w:left w:val="nil"/>
              <w:bottom w:val="single" w:sz="8" w:space="0" w:color="DCDDDE"/>
              <w:right w:val="nil"/>
            </w:tcBorders>
            <w:shd w:val="clear" w:color="000000" w:fill="FFFFFF"/>
            <w:noWrap/>
            <w:vAlign w:val="center"/>
            <w:hideMark/>
          </w:tcPr>
          <w:p w14:paraId="6EACAF93"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399.9</w:t>
            </w:r>
          </w:p>
        </w:tc>
        <w:tc>
          <w:tcPr>
            <w:tcW w:w="594" w:type="dxa"/>
            <w:tcBorders>
              <w:top w:val="nil"/>
              <w:left w:val="nil"/>
              <w:bottom w:val="single" w:sz="8" w:space="0" w:color="DCDDDE"/>
              <w:right w:val="nil"/>
            </w:tcBorders>
            <w:shd w:val="clear" w:color="000000" w:fill="FFFFFF"/>
            <w:noWrap/>
            <w:vAlign w:val="center"/>
            <w:hideMark/>
          </w:tcPr>
          <w:p w14:paraId="71D8867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398.5</w:t>
            </w:r>
          </w:p>
        </w:tc>
        <w:tc>
          <w:tcPr>
            <w:tcW w:w="594" w:type="dxa"/>
            <w:tcBorders>
              <w:top w:val="nil"/>
              <w:left w:val="nil"/>
              <w:bottom w:val="single" w:sz="8" w:space="0" w:color="DCDDDE"/>
              <w:right w:val="nil"/>
            </w:tcBorders>
            <w:shd w:val="clear" w:color="000000" w:fill="FFFFFF"/>
            <w:noWrap/>
            <w:vAlign w:val="center"/>
            <w:hideMark/>
          </w:tcPr>
          <w:p w14:paraId="1AAAC0E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392.5</w:t>
            </w:r>
          </w:p>
        </w:tc>
        <w:tc>
          <w:tcPr>
            <w:tcW w:w="594" w:type="dxa"/>
            <w:tcBorders>
              <w:top w:val="nil"/>
              <w:left w:val="nil"/>
              <w:bottom w:val="single" w:sz="8" w:space="0" w:color="DCDDDE"/>
              <w:right w:val="nil"/>
            </w:tcBorders>
            <w:shd w:val="clear" w:color="000000" w:fill="FFFFFF"/>
            <w:noWrap/>
            <w:vAlign w:val="center"/>
            <w:hideMark/>
          </w:tcPr>
          <w:p w14:paraId="23B7DACE"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389.1</w:t>
            </w:r>
          </w:p>
        </w:tc>
      </w:tr>
    </w:tbl>
    <w:p w14:paraId="5F1BA047" w14:textId="77777777" w:rsidR="00D823AE" w:rsidRDefault="00D823AE" w:rsidP="00D823AE"/>
    <w:p w14:paraId="41E09B9C" w14:textId="77777777" w:rsidR="00D823AE" w:rsidRPr="00D823AE" w:rsidRDefault="00D823AE" w:rsidP="00D823AE"/>
    <w:p w14:paraId="60BE8503" w14:textId="77777777" w:rsidR="00D823AE" w:rsidRDefault="00D823AE" w:rsidP="00D823AE"/>
    <w:p w14:paraId="0801C006" w14:textId="77777777" w:rsidR="00D823AE" w:rsidRDefault="00D823AE" w:rsidP="00D823AE">
      <w:pPr>
        <w:pStyle w:val="Caption"/>
      </w:pPr>
      <w:bookmarkStart w:id="1113" w:name="_Toc485125632"/>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3</w:t>
      </w:r>
      <w:r w:rsidR="00272F76">
        <w:rPr>
          <w:noProof/>
        </w:rPr>
        <w:fldChar w:fldCharType="end"/>
      </w:r>
      <w:r w:rsidRPr="006F2DA9">
        <w:t xml:space="preserve">. </w:t>
      </w:r>
      <w:r>
        <w:t>PG&amp;E Gas Savings</w:t>
      </w:r>
      <w:bookmarkEnd w:id="1113"/>
    </w:p>
    <w:tbl>
      <w:tblPr>
        <w:tblW w:w="8635" w:type="dxa"/>
        <w:jc w:val="center"/>
        <w:tblLook w:val="04A0" w:firstRow="1" w:lastRow="0" w:firstColumn="1" w:lastColumn="0" w:noHBand="0" w:noVBand="1"/>
      </w:tblPr>
      <w:tblGrid>
        <w:gridCol w:w="1532"/>
        <w:gridCol w:w="545"/>
        <w:gridCol w:w="545"/>
        <w:gridCol w:w="545"/>
        <w:gridCol w:w="545"/>
        <w:gridCol w:w="545"/>
        <w:gridCol w:w="545"/>
        <w:gridCol w:w="545"/>
        <w:gridCol w:w="545"/>
        <w:gridCol w:w="545"/>
        <w:gridCol w:w="545"/>
        <w:gridCol w:w="545"/>
        <w:gridCol w:w="545"/>
        <w:gridCol w:w="550"/>
        <w:gridCol w:w="13"/>
      </w:tblGrid>
      <w:tr w:rsidR="00D823AE" w:rsidRPr="00D823AE" w14:paraId="4A6A76FE" w14:textId="77777777" w:rsidTr="00D823AE">
        <w:trPr>
          <w:trHeight w:val="239"/>
          <w:jc w:val="center"/>
        </w:trPr>
        <w:tc>
          <w:tcPr>
            <w:tcW w:w="8635" w:type="dxa"/>
            <w:gridSpan w:val="15"/>
            <w:tcBorders>
              <w:top w:val="nil"/>
              <w:left w:val="nil"/>
              <w:bottom w:val="single" w:sz="12" w:space="0" w:color="95D600"/>
              <w:right w:val="nil"/>
            </w:tcBorders>
            <w:shd w:val="clear" w:color="000000" w:fill="555759"/>
            <w:noWrap/>
            <w:vAlign w:val="center"/>
            <w:hideMark/>
          </w:tcPr>
          <w:p w14:paraId="46306A4A" w14:textId="77777777" w:rsidR="00D823AE" w:rsidRPr="00D823AE" w:rsidRDefault="00D823AE" w:rsidP="00D823AE">
            <w:pPr>
              <w:spacing w:line="240" w:lineRule="auto"/>
              <w:jc w:val="center"/>
              <w:rPr>
                <w:rFonts w:ascii="Arial Narrow" w:hAnsi="Arial Narrow"/>
                <w:b/>
                <w:bCs/>
                <w:color w:val="FFFFFF"/>
                <w:sz w:val="18"/>
                <w:szCs w:val="18"/>
              </w:rPr>
            </w:pPr>
            <w:r w:rsidRPr="00D823AE">
              <w:rPr>
                <w:rFonts w:ascii="Arial Narrow" w:hAnsi="Arial Narrow"/>
                <w:b/>
                <w:bCs/>
                <w:color w:val="FFFFFF"/>
                <w:sz w:val="18"/>
                <w:szCs w:val="18"/>
              </w:rPr>
              <w:t>Gas Energy (MMTherm/year)</w:t>
            </w:r>
          </w:p>
        </w:tc>
      </w:tr>
      <w:tr w:rsidR="00D823AE" w:rsidRPr="00D823AE" w14:paraId="78E90134" w14:textId="77777777" w:rsidTr="00D823AE">
        <w:trPr>
          <w:gridAfter w:val="1"/>
          <w:wAfter w:w="13" w:type="dxa"/>
          <w:trHeight w:val="250"/>
          <w:jc w:val="center"/>
        </w:trPr>
        <w:tc>
          <w:tcPr>
            <w:tcW w:w="1532" w:type="dxa"/>
            <w:tcBorders>
              <w:top w:val="nil"/>
              <w:left w:val="nil"/>
              <w:bottom w:val="single" w:sz="8" w:space="0" w:color="DCDDDE"/>
              <w:right w:val="nil"/>
            </w:tcBorders>
            <w:shd w:val="clear" w:color="auto" w:fill="auto"/>
            <w:vAlign w:val="center"/>
            <w:hideMark/>
          </w:tcPr>
          <w:p w14:paraId="7163CD81"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1CCFC8E6"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6A5ADCEB"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3ADA1A8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5C37BFB9"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61C2F58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0F51DCF1"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5295B30F"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5403386A"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1A981EEA"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58E6B9C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26718E57"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6D6E55ED"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550" w:type="dxa"/>
            <w:tcBorders>
              <w:top w:val="nil"/>
              <w:left w:val="nil"/>
              <w:bottom w:val="single" w:sz="8" w:space="0" w:color="DCDDDE"/>
              <w:right w:val="nil"/>
            </w:tcBorders>
            <w:shd w:val="clear" w:color="auto" w:fill="auto"/>
            <w:noWrap/>
            <w:vAlign w:val="center"/>
            <w:hideMark/>
          </w:tcPr>
          <w:p w14:paraId="3CE35963"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D823AE" w:rsidRPr="00D823AE" w14:paraId="3BD38E04" w14:textId="77777777" w:rsidTr="00D823AE">
        <w:trPr>
          <w:trHeight w:val="239"/>
          <w:jc w:val="center"/>
        </w:trPr>
        <w:tc>
          <w:tcPr>
            <w:tcW w:w="8635" w:type="dxa"/>
            <w:gridSpan w:val="15"/>
            <w:tcBorders>
              <w:top w:val="single" w:sz="8" w:space="0" w:color="DCDDDE"/>
              <w:left w:val="nil"/>
              <w:bottom w:val="single" w:sz="8" w:space="0" w:color="DCDDDE"/>
              <w:right w:val="nil"/>
            </w:tcBorders>
            <w:shd w:val="clear" w:color="000000" w:fill="DADADA"/>
            <w:noWrap/>
            <w:vAlign w:val="center"/>
            <w:hideMark/>
          </w:tcPr>
          <w:p w14:paraId="1DE02AB8"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D823AE" w:rsidRPr="00D823AE" w14:paraId="5B05355E"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3DFBF9A2"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45" w:type="dxa"/>
            <w:tcBorders>
              <w:top w:val="nil"/>
              <w:left w:val="nil"/>
              <w:bottom w:val="single" w:sz="8" w:space="0" w:color="DCDDDE"/>
              <w:right w:val="nil"/>
            </w:tcBorders>
            <w:shd w:val="clear" w:color="000000" w:fill="FFFFFF"/>
            <w:noWrap/>
            <w:vAlign w:val="center"/>
            <w:hideMark/>
          </w:tcPr>
          <w:p w14:paraId="06A48EF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720CC49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7.9</w:t>
            </w:r>
          </w:p>
        </w:tc>
        <w:tc>
          <w:tcPr>
            <w:tcW w:w="545" w:type="dxa"/>
            <w:tcBorders>
              <w:top w:val="nil"/>
              <w:left w:val="nil"/>
              <w:bottom w:val="single" w:sz="8" w:space="0" w:color="DCDDDE"/>
              <w:right w:val="nil"/>
            </w:tcBorders>
            <w:shd w:val="clear" w:color="000000" w:fill="FFFFFF"/>
            <w:noWrap/>
            <w:vAlign w:val="center"/>
            <w:hideMark/>
          </w:tcPr>
          <w:p w14:paraId="6EDF87A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10653DE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1703E3F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0B4C4A0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08C1A2B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078C706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31C1913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11.6</w:t>
            </w:r>
          </w:p>
        </w:tc>
        <w:tc>
          <w:tcPr>
            <w:tcW w:w="545" w:type="dxa"/>
            <w:tcBorders>
              <w:top w:val="nil"/>
              <w:left w:val="nil"/>
              <w:bottom w:val="single" w:sz="8" w:space="0" w:color="DCDDDE"/>
              <w:right w:val="nil"/>
            </w:tcBorders>
            <w:shd w:val="clear" w:color="000000" w:fill="FFFFFF"/>
            <w:noWrap/>
            <w:vAlign w:val="center"/>
            <w:hideMark/>
          </w:tcPr>
          <w:p w14:paraId="69ECA46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11.8</w:t>
            </w:r>
          </w:p>
        </w:tc>
        <w:tc>
          <w:tcPr>
            <w:tcW w:w="545" w:type="dxa"/>
            <w:tcBorders>
              <w:top w:val="nil"/>
              <w:left w:val="nil"/>
              <w:bottom w:val="single" w:sz="8" w:space="0" w:color="DCDDDE"/>
              <w:right w:val="nil"/>
            </w:tcBorders>
            <w:shd w:val="clear" w:color="000000" w:fill="FFFFFF"/>
            <w:noWrap/>
            <w:vAlign w:val="center"/>
            <w:hideMark/>
          </w:tcPr>
          <w:p w14:paraId="366AD5F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3B9F051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12.2</w:t>
            </w:r>
          </w:p>
        </w:tc>
        <w:tc>
          <w:tcPr>
            <w:tcW w:w="550" w:type="dxa"/>
            <w:tcBorders>
              <w:top w:val="nil"/>
              <w:left w:val="nil"/>
              <w:bottom w:val="single" w:sz="8" w:space="0" w:color="DCDDDE"/>
              <w:right w:val="nil"/>
            </w:tcBorders>
            <w:shd w:val="clear" w:color="000000" w:fill="FFFFFF"/>
            <w:noWrap/>
            <w:vAlign w:val="center"/>
            <w:hideMark/>
          </w:tcPr>
          <w:p w14:paraId="5E937BE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12.7</w:t>
            </w:r>
          </w:p>
        </w:tc>
      </w:tr>
      <w:tr w:rsidR="00D823AE" w:rsidRPr="00D823AE" w14:paraId="7BAD7673"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71DD38ED"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4EDDDDD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3095A4E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77E50E0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2958455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3A69CF6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19.5</w:t>
            </w:r>
          </w:p>
        </w:tc>
        <w:tc>
          <w:tcPr>
            <w:tcW w:w="545" w:type="dxa"/>
            <w:tcBorders>
              <w:top w:val="nil"/>
              <w:left w:val="nil"/>
              <w:bottom w:val="single" w:sz="8" w:space="0" w:color="DCDDDE"/>
              <w:right w:val="nil"/>
            </w:tcBorders>
            <w:shd w:val="clear" w:color="000000" w:fill="FFFFFF"/>
            <w:noWrap/>
            <w:vAlign w:val="center"/>
            <w:hideMark/>
          </w:tcPr>
          <w:p w14:paraId="0845D13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797748E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7034824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19.6</w:t>
            </w:r>
          </w:p>
        </w:tc>
        <w:tc>
          <w:tcPr>
            <w:tcW w:w="545" w:type="dxa"/>
            <w:tcBorders>
              <w:top w:val="nil"/>
              <w:left w:val="nil"/>
              <w:bottom w:val="single" w:sz="8" w:space="0" w:color="DCDDDE"/>
              <w:right w:val="nil"/>
            </w:tcBorders>
            <w:shd w:val="clear" w:color="000000" w:fill="FFFFFF"/>
            <w:noWrap/>
            <w:vAlign w:val="center"/>
            <w:hideMark/>
          </w:tcPr>
          <w:p w14:paraId="2977FA2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7AC366F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35527E5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13.6</w:t>
            </w:r>
          </w:p>
        </w:tc>
        <w:tc>
          <w:tcPr>
            <w:tcW w:w="545" w:type="dxa"/>
            <w:tcBorders>
              <w:top w:val="nil"/>
              <w:left w:val="nil"/>
              <w:bottom w:val="single" w:sz="8" w:space="0" w:color="DCDDDE"/>
              <w:right w:val="nil"/>
            </w:tcBorders>
            <w:shd w:val="clear" w:color="000000" w:fill="FFFFFF"/>
            <w:noWrap/>
            <w:vAlign w:val="center"/>
            <w:hideMark/>
          </w:tcPr>
          <w:p w14:paraId="38C6348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13.8</w:t>
            </w:r>
          </w:p>
        </w:tc>
        <w:tc>
          <w:tcPr>
            <w:tcW w:w="550" w:type="dxa"/>
            <w:tcBorders>
              <w:top w:val="nil"/>
              <w:left w:val="nil"/>
              <w:bottom w:val="single" w:sz="8" w:space="0" w:color="DCDDDE"/>
              <w:right w:val="nil"/>
            </w:tcBorders>
            <w:shd w:val="clear" w:color="000000" w:fill="FFFFFF"/>
            <w:noWrap/>
            <w:vAlign w:val="center"/>
            <w:hideMark/>
          </w:tcPr>
          <w:p w14:paraId="26D95C0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14.0</w:t>
            </w:r>
          </w:p>
        </w:tc>
      </w:tr>
      <w:tr w:rsidR="00D823AE" w:rsidRPr="00D823AE" w14:paraId="036C3204"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48A61329"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639EFA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17AA9DE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0778530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2E16F30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41768DE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7C2E33B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13824BF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7.6</w:t>
            </w:r>
          </w:p>
        </w:tc>
        <w:tc>
          <w:tcPr>
            <w:tcW w:w="545" w:type="dxa"/>
            <w:tcBorders>
              <w:top w:val="nil"/>
              <w:left w:val="nil"/>
              <w:bottom w:val="single" w:sz="8" w:space="0" w:color="DCDDDE"/>
              <w:right w:val="nil"/>
            </w:tcBorders>
            <w:shd w:val="clear" w:color="000000" w:fill="FFFFFF"/>
            <w:noWrap/>
            <w:vAlign w:val="center"/>
            <w:hideMark/>
          </w:tcPr>
          <w:p w14:paraId="08AA33C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04903CD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2C7AFA1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04DA2DF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412200C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9.6</w:t>
            </w:r>
          </w:p>
        </w:tc>
        <w:tc>
          <w:tcPr>
            <w:tcW w:w="550" w:type="dxa"/>
            <w:tcBorders>
              <w:top w:val="nil"/>
              <w:left w:val="nil"/>
              <w:bottom w:val="single" w:sz="8" w:space="0" w:color="DCDDDE"/>
              <w:right w:val="nil"/>
            </w:tcBorders>
            <w:shd w:val="clear" w:color="000000" w:fill="FFFFFF"/>
            <w:noWrap/>
            <w:vAlign w:val="center"/>
            <w:hideMark/>
          </w:tcPr>
          <w:p w14:paraId="50846D9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10.1</w:t>
            </w:r>
          </w:p>
        </w:tc>
      </w:tr>
      <w:tr w:rsidR="00D823AE" w:rsidRPr="00D823AE" w14:paraId="7B109188"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68C76ADD"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455B8EF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64880B5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2280D9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59EB69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4CFC36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1882CA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024A04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826DAA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59F29D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613CED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0F272B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0266AF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50" w:type="dxa"/>
            <w:tcBorders>
              <w:top w:val="nil"/>
              <w:left w:val="nil"/>
              <w:bottom w:val="single" w:sz="8" w:space="0" w:color="DCDDDE"/>
              <w:right w:val="nil"/>
            </w:tcBorders>
            <w:shd w:val="clear" w:color="000000" w:fill="FFFFFF"/>
            <w:noWrap/>
            <w:vAlign w:val="center"/>
            <w:hideMark/>
          </w:tcPr>
          <w:p w14:paraId="0CE2FD0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r>
      <w:tr w:rsidR="00D823AE" w:rsidRPr="00D823AE" w14:paraId="13542741"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45AC18E0"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764316A0"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26.6</w:t>
            </w:r>
          </w:p>
        </w:tc>
        <w:tc>
          <w:tcPr>
            <w:tcW w:w="545" w:type="dxa"/>
            <w:tcBorders>
              <w:top w:val="nil"/>
              <w:left w:val="nil"/>
              <w:bottom w:val="single" w:sz="8" w:space="0" w:color="DCDDDE"/>
              <w:right w:val="nil"/>
            </w:tcBorders>
            <w:shd w:val="clear" w:color="000000" w:fill="FFFFFF"/>
            <w:noWrap/>
            <w:vAlign w:val="center"/>
            <w:hideMark/>
          </w:tcPr>
          <w:p w14:paraId="06C7DC6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28.8</w:t>
            </w:r>
          </w:p>
        </w:tc>
        <w:tc>
          <w:tcPr>
            <w:tcW w:w="545" w:type="dxa"/>
            <w:tcBorders>
              <w:top w:val="nil"/>
              <w:left w:val="nil"/>
              <w:bottom w:val="single" w:sz="8" w:space="0" w:color="DCDDDE"/>
              <w:right w:val="nil"/>
            </w:tcBorders>
            <w:shd w:val="clear" w:color="000000" w:fill="FFFFFF"/>
            <w:noWrap/>
            <w:vAlign w:val="center"/>
            <w:hideMark/>
          </w:tcPr>
          <w:p w14:paraId="3C5E509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31.4</w:t>
            </w:r>
          </w:p>
        </w:tc>
        <w:tc>
          <w:tcPr>
            <w:tcW w:w="545" w:type="dxa"/>
            <w:tcBorders>
              <w:top w:val="nil"/>
              <w:left w:val="nil"/>
              <w:bottom w:val="single" w:sz="8" w:space="0" w:color="DCDDDE"/>
              <w:right w:val="nil"/>
            </w:tcBorders>
            <w:shd w:val="clear" w:color="000000" w:fill="FFFFFF"/>
            <w:noWrap/>
            <w:vAlign w:val="center"/>
            <w:hideMark/>
          </w:tcPr>
          <w:p w14:paraId="0946015B"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34.9</w:t>
            </w:r>
          </w:p>
        </w:tc>
        <w:tc>
          <w:tcPr>
            <w:tcW w:w="545" w:type="dxa"/>
            <w:tcBorders>
              <w:top w:val="nil"/>
              <w:left w:val="nil"/>
              <w:bottom w:val="single" w:sz="8" w:space="0" w:color="DCDDDE"/>
              <w:right w:val="nil"/>
            </w:tcBorders>
            <w:shd w:val="clear" w:color="000000" w:fill="FFFFFF"/>
            <w:noWrap/>
            <w:vAlign w:val="center"/>
            <w:hideMark/>
          </w:tcPr>
          <w:p w14:paraId="5DAEAD6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36.8</w:t>
            </w:r>
          </w:p>
        </w:tc>
        <w:tc>
          <w:tcPr>
            <w:tcW w:w="545" w:type="dxa"/>
            <w:tcBorders>
              <w:top w:val="nil"/>
              <w:left w:val="nil"/>
              <w:bottom w:val="single" w:sz="8" w:space="0" w:color="DCDDDE"/>
              <w:right w:val="nil"/>
            </w:tcBorders>
            <w:shd w:val="clear" w:color="000000" w:fill="FFFFFF"/>
            <w:noWrap/>
            <w:vAlign w:val="center"/>
            <w:hideMark/>
          </w:tcPr>
          <w:p w14:paraId="113EAB0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37.8</w:t>
            </w:r>
          </w:p>
        </w:tc>
        <w:tc>
          <w:tcPr>
            <w:tcW w:w="545" w:type="dxa"/>
            <w:tcBorders>
              <w:top w:val="nil"/>
              <w:left w:val="nil"/>
              <w:bottom w:val="single" w:sz="8" w:space="0" w:color="DCDDDE"/>
              <w:right w:val="nil"/>
            </w:tcBorders>
            <w:shd w:val="clear" w:color="000000" w:fill="FFFFFF"/>
            <w:noWrap/>
            <w:vAlign w:val="center"/>
            <w:hideMark/>
          </w:tcPr>
          <w:p w14:paraId="2C34BD6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37.7</w:t>
            </w:r>
          </w:p>
        </w:tc>
        <w:tc>
          <w:tcPr>
            <w:tcW w:w="545" w:type="dxa"/>
            <w:tcBorders>
              <w:top w:val="nil"/>
              <w:left w:val="nil"/>
              <w:bottom w:val="single" w:sz="8" w:space="0" w:color="DCDDDE"/>
              <w:right w:val="nil"/>
            </w:tcBorders>
            <w:shd w:val="clear" w:color="000000" w:fill="FFFFFF"/>
            <w:noWrap/>
            <w:vAlign w:val="center"/>
            <w:hideMark/>
          </w:tcPr>
          <w:p w14:paraId="7E5314A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39.1</w:t>
            </w:r>
          </w:p>
        </w:tc>
        <w:tc>
          <w:tcPr>
            <w:tcW w:w="545" w:type="dxa"/>
            <w:tcBorders>
              <w:top w:val="nil"/>
              <w:left w:val="nil"/>
              <w:bottom w:val="single" w:sz="8" w:space="0" w:color="DCDDDE"/>
              <w:right w:val="nil"/>
            </w:tcBorders>
            <w:shd w:val="clear" w:color="000000" w:fill="FFFFFF"/>
            <w:noWrap/>
            <w:vAlign w:val="center"/>
            <w:hideMark/>
          </w:tcPr>
          <w:p w14:paraId="544C044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36.3</w:t>
            </w:r>
          </w:p>
        </w:tc>
        <w:tc>
          <w:tcPr>
            <w:tcW w:w="545" w:type="dxa"/>
            <w:tcBorders>
              <w:top w:val="nil"/>
              <w:left w:val="nil"/>
              <w:bottom w:val="single" w:sz="8" w:space="0" w:color="DCDDDE"/>
              <w:right w:val="nil"/>
            </w:tcBorders>
            <w:shd w:val="clear" w:color="000000" w:fill="FFFFFF"/>
            <w:noWrap/>
            <w:vAlign w:val="center"/>
            <w:hideMark/>
          </w:tcPr>
          <w:p w14:paraId="034D589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35.7</w:t>
            </w:r>
          </w:p>
        </w:tc>
        <w:tc>
          <w:tcPr>
            <w:tcW w:w="545" w:type="dxa"/>
            <w:tcBorders>
              <w:top w:val="nil"/>
              <w:left w:val="nil"/>
              <w:bottom w:val="single" w:sz="8" w:space="0" w:color="DCDDDE"/>
              <w:right w:val="nil"/>
            </w:tcBorders>
            <w:shd w:val="clear" w:color="000000" w:fill="FFFFFF"/>
            <w:noWrap/>
            <w:vAlign w:val="center"/>
            <w:hideMark/>
          </w:tcPr>
          <w:p w14:paraId="494C33D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36.3</w:t>
            </w:r>
          </w:p>
        </w:tc>
        <w:tc>
          <w:tcPr>
            <w:tcW w:w="545" w:type="dxa"/>
            <w:tcBorders>
              <w:top w:val="nil"/>
              <w:left w:val="nil"/>
              <w:bottom w:val="single" w:sz="8" w:space="0" w:color="DCDDDE"/>
              <w:right w:val="nil"/>
            </w:tcBorders>
            <w:shd w:val="clear" w:color="000000" w:fill="FFFFFF"/>
            <w:noWrap/>
            <w:vAlign w:val="center"/>
            <w:hideMark/>
          </w:tcPr>
          <w:p w14:paraId="0B6D34D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37.2</w:t>
            </w:r>
          </w:p>
        </w:tc>
        <w:tc>
          <w:tcPr>
            <w:tcW w:w="550" w:type="dxa"/>
            <w:tcBorders>
              <w:top w:val="nil"/>
              <w:left w:val="nil"/>
              <w:bottom w:val="single" w:sz="8" w:space="0" w:color="DCDDDE"/>
              <w:right w:val="nil"/>
            </w:tcBorders>
            <w:shd w:val="clear" w:color="000000" w:fill="FFFFFF"/>
            <w:noWrap/>
            <w:vAlign w:val="center"/>
            <w:hideMark/>
          </w:tcPr>
          <w:p w14:paraId="7791115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38.4</w:t>
            </w:r>
          </w:p>
        </w:tc>
      </w:tr>
      <w:tr w:rsidR="00D823AE" w:rsidRPr="00D823AE" w14:paraId="31B7C38A" w14:textId="77777777" w:rsidTr="00D823AE">
        <w:trPr>
          <w:trHeight w:val="239"/>
          <w:jc w:val="center"/>
        </w:trPr>
        <w:tc>
          <w:tcPr>
            <w:tcW w:w="8635" w:type="dxa"/>
            <w:gridSpan w:val="15"/>
            <w:tcBorders>
              <w:top w:val="single" w:sz="8" w:space="0" w:color="DCDDDE"/>
              <w:left w:val="nil"/>
              <w:bottom w:val="single" w:sz="8" w:space="0" w:color="DCDDDE"/>
              <w:right w:val="nil"/>
            </w:tcBorders>
            <w:shd w:val="clear" w:color="000000" w:fill="DADADA"/>
            <w:noWrap/>
            <w:vAlign w:val="center"/>
            <w:hideMark/>
          </w:tcPr>
          <w:p w14:paraId="1E72B5DE"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D823AE" w:rsidRPr="00D823AE" w14:paraId="7B4E404A"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71D56051"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45" w:type="dxa"/>
            <w:tcBorders>
              <w:top w:val="nil"/>
              <w:left w:val="nil"/>
              <w:bottom w:val="single" w:sz="8" w:space="0" w:color="DCDDDE"/>
              <w:right w:val="nil"/>
            </w:tcBorders>
            <w:shd w:val="clear" w:color="000000" w:fill="FFFFFF"/>
            <w:noWrap/>
            <w:vAlign w:val="center"/>
            <w:hideMark/>
          </w:tcPr>
          <w:p w14:paraId="21DD05C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10.1</w:t>
            </w:r>
          </w:p>
        </w:tc>
        <w:tc>
          <w:tcPr>
            <w:tcW w:w="545" w:type="dxa"/>
            <w:tcBorders>
              <w:top w:val="nil"/>
              <w:left w:val="nil"/>
              <w:bottom w:val="single" w:sz="8" w:space="0" w:color="DCDDDE"/>
              <w:right w:val="nil"/>
            </w:tcBorders>
            <w:shd w:val="clear" w:color="000000" w:fill="FFFFFF"/>
            <w:noWrap/>
            <w:vAlign w:val="center"/>
            <w:hideMark/>
          </w:tcPr>
          <w:p w14:paraId="3734656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11.5</w:t>
            </w:r>
          </w:p>
        </w:tc>
        <w:tc>
          <w:tcPr>
            <w:tcW w:w="545" w:type="dxa"/>
            <w:tcBorders>
              <w:top w:val="nil"/>
              <w:left w:val="nil"/>
              <w:bottom w:val="single" w:sz="8" w:space="0" w:color="DCDDDE"/>
              <w:right w:val="nil"/>
            </w:tcBorders>
            <w:shd w:val="clear" w:color="000000" w:fill="FFFFFF"/>
            <w:noWrap/>
            <w:vAlign w:val="center"/>
            <w:hideMark/>
          </w:tcPr>
          <w:p w14:paraId="7023421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13AC2BA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11.4</w:t>
            </w:r>
          </w:p>
        </w:tc>
        <w:tc>
          <w:tcPr>
            <w:tcW w:w="545" w:type="dxa"/>
            <w:tcBorders>
              <w:top w:val="nil"/>
              <w:left w:val="nil"/>
              <w:bottom w:val="single" w:sz="8" w:space="0" w:color="DCDDDE"/>
              <w:right w:val="nil"/>
            </w:tcBorders>
            <w:shd w:val="clear" w:color="000000" w:fill="FFFFFF"/>
            <w:noWrap/>
            <w:vAlign w:val="center"/>
            <w:hideMark/>
          </w:tcPr>
          <w:p w14:paraId="4F1271E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13.9</w:t>
            </w:r>
          </w:p>
        </w:tc>
        <w:tc>
          <w:tcPr>
            <w:tcW w:w="545" w:type="dxa"/>
            <w:tcBorders>
              <w:top w:val="nil"/>
              <w:left w:val="nil"/>
              <w:bottom w:val="single" w:sz="8" w:space="0" w:color="DCDDDE"/>
              <w:right w:val="nil"/>
            </w:tcBorders>
            <w:shd w:val="clear" w:color="000000" w:fill="FFFFFF"/>
            <w:noWrap/>
            <w:vAlign w:val="center"/>
            <w:hideMark/>
          </w:tcPr>
          <w:p w14:paraId="11A9013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14.0</w:t>
            </w:r>
          </w:p>
        </w:tc>
        <w:tc>
          <w:tcPr>
            <w:tcW w:w="545" w:type="dxa"/>
            <w:tcBorders>
              <w:top w:val="nil"/>
              <w:left w:val="nil"/>
              <w:bottom w:val="single" w:sz="8" w:space="0" w:color="DCDDDE"/>
              <w:right w:val="nil"/>
            </w:tcBorders>
            <w:shd w:val="clear" w:color="000000" w:fill="FFFFFF"/>
            <w:noWrap/>
            <w:vAlign w:val="center"/>
            <w:hideMark/>
          </w:tcPr>
          <w:p w14:paraId="1BA0615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14.0</w:t>
            </w:r>
          </w:p>
        </w:tc>
        <w:tc>
          <w:tcPr>
            <w:tcW w:w="545" w:type="dxa"/>
            <w:tcBorders>
              <w:top w:val="nil"/>
              <w:left w:val="nil"/>
              <w:bottom w:val="single" w:sz="8" w:space="0" w:color="DCDDDE"/>
              <w:right w:val="nil"/>
            </w:tcBorders>
            <w:shd w:val="clear" w:color="000000" w:fill="FFFFFF"/>
            <w:noWrap/>
            <w:vAlign w:val="center"/>
            <w:hideMark/>
          </w:tcPr>
          <w:p w14:paraId="72C30F9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13.8</w:t>
            </w:r>
          </w:p>
        </w:tc>
        <w:tc>
          <w:tcPr>
            <w:tcW w:w="545" w:type="dxa"/>
            <w:tcBorders>
              <w:top w:val="nil"/>
              <w:left w:val="nil"/>
              <w:bottom w:val="single" w:sz="8" w:space="0" w:color="DCDDDE"/>
              <w:right w:val="nil"/>
            </w:tcBorders>
            <w:shd w:val="clear" w:color="000000" w:fill="FFFFFF"/>
            <w:noWrap/>
            <w:vAlign w:val="center"/>
            <w:hideMark/>
          </w:tcPr>
          <w:p w14:paraId="4039C42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03281F1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12.7</w:t>
            </w:r>
          </w:p>
        </w:tc>
        <w:tc>
          <w:tcPr>
            <w:tcW w:w="545" w:type="dxa"/>
            <w:tcBorders>
              <w:top w:val="nil"/>
              <w:left w:val="nil"/>
              <w:bottom w:val="single" w:sz="8" w:space="0" w:color="DCDDDE"/>
              <w:right w:val="nil"/>
            </w:tcBorders>
            <w:shd w:val="clear" w:color="000000" w:fill="FFFFFF"/>
            <w:noWrap/>
            <w:vAlign w:val="center"/>
            <w:hideMark/>
          </w:tcPr>
          <w:p w14:paraId="353C501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65D8C9A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12.7</w:t>
            </w:r>
          </w:p>
        </w:tc>
        <w:tc>
          <w:tcPr>
            <w:tcW w:w="550" w:type="dxa"/>
            <w:tcBorders>
              <w:top w:val="nil"/>
              <w:left w:val="nil"/>
              <w:bottom w:val="single" w:sz="8" w:space="0" w:color="DCDDDE"/>
              <w:right w:val="nil"/>
            </w:tcBorders>
            <w:shd w:val="clear" w:color="000000" w:fill="FFFFFF"/>
            <w:noWrap/>
            <w:vAlign w:val="center"/>
            <w:hideMark/>
          </w:tcPr>
          <w:p w14:paraId="48BC4FC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13.0</w:t>
            </w:r>
          </w:p>
        </w:tc>
      </w:tr>
      <w:tr w:rsidR="00D823AE" w:rsidRPr="00D823AE" w14:paraId="1FDF4086"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04054867"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9B7521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68D4F87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4D4C212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7CA1AD8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618B5A1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19.5</w:t>
            </w:r>
          </w:p>
        </w:tc>
        <w:tc>
          <w:tcPr>
            <w:tcW w:w="545" w:type="dxa"/>
            <w:tcBorders>
              <w:top w:val="nil"/>
              <w:left w:val="nil"/>
              <w:bottom w:val="single" w:sz="8" w:space="0" w:color="DCDDDE"/>
              <w:right w:val="nil"/>
            </w:tcBorders>
            <w:shd w:val="clear" w:color="000000" w:fill="FFFFFF"/>
            <w:noWrap/>
            <w:vAlign w:val="center"/>
            <w:hideMark/>
          </w:tcPr>
          <w:p w14:paraId="3A0B8E1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6857574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79BD3FB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19.6</w:t>
            </w:r>
          </w:p>
        </w:tc>
        <w:tc>
          <w:tcPr>
            <w:tcW w:w="545" w:type="dxa"/>
            <w:tcBorders>
              <w:top w:val="nil"/>
              <w:left w:val="nil"/>
              <w:bottom w:val="single" w:sz="8" w:space="0" w:color="DCDDDE"/>
              <w:right w:val="nil"/>
            </w:tcBorders>
            <w:shd w:val="clear" w:color="000000" w:fill="FFFFFF"/>
            <w:noWrap/>
            <w:vAlign w:val="center"/>
            <w:hideMark/>
          </w:tcPr>
          <w:p w14:paraId="6C41933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2ABA638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4B88055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13.6</w:t>
            </w:r>
          </w:p>
        </w:tc>
        <w:tc>
          <w:tcPr>
            <w:tcW w:w="545" w:type="dxa"/>
            <w:tcBorders>
              <w:top w:val="nil"/>
              <w:left w:val="nil"/>
              <w:bottom w:val="single" w:sz="8" w:space="0" w:color="DCDDDE"/>
              <w:right w:val="nil"/>
            </w:tcBorders>
            <w:shd w:val="clear" w:color="000000" w:fill="FFFFFF"/>
            <w:noWrap/>
            <w:vAlign w:val="center"/>
            <w:hideMark/>
          </w:tcPr>
          <w:p w14:paraId="3C4173E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13.8</w:t>
            </w:r>
          </w:p>
        </w:tc>
        <w:tc>
          <w:tcPr>
            <w:tcW w:w="550" w:type="dxa"/>
            <w:tcBorders>
              <w:top w:val="nil"/>
              <w:left w:val="nil"/>
              <w:bottom w:val="single" w:sz="8" w:space="0" w:color="DCDDDE"/>
              <w:right w:val="nil"/>
            </w:tcBorders>
            <w:shd w:val="clear" w:color="000000" w:fill="FFFFFF"/>
            <w:noWrap/>
            <w:vAlign w:val="center"/>
            <w:hideMark/>
          </w:tcPr>
          <w:p w14:paraId="36095A7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14.0</w:t>
            </w:r>
          </w:p>
        </w:tc>
      </w:tr>
      <w:tr w:rsidR="00D823AE" w:rsidRPr="00D823AE" w14:paraId="03F05076"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52BB133E"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6DDE250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7E40B41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134A027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194D71E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4B17D9F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6D11251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45C950E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7.6</w:t>
            </w:r>
          </w:p>
        </w:tc>
        <w:tc>
          <w:tcPr>
            <w:tcW w:w="545" w:type="dxa"/>
            <w:tcBorders>
              <w:top w:val="nil"/>
              <w:left w:val="nil"/>
              <w:bottom w:val="single" w:sz="8" w:space="0" w:color="DCDDDE"/>
              <w:right w:val="nil"/>
            </w:tcBorders>
            <w:shd w:val="clear" w:color="000000" w:fill="FFFFFF"/>
            <w:noWrap/>
            <w:vAlign w:val="center"/>
            <w:hideMark/>
          </w:tcPr>
          <w:p w14:paraId="57309A1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7E94095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1038510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5B88AF4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25B9838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9.6</w:t>
            </w:r>
          </w:p>
        </w:tc>
        <w:tc>
          <w:tcPr>
            <w:tcW w:w="550" w:type="dxa"/>
            <w:tcBorders>
              <w:top w:val="nil"/>
              <w:left w:val="nil"/>
              <w:bottom w:val="single" w:sz="8" w:space="0" w:color="DCDDDE"/>
              <w:right w:val="nil"/>
            </w:tcBorders>
            <w:shd w:val="clear" w:color="000000" w:fill="FFFFFF"/>
            <w:noWrap/>
            <w:vAlign w:val="center"/>
            <w:hideMark/>
          </w:tcPr>
          <w:p w14:paraId="58F6824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10.1</w:t>
            </w:r>
          </w:p>
        </w:tc>
      </w:tr>
      <w:tr w:rsidR="00D823AE" w:rsidRPr="00D823AE" w14:paraId="31B9EEF7"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354B659B"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2885C1A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2E61FA8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7FD5F4D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E1F0BD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815027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90BF87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B474B9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92BA46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A4F581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0F24AA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A27F29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9917A1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50" w:type="dxa"/>
            <w:tcBorders>
              <w:top w:val="nil"/>
              <w:left w:val="nil"/>
              <w:bottom w:val="single" w:sz="8" w:space="0" w:color="DCDDDE"/>
              <w:right w:val="nil"/>
            </w:tcBorders>
            <w:shd w:val="clear" w:color="000000" w:fill="FFFFFF"/>
            <w:noWrap/>
            <w:vAlign w:val="center"/>
            <w:hideMark/>
          </w:tcPr>
          <w:p w14:paraId="0D05C74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r>
      <w:tr w:rsidR="00D823AE" w:rsidRPr="00D823AE" w14:paraId="0361BF2D"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45115837"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457211B1"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29.8</w:t>
            </w:r>
          </w:p>
        </w:tc>
        <w:tc>
          <w:tcPr>
            <w:tcW w:w="545" w:type="dxa"/>
            <w:tcBorders>
              <w:top w:val="nil"/>
              <w:left w:val="nil"/>
              <w:bottom w:val="single" w:sz="8" w:space="0" w:color="DCDDDE"/>
              <w:right w:val="nil"/>
            </w:tcBorders>
            <w:shd w:val="clear" w:color="000000" w:fill="FFFFFF"/>
            <w:noWrap/>
            <w:vAlign w:val="center"/>
            <w:hideMark/>
          </w:tcPr>
          <w:p w14:paraId="441D99B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32.3</w:t>
            </w:r>
          </w:p>
        </w:tc>
        <w:tc>
          <w:tcPr>
            <w:tcW w:w="545" w:type="dxa"/>
            <w:tcBorders>
              <w:top w:val="nil"/>
              <w:left w:val="nil"/>
              <w:bottom w:val="single" w:sz="8" w:space="0" w:color="DCDDDE"/>
              <w:right w:val="nil"/>
            </w:tcBorders>
            <w:shd w:val="clear" w:color="000000" w:fill="FFFFFF"/>
            <w:noWrap/>
            <w:vAlign w:val="center"/>
            <w:hideMark/>
          </w:tcPr>
          <w:p w14:paraId="3E9F5A0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34.9</w:t>
            </w:r>
          </w:p>
        </w:tc>
        <w:tc>
          <w:tcPr>
            <w:tcW w:w="545" w:type="dxa"/>
            <w:tcBorders>
              <w:top w:val="nil"/>
              <w:left w:val="nil"/>
              <w:bottom w:val="single" w:sz="8" w:space="0" w:color="DCDDDE"/>
              <w:right w:val="nil"/>
            </w:tcBorders>
            <w:shd w:val="clear" w:color="000000" w:fill="FFFFFF"/>
            <w:noWrap/>
            <w:vAlign w:val="center"/>
            <w:hideMark/>
          </w:tcPr>
          <w:p w14:paraId="024D6FC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39.0</w:t>
            </w:r>
          </w:p>
        </w:tc>
        <w:tc>
          <w:tcPr>
            <w:tcW w:w="545" w:type="dxa"/>
            <w:tcBorders>
              <w:top w:val="nil"/>
              <w:left w:val="nil"/>
              <w:bottom w:val="single" w:sz="8" w:space="0" w:color="DCDDDE"/>
              <w:right w:val="nil"/>
            </w:tcBorders>
            <w:shd w:val="clear" w:color="000000" w:fill="FFFFFF"/>
            <w:noWrap/>
            <w:vAlign w:val="center"/>
            <w:hideMark/>
          </w:tcPr>
          <w:p w14:paraId="6FC5BF5E"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41.9</w:t>
            </w:r>
          </w:p>
        </w:tc>
        <w:tc>
          <w:tcPr>
            <w:tcW w:w="545" w:type="dxa"/>
            <w:tcBorders>
              <w:top w:val="nil"/>
              <w:left w:val="nil"/>
              <w:bottom w:val="single" w:sz="8" w:space="0" w:color="DCDDDE"/>
              <w:right w:val="nil"/>
            </w:tcBorders>
            <w:shd w:val="clear" w:color="000000" w:fill="FFFFFF"/>
            <w:noWrap/>
            <w:vAlign w:val="center"/>
            <w:hideMark/>
          </w:tcPr>
          <w:p w14:paraId="104B5B1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42.5</w:t>
            </w:r>
          </w:p>
        </w:tc>
        <w:tc>
          <w:tcPr>
            <w:tcW w:w="545" w:type="dxa"/>
            <w:tcBorders>
              <w:top w:val="nil"/>
              <w:left w:val="nil"/>
              <w:bottom w:val="single" w:sz="8" w:space="0" w:color="DCDDDE"/>
              <w:right w:val="nil"/>
            </w:tcBorders>
            <w:shd w:val="clear" w:color="000000" w:fill="FFFFFF"/>
            <w:noWrap/>
            <w:vAlign w:val="center"/>
            <w:hideMark/>
          </w:tcPr>
          <w:p w14:paraId="35F20E9E"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42.9</w:t>
            </w:r>
          </w:p>
        </w:tc>
        <w:tc>
          <w:tcPr>
            <w:tcW w:w="545" w:type="dxa"/>
            <w:tcBorders>
              <w:top w:val="nil"/>
              <w:left w:val="nil"/>
              <w:bottom w:val="single" w:sz="8" w:space="0" w:color="DCDDDE"/>
              <w:right w:val="nil"/>
            </w:tcBorders>
            <w:shd w:val="clear" w:color="000000" w:fill="FFFFFF"/>
            <w:noWrap/>
            <w:vAlign w:val="center"/>
            <w:hideMark/>
          </w:tcPr>
          <w:p w14:paraId="2227A30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43.0</w:t>
            </w:r>
          </w:p>
        </w:tc>
        <w:tc>
          <w:tcPr>
            <w:tcW w:w="545" w:type="dxa"/>
            <w:tcBorders>
              <w:top w:val="nil"/>
              <w:left w:val="nil"/>
              <w:bottom w:val="single" w:sz="8" w:space="0" w:color="DCDDDE"/>
              <w:right w:val="nil"/>
            </w:tcBorders>
            <w:shd w:val="clear" w:color="000000" w:fill="FFFFFF"/>
            <w:noWrap/>
            <w:vAlign w:val="center"/>
            <w:hideMark/>
          </w:tcPr>
          <w:p w14:paraId="65A554DF"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37.8</w:t>
            </w:r>
          </w:p>
        </w:tc>
        <w:tc>
          <w:tcPr>
            <w:tcW w:w="545" w:type="dxa"/>
            <w:tcBorders>
              <w:top w:val="nil"/>
              <w:left w:val="nil"/>
              <w:bottom w:val="single" w:sz="8" w:space="0" w:color="DCDDDE"/>
              <w:right w:val="nil"/>
            </w:tcBorders>
            <w:shd w:val="clear" w:color="000000" w:fill="FFFFFF"/>
            <w:noWrap/>
            <w:vAlign w:val="center"/>
            <w:hideMark/>
          </w:tcPr>
          <w:p w14:paraId="12B5E45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36.6</w:t>
            </w:r>
          </w:p>
        </w:tc>
        <w:tc>
          <w:tcPr>
            <w:tcW w:w="545" w:type="dxa"/>
            <w:tcBorders>
              <w:top w:val="nil"/>
              <w:left w:val="nil"/>
              <w:bottom w:val="single" w:sz="8" w:space="0" w:color="DCDDDE"/>
              <w:right w:val="nil"/>
            </w:tcBorders>
            <w:shd w:val="clear" w:color="000000" w:fill="FFFFFF"/>
            <w:noWrap/>
            <w:vAlign w:val="center"/>
            <w:hideMark/>
          </w:tcPr>
          <w:p w14:paraId="67061567"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37.1</w:t>
            </w:r>
          </w:p>
        </w:tc>
        <w:tc>
          <w:tcPr>
            <w:tcW w:w="545" w:type="dxa"/>
            <w:tcBorders>
              <w:top w:val="nil"/>
              <w:left w:val="nil"/>
              <w:bottom w:val="single" w:sz="8" w:space="0" w:color="DCDDDE"/>
              <w:right w:val="nil"/>
            </w:tcBorders>
            <w:shd w:val="clear" w:color="000000" w:fill="FFFFFF"/>
            <w:noWrap/>
            <w:vAlign w:val="center"/>
            <w:hideMark/>
          </w:tcPr>
          <w:p w14:paraId="6F6FFFE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37.8</w:t>
            </w:r>
          </w:p>
        </w:tc>
        <w:tc>
          <w:tcPr>
            <w:tcW w:w="550" w:type="dxa"/>
            <w:tcBorders>
              <w:top w:val="nil"/>
              <w:left w:val="nil"/>
              <w:bottom w:val="single" w:sz="8" w:space="0" w:color="DCDDDE"/>
              <w:right w:val="nil"/>
            </w:tcBorders>
            <w:shd w:val="clear" w:color="000000" w:fill="FFFFFF"/>
            <w:noWrap/>
            <w:vAlign w:val="center"/>
            <w:hideMark/>
          </w:tcPr>
          <w:p w14:paraId="36B9724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38.7</w:t>
            </w:r>
          </w:p>
        </w:tc>
      </w:tr>
      <w:tr w:rsidR="00D823AE" w:rsidRPr="00D823AE" w14:paraId="250CA81D" w14:textId="77777777" w:rsidTr="00D823AE">
        <w:trPr>
          <w:trHeight w:val="239"/>
          <w:jc w:val="center"/>
        </w:trPr>
        <w:tc>
          <w:tcPr>
            <w:tcW w:w="8635" w:type="dxa"/>
            <w:gridSpan w:val="15"/>
            <w:tcBorders>
              <w:top w:val="single" w:sz="8" w:space="0" w:color="DCDDDE"/>
              <w:left w:val="nil"/>
              <w:bottom w:val="single" w:sz="8" w:space="0" w:color="DCDDDE"/>
              <w:right w:val="nil"/>
            </w:tcBorders>
            <w:shd w:val="clear" w:color="000000" w:fill="DADADA"/>
            <w:noWrap/>
            <w:vAlign w:val="center"/>
            <w:hideMark/>
          </w:tcPr>
          <w:p w14:paraId="57EFC95C"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D823AE" w:rsidRPr="00D823AE" w14:paraId="169D555D"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719A244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45" w:type="dxa"/>
            <w:tcBorders>
              <w:top w:val="nil"/>
              <w:left w:val="nil"/>
              <w:bottom w:val="single" w:sz="8" w:space="0" w:color="DCDDDE"/>
              <w:right w:val="nil"/>
            </w:tcBorders>
            <w:shd w:val="clear" w:color="000000" w:fill="FFFFFF"/>
            <w:noWrap/>
            <w:vAlign w:val="center"/>
            <w:hideMark/>
          </w:tcPr>
          <w:p w14:paraId="416E4CB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12.3</w:t>
            </w:r>
          </w:p>
        </w:tc>
        <w:tc>
          <w:tcPr>
            <w:tcW w:w="545" w:type="dxa"/>
            <w:tcBorders>
              <w:top w:val="nil"/>
              <w:left w:val="nil"/>
              <w:bottom w:val="single" w:sz="8" w:space="0" w:color="DCDDDE"/>
              <w:right w:val="nil"/>
            </w:tcBorders>
            <w:shd w:val="clear" w:color="000000" w:fill="FFFFFF"/>
            <w:noWrap/>
            <w:vAlign w:val="center"/>
            <w:hideMark/>
          </w:tcPr>
          <w:p w14:paraId="3F813C9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15.7</w:t>
            </w:r>
          </w:p>
        </w:tc>
        <w:tc>
          <w:tcPr>
            <w:tcW w:w="545" w:type="dxa"/>
            <w:tcBorders>
              <w:top w:val="nil"/>
              <w:left w:val="nil"/>
              <w:bottom w:val="single" w:sz="8" w:space="0" w:color="DCDDDE"/>
              <w:right w:val="nil"/>
            </w:tcBorders>
            <w:shd w:val="clear" w:color="000000" w:fill="FFFFFF"/>
            <w:noWrap/>
            <w:vAlign w:val="center"/>
            <w:hideMark/>
          </w:tcPr>
          <w:p w14:paraId="5BFDD38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33A8D31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16.7</w:t>
            </w:r>
          </w:p>
        </w:tc>
        <w:tc>
          <w:tcPr>
            <w:tcW w:w="545" w:type="dxa"/>
            <w:tcBorders>
              <w:top w:val="nil"/>
              <w:left w:val="nil"/>
              <w:bottom w:val="single" w:sz="8" w:space="0" w:color="DCDDDE"/>
              <w:right w:val="nil"/>
            </w:tcBorders>
            <w:shd w:val="clear" w:color="000000" w:fill="FFFFFF"/>
            <w:noWrap/>
            <w:vAlign w:val="center"/>
            <w:hideMark/>
          </w:tcPr>
          <w:p w14:paraId="6EB7B6A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16.6</w:t>
            </w:r>
          </w:p>
        </w:tc>
        <w:tc>
          <w:tcPr>
            <w:tcW w:w="545" w:type="dxa"/>
            <w:tcBorders>
              <w:top w:val="nil"/>
              <w:left w:val="nil"/>
              <w:bottom w:val="single" w:sz="8" w:space="0" w:color="DCDDDE"/>
              <w:right w:val="nil"/>
            </w:tcBorders>
            <w:shd w:val="clear" w:color="000000" w:fill="FFFFFF"/>
            <w:noWrap/>
            <w:vAlign w:val="center"/>
            <w:hideMark/>
          </w:tcPr>
          <w:p w14:paraId="18E8256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20.3</w:t>
            </w:r>
          </w:p>
        </w:tc>
        <w:tc>
          <w:tcPr>
            <w:tcW w:w="545" w:type="dxa"/>
            <w:tcBorders>
              <w:top w:val="nil"/>
              <w:left w:val="nil"/>
              <w:bottom w:val="single" w:sz="8" w:space="0" w:color="DCDDDE"/>
              <w:right w:val="nil"/>
            </w:tcBorders>
            <w:shd w:val="clear" w:color="000000" w:fill="FFFFFF"/>
            <w:noWrap/>
            <w:vAlign w:val="center"/>
            <w:hideMark/>
          </w:tcPr>
          <w:p w14:paraId="1CF095F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54B54C7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18.8</w:t>
            </w:r>
          </w:p>
        </w:tc>
        <w:tc>
          <w:tcPr>
            <w:tcW w:w="545" w:type="dxa"/>
            <w:tcBorders>
              <w:top w:val="nil"/>
              <w:left w:val="nil"/>
              <w:bottom w:val="single" w:sz="8" w:space="0" w:color="DCDDDE"/>
              <w:right w:val="nil"/>
            </w:tcBorders>
            <w:shd w:val="clear" w:color="000000" w:fill="FFFFFF"/>
            <w:noWrap/>
            <w:vAlign w:val="center"/>
            <w:hideMark/>
          </w:tcPr>
          <w:p w14:paraId="4A434C1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12CC016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17.6</w:t>
            </w:r>
          </w:p>
        </w:tc>
        <w:tc>
          <w:tcPr>
            <w:tcW w:w="545" w:type="dxa"/>
            <w:tcBorders>
              <w:top w:val="nil"/>
              <w:left w:val="nil"/>
              <w:bottom w:val="single" w:sz="8" w:space="0" w:color="DCDDDE"/>
              <w:right w:val="nil"/>
            </w:tcBorders>
            <w:shd w:val="clear" w:color="000000" w:fill="FFFFFF"/>
            <w:noWrap/>
            <w:vAlign w:val="center"/>
            <w:hideMark/>
          </w:tcPr>
          <w:p w14:paraId="375E927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16.9</w:t>
            </w:r>
          </w:p>
        </w:tc>
        <w:tc>
          <w:tcPr>
            <w:tcW w:w="545" w:type="dxa"/>
            <w:tcBorders>
              <w:top w:val="nil"/>
              <w:left w:val="nil"/>
              <w:bottom w:val="single" w:sz="8" w:space="0" w:color="DCDDDE"/>
              <w:right w:val="nil"/>
            </w:tcBorders>
            <w:shd w:val="clear" w:color="000000" w:fill="FFFFFF"/>
            <w:noWrap/>
            <w:vAlign w:val="center"/>
            <w:hideMark/>
          </w:tcPr>
          <w:p w14:paraId="422625C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16.3</w:t>
            </w:r>
          </w:p>
        </w:tc>
        <w:tc>
          <w:tcPr>
            <w:tcW w:w="550" w:type="dxa"/>
            <w:tcBorders>
              <w:top w:val="nil"/>
              <w:left w:val="nil"/>
              <w:bottom w:val="single" w:sz="8" w:space="0" w:color="DCDDDE"/>
              <w:right w:val="nil"/>
            </w:tcBorders>
            <w:shd w:val="clear" w:color="000000" w:fill="FFFFFF"/>
            <w:noWrap/>
            <w:vAlign w:val="center"/>
            <w:hideMark/>
          </w:tcPr>
          <w:p w14:paraId="4C849D8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16.0</w:t>
            </w:r>
          </w:p>
        </w:tc>
      </w:tr>
      <w:tr w:rsidR="00D823AE" w:rsidRPr="00D823AE" w14:paraId="7EE32E07"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2CE07F2B"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B7B58C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060ABBE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64D7DB1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47FE094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77B7D56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19.5</w:t>
            </w:r>
          </w:p>
        </w:tc>
        <w:tc>
          <w:tcPr>
            <w:tcW w:w="545" w:type="dxa"/>
            <w:tcBorders>
              <w:top w:val="nil"/>
              <w:left w:val="nil"/>
              <w:bottom w:val="single" w:sz="8" w:space="0" w:color="DCDDDE"/>
              <w:right w:val="nil"/>
            </w:tcBorders>
            <w:shd w:val="clear" w:color="000000" w:fill="FFFFFF"/>
            <w:noWrap/>
            <w:vAlign w:val="center"/>
            <w:hideMark/>
          </w:tcPr>
          <w:p w14:paraId="6282584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3D81C53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3677502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19.6</w:t>
            </w:r>
          </w:p>
        </w:tc>
        <w:tc>
          <w:tcPr>
            <w:tcW w:w="545" w:type="dxa"/>
            <w:tcBorders>
              <w:top w:val="nil"/>
              <w:left w:val="nil"/>
              <w:bottom w:val="single" w:sz="8" w:space="0" w:color="DCDDDE"/>
              <w:right w:val="nil"/>
            </w:tcBorders>
            <w:shd w:val="clear" w:color="000000" w:fill="FFFFFF"/>
            <w:noWrap/>
            <w:vAlign w:val="center"/>
            <w:hideMark/>
          </w:tcPr>
          <w:p w14:paraId="1A4BCAF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68B5CF1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21D6F7D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13.6</w:t>
            </w:r>
          </w:p>
        </w:tc>
        <w:tc>
          <w:tcPr>
            <w:tcW w:w="545" w:type="dxa"/>
            <w:tcBorders>
              <w:top w:val="nil"/>
              <w:left w:val="nil"/>
              <w:bottom w:val="single" w:sz="8" w:space="0" w:color="DCDDDE"/>
              <w:right w:val="nil"/>
            </w:tcBorders>
            <w:shd w:val="clear" w:color="000000" w:fill="FFFFFF"/>
            <w:noWrap/>
            <w:vAlign w:val="center"/>
            <w:hideMark/>
          </w:tcPr>
          <w:p w14:paraId="4EEE629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13.8</w:t>
            </w:r>
          </w:p>
        </w:tc>
        <w:tc>
          <w:tcPr>
            <w:tcW w:w="550" w:type="dxa"/>
            <w:tcBorders>
              <w:top w:val="nil"/>
              <w:left w:val="nil"/>
              <w:bottom w:val="single" w:sz="8" w:space="0" w:color="DCDDDE"/>
              <w:right w:val="nil"/>
            </w:tcBorders>
            <w:shd w:val="clear" w:color="000000" w:fill="FFFFFF"/>
            <w:noWrap/>
            <w:vAlign w:val="center"/>
            <w:hideMark/>
          </w:tcPr>
          <w:p w14:paraId="2A4A491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14.0</w:t>
            </w:r>
          </w:p>
        </w:tc>
      </w:tr>
      <w:tr w:rsidR="00D823AE" w:rsidRPr="00D823AE" w14:paraId="55A9A0F4"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6C69BC99"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F7535B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3E9B6CC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6BA7DA7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2174E37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1C473D2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7401AA6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7EF2215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7.6</w:t>
            </w:r>
          </w:p>
        </w:tc>
        <w:tc>
          <w:tcPr>
            <w:tcW w:w="545" w:type="dxa"/>
            <w:tcBorders>
              <w:top w:val="nil"/>
              <w:left w:val="nil"/>
              <w:bottom w:val="single" w:sz="8" w:space="0" w:color="DCDDDE"/>
              <w:right w:val="nil"/>
            </w:tcBorders>
            <w:shd w:val="clear" w:color="000000" w:fill="FFFFFF"/>
            <w:noWrap/>
            <w:vAlign w:val="center"/>
            <w:hideMark/>
          </w:tcPr>
          <w:p w14:paraId="29F5887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4B819EF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46BD349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639849A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644F0EC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9.6</w:t>
            </w:r>
          </w:p>
        </w:tc>
        <w:tc>
          <w:tcPr>
            <w:tcW w:w="550" w:type="dxa"/>
            <w:tcBorders>
              <w:top w:val="nil"/>
              <w:left w:val="nil"/>
              <w:bottom w:val="single" w:sz="8" w:space="0" w:color="DCDDDE"/>
              <w:right w:val="nil"/>
            </w:tcBorders>
            <w:shd w:val="clear" w:color="000000" w:fill="FFFFFF"/>
            <w:noWrap/>
            <w:vAlign w:val="center"/>
            <w:hideMark/>
          </w:tcPr>
          <w:p w14:paraId="47F679C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10.1</w:t>
            </w:r>
          </w:p>
        </w:tc>
      </w:tr>
      <w:tr w:rsidR="00D823AE" w:rsidRPr="00D823AE" w14:paraId="39C2BABD"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67908130"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2DB8F26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2B37CC0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69A2ED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3404885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CF0147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14E6B1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86FBC0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18D54D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5FCEFC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3387BB8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931E4C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A22DC7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50" w:type="dxa"/>
            <w:tcBorders>
              <w:top w:val="nil"/>
              <w:left w:val="nil"/>
              <w:bottom w:val="single" w:sz="8" w:space="0" w:color="DCDDDE"/>
              <w:right w:val="nil"/>
            </w:tcBorders>
            <w:shd w:val="clear" w:color="000000" w:fill="FFFFFF"/>
            <w:noWrap/>
            <w:vAlign w:val="center"/>
            <w:hideMark/>
          </w:tcPr>
          <w:p w14:paraId="766FCAC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r>
      <w:tr w:rsidR="00D823AE" w:rsidRPr="00D823AE" w14:paraId="1D0109A7"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7E82B01C"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76AB1F00"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32.0</w:t>
            </w:r>
          </w:p>
        </w:tc>
        <w:tc>
          <w:tcPr>
            <w:tcW w:w="545" w:type="dxa"/>
            <w:tcBorders>
              <w:top w:val="nil"/>
              <w:left w:val="nil"/>
              <w:bottom w:val="single" w:sz="8" w:space="0" w:color="DCDDDE"/>
              <w:right w:val="nil"/>
            </w:tcBorders>
            <w:shd w:val="clear" w:color="000000" w:fill="FFFFFF"/>
            <w:noWrap/>
            <w:vAlign w:val="center"/>
            <w:hideMark/>
          </w:tcPr>
          <w:p w14:paraId="1DD1348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36.6</w:t>
            </w:r>
          </w:p>
        </w:tc>
        <w:tc>
          <w:tcPr>
            <w:tcW w:w="545" w:type="dxa"/>
            <w:tcBorders>
              <w:top w:val="nil"/>
              <w:left w:val="nil"/>
              <w:bottom w:val="single" w:sz="8" w:space="0" w:color="DCDDDE"/>
              <w:right w:val="nil"/>
            </w:tcBorders>
            <w:shd w:val="clear" w:color="000000" w:fill="FFFFFF"/>
            <w:noWrap/>
            <w:vAlign w:val="center"/>
            <w:hideMark/>
          </w:tcPr>
          <w:p w14:paraId="7DD88CFB"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39.7</w:t>
            </w:r>
          </w:p>
        </w:tc>
        <w:tc>
          <w:tcPr>
            <w:tcW w:w="545" w:type="dxa"/>
            <w:tcBorders>
              <w:top w:val="nil"/>
              <w:left w:val="nil"/>
              <w:bottom w:val="single" w:sz="8" w:space="0" w:color="DCDDDE"/>
              <w:right w:val="nil"/>
            </w:tcBorders>
            <w:shd w:val="clear" w:color="000000" w:fill="FFFFFF"/>
            <w:noWrap/>
            <w:vAlign w:val="center"/>
            <w:hideMark/>
          </w:tcPr>
          <w:p w14:paraId="77A58200"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44.3</w:t>
            </w:r>
          </w:p>
        </w:tc>
        <w:tc>
          <w:tcPr>
            <w:tcW w:w="545" w:type="dxa"/>
            <w:tcBorders>
              <w:top w:val="nil"/>
              <w:left w:val="nil"/>
              <w:bottom w:val="single" w:sz="8" w:space="0" w:color="DCDDDE"/>
              <w:right w:val="nil"/>
            </w:tcBorders>
            <w:shd w:val="clear" w:color="000000" w:fill="FFFFFF"/>
            <w:noWrap/>
            <w:vAlign w:val="center"/>
            <w:hideMark/>
          </w:tcPr>
          <w:p w14:paraId="23792DEB"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44.7</w:t>
            </w:r>
          </w:p>
        </w:tc>
        <w:tc>
          <w:tcPr>
            <w:tcW w:w="545" w:type="dxa"/>
            <w:tcBorders>
              <w:top w:val="nil"/>
              <w:left w:val="nil"/>
              <w:bottom w:val="single" w:sz="8" w:space="0" w:color="DCDDDE"/>
              <w:right w:val="nil"/>
            </w:tcBorders>
            <w:shd w:val="clear" w:color="000000" w:fill="FFFFFF"/>
            <w:noWrap/>
            <w:vAlign w:val="center"/>
            <w:hideMark/>
          </w:tcPr>
          <w:p w14:paraId="7AE343D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48.8</w:t>
            </w:r>
          </w:p>
        </w:tc>
        <w:tc>
          <w:tcPr>
            <w:tcW w:w="545" w:type="dxa"/>
            <w:tcBorders>
              <w:top w:val="nil"/>
              <w:left w:val="nil"/>
              <w:bottom w:val="single" w:sz="8" w:space="0" w:color="DCDDDE"/>
              <w:right w:val="nil"/>
            </w:tcBorders>
            <w:shd w:val="clear" w:color="000000" w:fill="FFFFFF"/>
            <w:noWrap/>
            <w:vAlign w:val="center"/>
            <w:hideMark/>
          </w:tcPr>
          <w:p w14:paraId="7BAEAD80"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48.2</w:t>
            </w:r>
          </w:p>
        </w:tc>
        <w:tc>
          <w:tcPr>
            <w:tcW w:w="545" w:type="dxa"/>
            <w:tcBorders>
              <w:top w:val="nil"/>
              <w:left w:val="nil"/>
              <w:bottom w:val="single" w:sz="8" w:space="0" w:color="DCDDDE"/>
              <w:right w:val="nil"/>
            </w:tcBorders>
            <w:shd w:val="clear" w:color="000000" w:fill="FFFFFF"/>
            <w:noWrap/>
            <w:vAlign w:val="center"/>
            <w:hideMark/>
          </w:tcPr>
          <w:p w14:paraId="7743076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48.0</w:t>
            </w:r>
          </w:p>
        </w:tc>
        <w:tc>
          <w:tcPr>
            <w:tcW w:w="545" w:type="dxa"/>
            <w:tcBorders>
              <w:top w:val="nil"/>
              <w:left w:val="nil"/>
              <w:bottom w:val="single" w:sz="8" w:space="0" w:color="DCDDDE"/>
              <w:right w:val="nil"/>
            </w:tcBorders>
            <w:shd w:val="clear" w:color="000000" w:fill="FFFFFF"/>
            <w:noWrap/>
            <w:vAlign w:val="center"/>
            <w:hideMark/>
          </w:tcPr>
          <w:p w14:paraId="617FD6A7"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43.4</w:t>
            </w:r>
          </w:p>
        </w:tc>
        <w:tc>
          <w:tcPr>
            <w:tcW w:w="545" w:type="dxa"/>
            <w:tcBorders>
              <w:top w:val="nil"/>
              <w:left w:val="nil"/>
              <w:bottom w:val="single" w:sz="8" w:space="0" w:color="DCDDDE"/>
              <w:right w:val="nil"/>
            </w:tcBorders>
            <w:shd w:val="clear" w:color="000000" w:fill="FFFFFF"/>
            <w:noWrap/>
            <w:vAlign w:val="center"/>
            <w:hideMark/>
          </w:tcPr>
          <w:p w14:paraId="005AB597"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41.6</w:t>
            </w:r>
          </w:p>
        </w:tc>
        <w:tc>
          <w:tcPr>
            <w:tcW w:w="545" w:type="dxa"/>
            <w:tcBorders>
              <w:top w:val="nil"/>
              <w:left w:val="nil"/>
              <w:bottom w:val="single" w:sz="8" w:space="0" w:color="DCDDDE"/>
              <w:right w:val="nil"/>
            </w:tcBorders>
            <w:shd w:val="clear" w:color="000000" w:fill="FFFFFF"/>
            <w:noWrap/>
            <w:vAlign w:val="center"/>
            <w:hideMark/>
          </w:tcPr>
          <w:p w14:paraId="32F50B11"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41.3</w:t>
            </w:r>
          </w:p>
        </w:tc>
        <w:tc>
          <w:tcPr>
            <w:tcW w:w="545" w:type="dxa"/>
            <w:tcBorders>
              <w:top w:val="nil"/>
              <w:left w:val="nil"/>
              <w:bottom w:val="single" w:sz="8" w:space="0" w:color="DCDDDE"/>
              <w:right w:val="nil"/>
            </w:tcBorders>
            <w:shd w:val="clear" w:color="000000" w:fill="FFFFFF"/>
            <w:noWrap/>
            <w:vAlign w:val="center"/>
            <w:hideMark/>
          </w:tcPr>
          <w:p w14:paraId="7DB6614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41.3</w:t>
            </w:r>
          </w:p>
        </w:tc>
        <w:tc>
          <w:tcPr>
            <w:tcW w:w="550" w:type="dxa"/>
            <w:tcBorders>
              <w:top w:val="nil"/>
              <w:left w:val="nil"/>
              <w:bottom w:val="single" w:sz="8" w:space="0" w:color="DCDDDE"/>
              <w:right w:val="nil"/>
            </w:tcBorders>
            <w:shd w:val="clear" w:color="000000" w:fill="FFFFFF"/>
            <w:noWrap/>
            <w:vAlign w:val="center"/>
            <w:hideMark/>
          </w:tcPr>
          <w:p w14:paraId="58BE70F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41.8</w:t>
            </w:r>
          </w:p>
        </w:tc>
      </w:tr>
      <w:tr w:rsidR="00D823AE" w:rsidRPr="00D823AE" w14:paraId="55337972" w14:textId="77777777" w:rsidTr="00D823AE">
        <w:trPr>
          <w:trHeight w:val="239"/>
          <w:jc w:val="center"/>
        </w:trPr>
        <w:tc>
          <w:tcPr>
            <w:tcW w:w="8635" w:type="dxa"/>
            <w:gridSpan w:val="15"/>
            <w:tcBorders>
              <w:top w:val="single" w:sz="8" w:space="0" w:color="DCDDDE"/>
              <w:left w:val="nil"/>
              <w:bottom w:val="single" w:sz="8" w:space="0" w:color="DCDDDE"/>
              <w:right w:val="nil"/>
            </w:tcBorders>
            <w:shd w:val="clear" w:color="000000" w:fill="DADADA"/>
            <w:noWrap/>
            <w:vAlign w:val="center"/>
            <w:hideMark/>
          </w:tcPr>
          <w:p w14:paraId="4BDC158C"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D823AE" w:rsidRPr="00D823AE" w14:paraId="77C5CDE3"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32C6DF3C"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45" w:type="dxa"/>
            <w:tcBorders>
              <w:top w:val="nil"/>
              <w:left w:val="nil"/>
              <w:bottom w:val="single" w:sz="8" w:space="0" w:color="DCDDDE"/>
              <w:right w:val="nil"/>
            </w:tcBorders>
            <w:shd w:val="clear" w:color="000000" w:fill="FFFFFF"/>
            <w:noWrap/>
            <w:vAlign w:val="center"/>
            <w:hideMark/>
          </w:tcPr>
          <w:p w14:paraId="126ECBF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11.5</w:t>
            </w:r>
          </w:p>
        </w:tc>
        <w:tc>
          <w:tcPr>
            <w:tcW w:w="545" w:type="dxa"/>
            <w:tcBorders>
              <w:top w:val="nil"/>
              <w:left w:val="nil"/>
              <w:bottom w:val="single" w:sz="8" w:space="0" w:color="DCDDDE"/>
              <w:right w:val="nil"/>
            </w:tcBorders>
            <w:shd w:val="clear" w:color="000000" w:fill="FFFFFF"/>
            <w:noWrap/>
            <w:vAlign w:val="center"/>
            <w:hideMark/>
          </w:tcPr>
          <w:p w14:paraId="3F930A3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06FC7B4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12.4</w:t>
            </w:r>
          </w:p>
        </w:tc>
        <w:tc>
          <w:tcPr>
            <w:tcW w:w="545" w:type="dxa"/>
            <w:tcBorders>
              <w:top w:val="nil"/>
              <w:left w:val="nil"/>
              <w:bottom w:val="single" w:sz="8" w:space="0" w:color="DCDDDE"/>
              <w:right w:val="nil"/>
            </w:tcBorders>
            <w:shd w:val="clear" w:color="000000" w:fill="FFFFFF"/>
            <w:noWrap/>
            <w:vAlign w:val="center"/>
            <w:hideMark/>
          </w:tcPr>
          <w:p w14:paraId="1F12710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12.9</w:t>
            </w:r>
          </w:p>
        </w:tc>
        <w:tc>
          <w:tcPr>
            <w:tcW w:w="545" w:type="dxa"/>
            <w:tcBorders>
              <w:top w:val="nil"/>
              <w:left w:val="nil"/>
              <w:bottom w:val="single" w:sz="8" w:space="0" w:color="DCDDDE"/>
              <w:right w:val="nil"/>
            </w:tcBorders>
            <w:shd w:val="clear" w:color="000000" w:fill="FFFFFF"/>
            <w:noWrap/>
            <w:vAlign w:val="center"/>
            <w:hideMark/>
          </w:tcPr>
          <w:p w14:paraId="21877E7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660AD83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14.7</w:t>
            </w:r>
          </w:p>
        </w:tc>
        <w:tc>
          <w:tcPr>
            <w:tcW w:w="545" w:type="dxa"/>
            <w:tcBorders>
              <w:top w:val="nil"/>
              <w:left w:val="nil"/>
              <w:bottom w:val="single" w:sz="8" w:space="0" w:color="DCDDDE"/>
              <w:right w:val="nil"/>
            </w:tcBorders>
            <w:shd w:val="clear" w:color="000000" w:fill="FFFFFF"/>
            <w:noWrap/>
            <w:vAlign w:val="center"/>
            <w:hideMark/>
          </w:tcPr>
          <w:p w14:paraId="4916B3E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070004D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14.7</w:t>
            </w:r>
          </w:p>
        </w:tc>
        <w:tc>
          <w:tcPr>
            <w:tcW w:w="545" w:type="dxa"/>
            <w:tcBorders>
              <w:top w:val="nil"/>
              <w:left w:val="nil"/>
              <w:bottom w:val="single" w:sz="8" w:space="0" w:color="DCDDDE"/>
              <w:right w:val="nil"/>
            </w:tcBorders>
            <w:shd w:val="clear" w:color="000000" w:fill="FFFFFF"/>
            <w:noWrap/>
            <w:vAlign w:val="center"/>
            <w:hideMark/>
          </w:tcPr>
          <w:p w14:paraId="26C6DC9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3608511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781B8B7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53C313B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14.4</w:t>
            </w:r>
          </w:p>
        </w:tc>
        <w:tc>
          <w:tcPr>
            <w:tcW w:w="550" w:type="dxa"/>
            <w:tcBorders>
              <w:top w:val="nil"/>
              <w:left w:val="nil"/>
              <w:bottom w:val="single" w:sz="8" w:space="0" w:color="DCDDDE"/>
              <w:right w:val="nil"/>
            </w:tcBorders>
            <w:shd w:val="clear" w:color="000000" w:fill="FFFFFF"/>
            <w:noWrap/>
            <w:vAlign w:val="center"/>
            <w:hideMark/>
          </w:tcPr>
          <w:p w14:paraId="7DD88DD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15.3</w:t>
            </w:r>
          </w:p>
        </w:tc>
      </w:tr>
      <w:tr w:rsidR="00D823AE" w:rsidRPr="00D823AE" w14:paraId="2253942D"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7A786F94"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95D732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111893A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76E4ABA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3D9A24E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5D864F8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19.5</w:t>
            </w:r>
          </w:p>
        </w:tc>
        <w:tc>
          <w:tcPr>
            <w:tcW w:w="545" w:type="dxa"/>
            <w:tcBorders>
              <w:top w:val="nil"/>
              <w:left w:val="nil"/>
              <w:bottom w:val="single" w:sz="8" w:space="0" w:color="DCDDDE"/>
              <w:right w:val="nil"/>
            </w:tcBorders>
            <w:shd w:val="clear" w:color="000000" w:fill="FFFFFF"/>
            <w:noWrap/>
            <w:vAlign w:val="center"/>
            <w:hideMark/>
          </w:tcPr>
          <w:p w14:paraId="04A54B2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543FF21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3437A35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19.6</w:t>
            </w:r>
          </w:p>
        </w:tc>
        <w:tc>
          <w:tcPr>
            <w:tcW w:w="545" w:type="dxa"/>
            <w:tcBorders>
              <w:top w:val="nil"/>
              <w:left w:val="nil"/>
              <w:bottom w:val="single" w:sz="8" w:space="0" w:color="DCDDDE"/>
              <w:right w:val="nil"/>
            </w:tcBorders>
            <w:shd w:val="clear" w:color="000000" w:fill="FFFFFF"/>
            <w:noWrap/>
            <w:vAlign w:val="center"/>
            <w:hideMark/>
          </w:tcPr>
          <w:p w14:paraId="5583116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203FAED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4622D20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13.6</w:t>
            </w:r>
          </w:p>
        </w:tc>
        <w:tc>
          <w:tcPr>
            <w:tcW w:w="545" w:type="dxa"/>
            <w:tcBorders>
              <w:top w:val="nil"/>
              <w:left w:val="nil"/>
              <w:bottom w:val="single" w:sz="8" w:space="0" w:color="DCDDDE"/>
              <w:right w:val="nil"/>
            </w:tcBorders>
            <w:shd w:val="clear" w:color="000000" w:fill="FFFFFF"/>
            <w:noWrap/>
            <w:vAlign w:val="center"/>
            <w:hideMark/>
          </w:tcPr>
          <w:p w14:paraId="40DF6C2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13.8</w:t>
            </w:r>
          </w:p>
        </w:tc>
        <w:tc>
          <w:tcPr>
            <w:tcW w:w="550" w:type="dxa"/>
            <w:tcBorders>
              <w:top w:val="nil"/>
              <w:left w:val="nil"/>
              <w:bottom w:val="single" w:sz="8" w:space="0" w:color="DCDDDE"/>
              <w:right w:val="nil"/>
            </w:tcBorders>
            <w:shd w:val="clear" w:color="000000" w:fill="FFFFFF"/>
            <w:noWrap/>
            <w:vAlign w:val="center"/>
            <w:hideMark/>
          </w:tcPr>
          <w:p w14:paraId="5644A3F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14.0</w:t>
            </w:r>
          </w:p>
        </w:tc>
      </w:tr>
      <w:tr w:rsidR="00D823AE" w:rsidRPr="00D823AE" w14:paraId="155897AE"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7B683A77"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6897E94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26DE3BC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36A78D4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54E44DD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558AF18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4E61436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046495F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7.6</w:t>
            </w:r>
          </w:p>
        </w:tc>
        <w:tc>
          <w:tcPr>
            <w:tcW w:w="545" w:type="dxa"/>
            <w:tcBorders>
              <w:top w:val="nil"/>
              <w:left w:val="nil"/>
              <w:bottom w:val="single" w:sz="8" w:space="0" w:color="DCDDDE"/>
              <w:right w:val="nil"/>
            </w:tcBorders>
            <w:shd w:val="clear" w:color="000000" w:fill="FFFFFF"/>
            <w:noWrap/>
            <w:vAlign w:val="center"/>
            <w:hideMark/>
          </w:tcPr>
          <w:p w14:paraId="21D94D9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28826A2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2E3035C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0A8B458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1BF6C45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9.6</w:t>
            </w:r>
          </w:p>
        </w:tc>
        <w:tc>
          <w:tcPr>
            <w:tcW w:w="550" w:type="dxa"/>
            <w:tcBorders>
              <w:top w:val="nil"/>
              <w:left w:val="nil"/>
              <w:bottom w:val="single" w:sz="8" w:space="0" w:color="DCDDDE"/>
              <w:right w:val="nil"/>
            </w:tcBorders>
            <w:shd w:val="clear" w:color="000000" w:fill="FFFFFF"/>
            <w:noWrap/>
            <w:vAlign w:val="center"/>
            <w:hideMark/>
          </w:tcPr>
          <w:p w14:paraId="64D6892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10.1</w:t>
            </w:r>
          </w:p>
        </w:tc>
      </w:tr>
      <w:tr w:rsidR="00D823AE" w:rsidRPr="00D823AE" w14:paraId="162FBB82"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02BFA104"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0C90CFC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2A7FB70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009E293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E9FA96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E3215F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2818E0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F319E1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D89ECF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F554E4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6A98FC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1FD9AC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927F48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50" w:type="dxa"/>
            <w:tcBorders>
              <w:top w:val="nil"/>
              <w:left w:val="nil"/>
              <w:bottom w:val="single" w:sz="8" w:space="0" w:color="DCDDDE"/>
              <w:right w:val="nil"/>
            </w:tcBorders>
            <w:shd w:val="clear" w:color="000000" w:fill="FFFFFF"/>
            <w:noWrap/>
            <w:vAlign w:val="center"/>
            <w:hideMark/>
          </w:tcPr>
          <w:p w14:paraId="5CDC9AE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r>
      <w:tr w:rsidR="00D823AE" w:rsidRPr="00D823AE" w14:paraId="299BD05A"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40391C0E"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69F616E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31.2</w:t>
            </w:r>
          </w:p>
        </w:tc>
        <w:tc>
          <w:tcPr>
            <w:tcW w:w="545" w:type="dxa"/>
            <w:tcBorders>
              <w:top w:val="nil"/>
              <w:left w:val="nil"/>
              <w:bottom w:val="single" w:sz="8" w:space="0" w:color="DCDDDE"/>
              <w:right w:val="nil"/>
            </w:tcBorders>
            <w:shd w:val="clear" w:color="000000" w:fill="FFFFFF"/>
            <w:noWrap/>
            <w:vAlign w:val="center"/>
            <w:hideMark/>
          </w:tcPr>
          <w:p w14:paraId="20D9A99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34.4</w:t>
            </w:r>
          </w:p>
        </w:tc>
        <w:tc>
          <w:tcPr>
            <w:tcW w:w="545" w:type="dxa"/>
            <w:tcBorders>
              <w:top w:val="nil"/>
              <w:left w:val="nil"/>
              <w:bottom w:val="single" w:sz="8" w:space="0" w:color="DCDDDE"/>
              <w:right w:val="nil"/>
            </w:tcBorders>
            <w:shd w:val="clear" w:color="000000" w:fill="FFFFFF"/>
            <w:noWrap/>
            <w:vAlign w:val="center"/>
            <w:hideMark/>
          </w:tcPr>
          <w:p w14:paraId="594C8BA7"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37.3</w:t>
            </w:r>
          </w:p>
        </w:tc>
        <w:tc>
          <w:tcPr>
            <w:tcW w:w="545" w:type="dxa"/>
            <w:tcBorders>
              <w:top w:val="nil"/>
              <w:left w:val="nil"/>
              <w:bottom w:val="single" w:sz="8" w:space="0" w:color="DCDDDE"/>
              <w:right w:val="nil"/>
            </w:tcBorders>
            <w:shd w:val="clear" w:color="000000" w:fill="FFFFFF"/>
            <w:noWrap/>
            <w:vAlign w:val="center"/>
            <w:hideMark/>
          </w:tcPr>
          <w:p w14:paraId="6896788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40.5</w:t>
            </w:r>
          </w:p>
        </w:tc>
        <w:tc>
          <w:tcPr>
            <w:tcW w:w="545" w:type="dxa"/>
            <w:tcBorders>
              <w:top w:val="nil"/>
              <w:left w:val="nil"/>
              <w:bottom w:val="single" w:sz="8" w:space="0" w:color="DCDDDE"/>
              <w:right w:val="nil"/>
            </w:tcBorders>
            <w:shd w:val="clear" w:color="000000" w:fill="FFFFFF"/>
            <w:noWrap/>
            <w:vAlign w:val="center"/>
            <w:hideMark/>
          </w:tcPr>
          <w:p w14:paraId="6F9AE4B3"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40.6</w:t>
            </w:r>
          </w:p>
        </w:tc>
        <w:tc>
          <w:tcPr>
            <w:tcW w:w="545" w:type="dxa"/>
            <w:tcBorders>
              <w:top w:val="nil"/>
              <w:left w:val="nil"/>
              <w:bottom w:val="single" w:sz="8" w:space="0" w:color="DCDDDE"/>
              <w:right w:val="nil"/>
            </w:tcBorders>
            <w:shd w:val="clear" w:color="000000" w:fill="FFFFFF"/>
            <w:noWrap/>
            <w:vAlign w:val="center"/>
            <w:hideMark/>
          </w:tcPr>
          <w:p w14:paraId="2444AB6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43.2</w:t>
            </w:r>
          </w:p>
        </w:tc>
        <w:tc>
          <w:tcPr>
            <w:tcW w:w="545" w:type="dxa"/>
            <w:tcBorders>
              <w:top w:val="nil"/>
              <w:left w:val="nil"/>
              <w:bottom w:val="single" w:sz="8" w:space="0" w:color="DCDDDE"/>
              <w:right w:val="nil"/>
            </w:tcBorders>
            <w:shd w:val="clear" w:color="000000" w:fill="FFFFFF"/>
            <w:noWrap/>
            <w:vAlign w:val="center"/>
            <w:hideMark/>
          </w:tcPr>
          <w:p w14:paraId="79714CEF"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43.0</w:t>
            </w:r>
          </w:p>
        </w:tc>
        <w:tc>
          <w:tcPr>
            <w:tcW w:w="545" w:type="dxa"/>
            <w:tcBorders>
              <w:top w:val="nil"/>
              <w:left w:val="nil"/>
              <w:bottom w:val="single" w:sz="8" w:space="0" w:color="DCDDDE"/>
              <w:right w:val="nil"/>
            </w:tcBorders>
            <w:shd w:val="clear" w:color="000000" w:fill="FFFFFF"/>
            <w:noWrap/>
            <w:vAlign w:val="center"/>
            <w:hideMark/>
          </w:tcPr>
          <w:p w14:paraId="0AA172F3"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43.9</w:t>
            </w:r>
          </w:p>
        </w:tc>
        <w:tc>
          <w:tcPr>
            <w:tcW w:w="545" w:type="dxa"/>
            <w:tcBorders>
              <w:top w:val="nil"/>
              <w:left w:val="nil"/>
              <w:bottom w:val="single" w:sz="8" w:space="0" w:color="DCDDDE"/>
              <w:right w:val="nil"/>
            </w:tcBorders>
            <w:shd w:val="clear" w:color="000000" w:fill="FFFFFF"/>
            <w:noWrap/>
            <w:vAlign w:val="center"/>
            <w:hideMark/>
          </w:tcPr>
          <w:p w14:paraId="6EC38D2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38.9</w:t>
            </w:r>
          </w:p>
        </w:tc>
        <w:tc>
          <w:tcPr>
            <w:tcW w:w="545" w:type="dxa"/>
            <w:tcBorders>
              <w:top w:val="nil"/>
              <w:left w:val="nil"/>
              <w:bottom w:val="single" w:sz="8" w:space="0" w:color="DCDDDE"/>
              <w:right w:val="nil"/>
            </w:tcBorders>
            <w:shd w:val="clear" w:color="000000" w:fill="FFFFFF"/>
            <w:noWrap/>
            <w:vAlign w:val="center"/>
            <w:hideMark/>
          </w:tcPr>
          <w:p w14:paraId="5F0ABF7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38.0</w:t>
            </w:r>
          </w:p>
        </w:tc>
        <w:tc>
          <w:tcPr>
            <w:tcW w:w="545" w:type="dxa"/>
            <w:tcBorders>
              <w:top w:val="nil"/>
              <w:left w:val="nil"/>
              <w:bottom w:val="single" w:sz="8" w:space="0" w:color="DCDDDE"/>
              <w:right w:val="nil"/>
            </w:tcBorders>
            <w:shd w:val="clear" w:color="000000" w:fill="FFFFFF"/>
            <w:noWrap/>
            <w:vAlign w:val="center"/>
            <w:hideMark/>
          </w:tcPr>
          <w:p w14:paraId="3A6068B0"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38.5</w:t>
            </w:r>
          </w:p>
        </w:tc>
        <w:tc>
          <w:tcPr>
            <w:tcW w:w="545" w:type="dxa"/>
            <w:tcBorders>
              <w:top w:val="nil"/>
              <w:left w:val="nil"/>
              <w:bottom w:val="single" w:sz="8" w:space="0" w:color="DCDDDE"/>
              <w:right w:val="nil"/>
            </w:tcBorders>
            <w:shd w:val="clear" w:color="000000" w:fill="FFFFFF"/>
            <w:noWrap/>
            <w:vAlign w:val="center"/>
            <w:hideMark/>
          </w:tcPr>
          <w:p w14:paraId="1F9CF8B6"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39.4</w:t>
            </w:r>
          </w:p>
        </w:tc>
        <w:tc>
          <w:tcPr>
            <w:tcW w:w="550" w:type="dxa"/>
            <w:tcBorders>
              <w:top w:val="nil"/>
              <w:left w:val="nil"/>
              <w:bottom w:val="single" w:sz="8" w:space="0" w:color="DCDDDE"/>
              <w:right w:val="nil"/>
            </w:tcBorders>
            <w:shd w:val="clear" w:color="000000" w:fill="FFFFFF"/>
            <w:noWrap/>
            <w:vAlign w:val="center"/>
            <w:hideMark/>
          </w:tcPr>
          <w:p w14:paraId="63FE309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41.1</w:t>
            </w:r>
          </w:p>
        </w:tc>
      </w:tr>
      <w:tr w:rsidR="00D823AE" w:rsidRPr="00D823AE" w14:paraId="3D940784" w14:textId="77777777" w:rsidTr="00D823AE">
        <w:trPr>
          <w:trHeight w:val="239"/>
          <w:jc w:val="center"/>
        </w:trPr>
        <w:tc>
          <w:tcPr>
            <w:tcW w:w="8635" w:type="dxa"/>
            <w:gridSpan w:val="15"/>
            <w:tcBorders>
              <w:top w:val="single" w:sz="8" w:space="0" w:color="DCDDDE"/>
              <w:left w:val="nil"/>
              <w:bottom w:val="single" w:sz="8" w:space="0" w:color="DCDDDE"/>
              <w:right w:val="nil"/>
            </w:tcBorders>
            <w:shd w:val="clear" w:color="000000" w:fill="DADADA"/>
            <w:noWrap/>
            <w:vAlign w:val="center"/>
            <w:hideMark/>
          </w:tcPr>
          <w:p w14:paraId="5994D3F3"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D823AE" w:rsidRPr="00D823AE" w14:paraId="20FF5C2D"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72F11E8E"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45" w:type="dxa"/>
            <w:tcBorders>
              <w:top w:val="nil"/>
              <w:left w:val="nil"/>
              <w:bottom w:val="single" w:sz="8" w:space="0" w:color="DCDDDE"/>
              <w:right w:val="nil"/>
            </w:tcBorders>
            <w:shd w:val="clear" w:color="000000" w:fill="FFFFFF"/>
            <w:noWrap/>
            <w:vAlign w:val="center"/>
            <w:hideMark/>
          </w:tcPr>
          <w:p w14:paraId="272E11F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12.0</w:t>
            </w:r>
          </w:p>
        </w:tc>
        <w:tc>
          <w:tcPr>
            <w:tcW w:w="545" w:type="dxa"/>
            <w:tcBorders>
              <w:top w:val="nil"/>
              <w:left w:val="nil"/>
              <w:bottom w:val="single" w:sz="8" w:space="0" w:color="DCDDDE"/>
              <w:right w:val="nil"/>
            </w:tcBorders>
            <w:shd w:val="clear" w:color="000000" w:fill="FFFFFF"/>
            <w:noWrap/>
            <w:vAlign w:val="center"/>
            <w:hideMark/>
          </w:tcPr>
          <w:p w14:paraId="2D75000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7C8F2D0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1BBFB55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13.6</w:t>
            </w:r>
          </w:p>
        </w:tc>
        <w:tc>
          <w:tcPr>
            <w:tcW w:w="545" w:type="dxa"/>
            <w:tcBorders>
              <w:top w:val="nil"/>
              <w:left w:val="nil"/>
              <w:bottom w:val="single" w:sz="8" w:space="0" w:color="DCDDDE"/>
              <w:right w:val="nil"/>
            </w:tcBorders>
            <w:shd w:val="clear" w:color="000000" w:fill="FFFFFF"/>
            <w:noWrap/>
            <w:vAlign w:val="center"/>
            <w:hideMark/>
          </w:tcPr>
          <w:p w14:paraId="249BD8C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13.3</w:t>
            </w:r>
          </w:p>
        </w:tc>
        <w:tc>
          <w:tcPr>
            <w:tcW w:w="545" w:type="dxa"/>
            <w:tcBorders>
              <w:top w:val="nil"/>
              <w:left w:val="nil"/>
              <w:bottom w:val="single" w:sz="8" w:space="0" w:color="DCDDDE"/>
              <w:right w:val="nil"/>
            </w:tcBorders>
            <w:shd w:val="clear" w:color="000000" w:fill="FFFFFF"/>
            <w:noWrap/>
            <w:vAlign w:val="center"/>
            <w:hideMark/>
          </w:tcPr>
          <w:p w14:paraId="09D89A9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15.5</w:t>
            </w:r>
          </w:p>
        </w:tc>
        <w:tc>
          <w:tcPr>
            <w:tcW w:w="545" w:type="dxa"/>
            <w:tcBorders>
              <w:top w:val="nil"/>
              <w:left w:val="nil"/>
              <w:bottom w:val="single" w:sz="8" w:space="0" w:color="DCDDDE"/>
              <w:right w:val="nil"/>
            </w:tcBorders>
            <w:shd w:val="clear" w:color="000000" w:fill="FFFFFF"/>
            <w:noWrap/>
            <w:vAlign w:val="center"/>
            <w:hideMark/>
          </w:tcPr>
          <w:p w14:paraId="55AF918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14.9</w:t>
            </w:r>
          </w:p>
        </w:tc>
        <w:tc>
          <w:tcPr>
            <w:tcW w:w="545" w:type="dxa"/>
            <w:tcBorders>
              <w:top w:val="nil"/>
              <w:left w:val="nil"/>
              <w:bottom w:val="single" w:sz="8" w:space="0" w:color="DCDDDE"/>
              <w:right w:val="nil"/>
            </w:tcBorders>
            <w:shd w:val="clear" w:color="000000" w:fill="FFFFFF"/>
            <w:noWrap/>
            <w:vAlign w:val="center"/>
            <w:hideMark/>
          </w:tcPr>
          <w:p w14:paraId="4B6FFAB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15.4</w:t>
            </w:r>
          </w:p>
        </w:tc>
        <w:tc>
          <w:tcPr>
            <w:tcW w:w="545" w:type="dxa"/>
            <w:tcBorders>
              <w:top w:val="nil"/>
              <w:left w:val="nil"/>
              <w:bottom w:val="single" w:sz="8" w:space="0" w:color="DCDDDE"/>
              <w:right w:val="nil"/>
            </w:tcBorders>
            <w:shd w:val="clear" w:color="000000" w:fill="FFFFFF"/>
            <w:noWrap/>
            <w:vAlign w:val="center"/>
            <w:hideMark/>
          </w:tcPr>
          <w:p w14:paraId="21F1D0D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15.1</w:t>
            </w:r>
          </w:p>
        </w:tc>
        <w:tc>
          <w:tcPr>
            <w:tcW w:w="545" w:type="dxa"/>
            <w:tcBorders>
              <w:top w:val="nil"/>
              <w:left w:val="nil"/>
              <w:bottom w:val="single" w:sz="8" w:space="0" w:color="DCDDDE"/>
              <w:right w:val="nil"/>
            </w:tcBorders>
            <w:shd w:val="clear" w:color="000000" w:fill="FFFFFF"/>
            <w:noWrap/>
            <w:vAlign w:val="center"/>
            <w:hideMark/>
          </w:tcPr>
          <w:p w14:paraId="54E58ED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15.3</w:t>
            </w:r>
          </w:p>
        </w:tc>
        <w:tc>
          <w:tcPr>
            <w:tcW w:w="545" w:type="dxa"/>
            <w:tcBorders>
              <w:top w:val="nil"/>
              <w:left w:val="nil"/>
              <w:bottom w:val="single" w:sz="8" w:space="0" w:color="DCDDDE"/>
              <w:right w:val="nil"/>
            </w:tcBorders>
            <w:shd w:val="clear" w:color="000000" w:fill="FFFFFF"/>
            <w:noWrap/>
            <w:vAlign w:val="center"/>
            <w:hideMark/>
          </w:tcPr>
          <w:p w14:paraId="05A5939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15.8</w:t>
            </w:r>
          </w:p>
        </w:tc>
        <w:tc>
          <w:tcPr>
            <w:tcW w:w="545" w:type="dxa"/>
            <w:tcBorders>
              <w:top w:val="nil"/>
              <w:left w:val="nil"/>
              <w:bottom w:val="single" w:sz="8" w:space="0" w:color="DCDDDE"/>
              <w:right w:val="nil"/>
            </w:tcBorders>
            <w:shd w:val="clear" w:color="000000" w:fill="FFFFFF"/>
            <w:noWrap/>
            <w:vAlign w:val="center"/>
            <w:hideMark/>
          </w:tcPr>
          <w:p w14:paraId="3C1AE3C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16.9</w:t>
            </w:r>
          </w:p>
        </w:tc>
        <w:tc>
          <w:tcPr>
            <w:tcW w:w="550" w:type="dxa"/>
            <w:tcBorders>
              <w:top w:val="nil"/>
              <w:left w:val="nil"/>
              <w:bottom w:val="single" w:sz="8" w:space="0" w:color="DCDDDE"/>
              <w:right w:val="nil"/>
            </w:tcBorders>
            <w:shd w:val="clear" w:color="000000" w:fill="FFFFFF"/>
            <w:noWrap/>
            <w:vAlign w:val="center"/>
            <w:hideMark/>
          </w:tcPr>
          <w:p w14:paraId="6EA0919E"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18.8</w:t>
            </w:r>
          </w:p>
        </w:tc>
      </w:tr>
      <w:tr w:rsidR="00D823AE" w:rsidRPr="00D823AE" w14:paraId="3A0F18B0"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7F7FF4E6"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6AE3117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2422E50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13.2</w:t>
            </w:r>
          </w:p>
        </w:tc>
        <w:tc>
          <w:tcPr>
            <w:tcW w:w="545" w:type="dxa"/>
            <w:tcBorders>
              <w:top w:val="nil"/>
              <w:left w:val="nil"/>
              <w:bottom w:val="single" w:sz="8" w:space="0" w:color="DCDDDE"/>
              <w:right w:val="nil"/>
            </w:tcBorders>
            <w:shd w:val="clear" w:color="000000" w:fill="FFFFFF"/>
            <w:noWrap/>
            <w:vAlign w:val="center"/>
            <w:hideMark/>
          </w:tcPr>
          <w:p w14:paraId="69B8A6F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6BEB1E4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35F4CED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19.5</w:t>
            </w:r>
          </w:p>
        </w:tc>
        <w:tc>
          <w:tcPr>
            <w:tcW w:w="545" w:type="dxa"/>
            <w:tcBorders>
              <w:top w:val="nil"/>
              <w:left w:val="nil"/>
              <w:bottom w:val="single" w:sz="8" w:space="0" w:color="DCDDDE"/>
              <w:right w:val="nil"/>
            </w:tcBorders>
            <w:shd w:val="clear" w:color="000000" w:fill="FFFFFF"/>
            <w:noWrap/>
            <w:vAlign w:val="center"/>
            <w:hideMark/>
          </w:tcPr>
          <w:p w14:paraId="0BAF507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5FADC61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2894F4F6"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19.6</w:t>
            </w:r>
          </w:p>
        </w:tc>
        <w:tc>
          <w:tcPr>
            <w:tcW w:w="545" w:type="dxa"/>
            <w:tcBorders>
              <w:top w:val="nil"/>
              <w:left w:val="nil"/>
              <w:bottom w:val="single" w:sz="8" w:space="0" w:color="DCDDDE"/>
              <w:right w:val="nil"/>
            </w:tcBorders>
            <w:shd w:val="clear" w:color="000000" w:fill="FFFFFF"/>
            <w:noWrap/>
            <w:vAlign w:val="center"/>
            <w:hideMark/>
          </w:tcPr>
          <w:p w14:paraId="7586595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3E1DF529"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1E52F34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13.6</w:t>
            </w:r>
          </w:p>
        </w:tc>
        <w:tc>
          <w:tcPr>
            <w:tcW w:w="545" w:type="dxa"/>
            <w:tcBorders>
              <w:top w:val="nil"/>
              <w:left w:val="nil"/>
              <w:bottom w:val="single" w:sz="8" w:space="0" w:color="DCDDDE"/>
              <w:right w:val="nil"/>
            </w:tcBorders>
            <w:shd w:val="clear" w:color="000000" w:fill="FFFFFF"/>
            <w:noWrap/>
            <w:vAlign w:val="center"/>
            <w:hideMark/>
          </w:tcPr>
          <w:p w14:paraId="6F4C766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13.8</w:t>
            </w:r>
          </w:p>
        </w:tc>
        <w:tc>
          <w:tcPr>
            <w:tcW w:w="550" w:type="dxa"/>
            <w:tcBorders>
              <w:top w:val="nil"/>
              <w:left w:val="nil"/>
              <w:bottom w:val="single" w:sz="8" w:space="0" w:color="DCDDDE"/>
              <w:right w:val="nil"/>
            </w:tcBorders>
            <w:shd w:val="clear" w:color="000000" w:fill="FFFFFF"/>
            <w:noWrap/>
            <w:vAlign w:val="center"/>
            <w:hideMark/>
          </w:tcPr>
          <w:p w14:paraId="636879A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14.0</w:t>
            </w:r>
          </w:p>
        </w:tc>
      </w:tr>
      <w:tr w:rsidR="00D823AE" w:rsidRPr="00D823AE" w14:paraId="5DC37E46"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7032F3CC"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lastRenderedPageBreak/>
              <w:t>BROs</w:t>
            </w:r>
          </w:p>
        </w:tc>
        <w:tc>
          <w:tcPr>
            <w:tcW w:w="545" w:type="dxa"/>
            <w:tcBorders>
              <w:top w:val="nil"/>
              <w:left w:val="nil"/>
              <w:bottom w:val="single" w:sz="8" w:space="0" w:color="DCDDDE"/>
              <w:right w:val="nil"/>
            </w:tcBorders>
            <w:shd w:val="clear" w:color="000000" w:fill="FFFFFF"/>
            <w:noWrap/>
            <w:vAlign w:val="center"/>
            <w:hideMark/>
          </w:tcPr>
          <w:p w14:paraId="6DBFCD7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723A783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6.3</w:t>
            </w:r>
          </w:p>
        </w:tc>
        <w:tc>
          <w:tcPr>
            <w:tcW w:w="545" w:type="dxa"/>
            <w:tcBorders>
              <w:top w:val="nil"/>
              <w:left w:val="nil"/>
              <w:bottom w:val="single" w:sz="8" w:space="0" w:color="DCDDDE"/>
              <w:right w:val="nil"/>
            </w:tcBorders>
            <w:shd w:val="clear" w:color="000000" w:fill="FFFFFF"/>
            <w:noWrap/>
            <w:vAlign w:val="center"/>
            <w:hideMark/>
          </w:tcPr>
          <w:p w14:paraId="4823C1E8"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1ED2C3F7"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7.9</w:t>
            </w:r>
          </w:p>
        </w:tc>
        <w:tc>
          <w:tcPr>
            <w:tcW w:w="545" w:type="dxa"/>
            <w:tcBorders>
              <w:top w:val="nil"/>
              <w:left w:val="nil"/>
              <w:bottom w:val="single" w:sz="8" w:space="0" w:color="DCDDDE"/>
              <w:right w:val="nil"/>
            </w:tcBorders>
            <w:shd w:val="clear" w:color="000000" w:fill="FFFFFF"/>
            <w:noWrap/>
            <w:vAlign w:val="center"/>
            <w:hideMark/>
          </w:tcPr>
          <w:p w14:paraId="16B496A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8.6</w:t>
            </w:r>
          </w:p>
        </w:tc>
        <w:tc>
          <w:tcPr>
            <w:tcW w:w="545" w:type="dxa"/>
            <w:tcBorders>
              <w:top w:val="nil"/>
              <w:left w:val="nil"/>
              <w:bottom w:val="single" w:sz="8" w:space="0" w:color="DCDDDE"/>
              <w:right w:val="nil"/>
            </w:tcBorders>
            <w:shd w:val="clear" w:color="000000" w:fill="FFFFFF"/>
            <w:noWrap/>
            <w:vAlign w:val="center"/>
            <w:hideMark/>
          </w:tcPr>
          <w:p w14:paraId="29052A50"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4635132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7D2BD18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11.3</w:t>
            </w:r>
          </w:p>
        </w:tc>
        <w:tc>
          <w:tcPr>
            <w:tcW w:w="545" w:type="dxa"/>
            <w:tcBorders>
              <w:top w:val="nil"/>
              <w:left w:val="nil"/>
              <w:bottom w:val="single" w:sz="8" w:space="0" w:color="DCDDDE"/>
              <w:right w:val="nil"/>
            </w:tcBorders>
            <w:shd w:val="clear" w:color="000000" w:fill="FFFFFF"/>
            <w:noWrap/>
            <w:vAlign w:val="center"/>
            <w:hideMark/>
          </w:tcPr>
          <w:p w14:paraId="1512CBA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0D1C108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13.3</w:t>
            </w:r>
          </w:p>
        </w:tc>
        <w:tc>
          <w:tcPr>
            <w:tcW w:w="545" w:type="dxa"/>
            <w:tcBorders>
              <w:top w:val="nil"/>
              <w:left w:val="nil"/>
              <w:bottom w:val="single" w:sz="8" w:space="0" w:color="DCDDDE"/>
              <w:right w:val="nil"/>
            </w:tcBorders>
            <w:shd w:val="clear" w:color="000000" w:fill="FFFFFF"/>
            <w:noWrap/>
            <w:vAlign w:val="center"/>
            <w:hideMark/>
          </w:tcPr>
          <w:p w14:paraId="08B1CCE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14.6</w:t>
            </w:r>
          </w:p>
        </w:tc>
        <w:tc>
          <w:tcPr>
            <w:tcW w:w="545" w:type="dxa"/>
            <w:tcBorders>
              <w:top w:val="nil"/>
              <w:left w:val="nil"/>
              <w:bottom w:val="single" w:sz="8" w:space="0" w:color="DCDDDE"/>
              <w:right w:val="nil"/>
            </w:tcBorders>
            <w:shd w:val="clear" w:color="000000" w:fill="FFFFFF"/>
            <w:noWrap/>
            <w:vAlign w:val="center"/>
            <w:hideMark/>
          </w:tcPr>
          <w:p w14:paraId="280D8711"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16.0</w:t>
            </w:r>
          </w:p>
        </w:tc>
        <w:tc>
          <w:tcPr>
            <w:tcW w:w="550" w:type="dxa"/>
            <w:tcBorders>
              <w:top w:val="nil"/>
              <w:left w:val="nil"/>
              <w:bottom w:val="single" w:sz="8" w:space="0" w:color="DCDDDE"/>
              <w:right w:val="nil"/>
            </w:tcBorders>
            <w:shd w:val="clear" w:color="000000" w:fill="FFFFFF"/>
            <w:noWrap/>
            <w:vAlign w:val="center"/>
            <w:hideMark/>
          </w:tcPr>
          <w:p w14:paraId="2A035AEA"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17.6</w:t>
            </w:r>
          </w:p>
        </w:tc>
      </w:tr>
      <w:tr w:rsidR="00D823AE" w:rsidRPr="00D823AE" w14:paraId="4FB575CF" w14:textId="77777777" w:rsidTr="00D823AE">
        <w:trPr>
          <w:gridAfter w:val="1"/>
          <w:wAfter w:w="13" w:type="dxa"/>
          <w:trHeight w:val="421"/>
          <w:jc w:val="center"/>
        </w:trPr>
        <w:tc>
          <w:tcPr>
            <w:tcW w:w="1532" w:type="dxa"/>
            <w:tcBorders>
              <w:top w:val="nil"/>
              <w:left w:val="nil"/>
              <w:bottom w:val="single" w:sz="8" w:space="0" w:color="DCDDDE"/>
              <w:right w:val="nil"/>
            </w:tcBorders>
            <w:shd w:val="clear" w:color="000000" w:fill="FFFFFF"/>
            <w:vAlign w:val="center"/>
            <w:hideMark/>
          </w:tcPr>
          <w:p w14:paraId="2FD0374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1E524D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2EC4011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306B6C4F"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426E41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3086A6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4E76994"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CCA436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687F7AC"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93538B5"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9CD4C93"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3FF6E8D"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9411E8B"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c>
          <w:tcPr>
            <w:tcW w:w="550" w:type="dxa"/>
            <w:tcBorders>
              <w:top w:val="nil"/>
              <w:left w:val="nil"/>
              <w:bottom w:val="single" w:sz="8" w:space="0" w:color="DCDDDE"/>
              <w:right w:val="nil"/>
            </w:tcBorders>
            <w:shd w:val="clear" w:color="000000" w:fill="FFFFFF"/>
            <w:noWrap/>
            <w:vAlign w:val="center"/>
            <w:hideMark/>
          </w:tcPr>
          <w:p w14:paraId="423D9622" w14:textId="77777777" w:rsidR="00D823AE" w:rsidRPr="00181744" w:rsidRDefault="00D823AE" w:rsidP="00D823AE">
            <w:pPr>
              <w:spacing w:line="240" w:lineRule="auto"/>
              <w:jc w:val="right"/>
              <w:rPr>
                <w:rFonts w:ascii="Arial Narrow" w:hAnsi="Arial Narrow"/>
                <w:sz w:val="18"/>
                <w:szCs w:val="18"/>
              </w:rPr>
            </w:pPr>
            <w:r w:rsidRPr="00181744">
              <w:rPr>
                <w:rFonts w:ascii="Arial Narrow" w:hAnsi="Arial Narrow"/>
                <w:sz w:val="18"/>
                <w:szCs w:val="18"/>
              </w:rPr>
              <w:t>1.6</w:t>
            </w:r>
          </w:p>
        </w:tc>
      </w:tr>
      <w:tr w:rsidR="00D823AE" w:rsidRPr="00D823AE" w14:paraId="58697C03" w14:textId="77777777" w:rsidTr="00D823AE">
        <w:trPr>
          <w:gridAfter w:val="1"/>
          <w:wAfter w:w="13" w:type="dxa"/>
          <w:trHeight w:val="239"/>
          <w:jc w:val="center"/>
        </w:trPr>
        <w:tc>
          <w:tcPr>
            <w:tcW w:w="1532" w:type="dxa"/>
            <w:tcBorders>
              <w:top w:val="nil"/>
              <w:left w:val="nil"/>
              <w:bottom w:val="single" w:sz="8" w:space="0" w:color="DCDDDE"/>
              <w:right w:val="nil"/>
            </w:tcBorders>
            <w:shd w:val="clear" w:color="000000" w:fill="FFFFFF"/>
            <w:vAlign w:val="center"/>
            <w:hideMark/>
          </w:tcPr>
          <w:p w14:paraId="7F756FC5" w14:textId="77777777" w:rsidR="00D823AE" w:rsidRPr="00181744" w:rsidRDefault="00D823AE" w:rsidP="00D823AE">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574DD62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32.5</w:t>
            </w:r>
          </w:p>
        </w:tc>
        <w:tc>
          <w:tcPr>
            <w:tcW w:w="545" w:type="dxa"/>
            <w:tcBorders>
              <w:top w:val="nil"/>
              <w:left w:val="nil"/>
              <w:bottom w:val="single" w:sz="8" w:space="0" w:color="DCDDDE"/>
              <w:right w:val="nil"/>
            </w:tcBorders>
            <w:shd w:val="clear" w:color="000000" w:fill="FFFFFF"/>
            <w:noWrap/>
            <w:vAlign w:val="center"/>
            <w:hideMark/>
          </w:tcPr>
          <w:p w14:paraId="601D33C3"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5B57B660"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39.2</w:t>
            </w:r>
          </w:p>
        </w:tc>
        <w:tc>
          <w:tcPr>
            <w:tcW w:w="545" w:type="dxa"/>
            <w:tcBorders>
              <w:top w:val="nil"/>
              <w:left w:val="nil"/>
              <w:bottom w:val="single" w:sz="8" w:space="0" w:color="DCDDDE"/>
              <w:right w:val="nil"/>
            </w:tcBorders>
            <w:shd w:val="clear" w:color="000000" w:fill="FFFFFF"/>
            <w:noWrap/>
            <w:vAlign w:val="center"/>
            <w:hideMark/>
          </w:tcPr>
          <w:p w14:paraId="4EFC685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42.6</w:t>
            </w:r>
          </w:p>
        </w:tc>
        <w:tc>
          <w:tcPr>
            <w:tcW w:w="545" w:type="dxa"/>
            <w:tcBorders>
              <w:top w:val="nil"/>
              <w:left w:val="nil"/>
              <w:bottom w:val="single" w:sz="8" w:space="0" w:color="DCDDDE"/>
              <w:right w:val="nil"/>
            </w:tcBorders>
            <w:shd w:val="clear" w:color="000000" w:fill="FFFFFF"/>
            <w:noWrap/>
            <w:vAlign w:val="center"/>
            <w:hideMark/>
          </w:tcPr>
          <w:p w14:paraId="443C189D"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43.0</w:t>
            </w:r>
          </w:p>
        </w:tc>
        <w:tc>
          <w:tcPr>
            <w:tcW w:w="545" w:type="dxa"/>
            <w:tcBorders>
              <w:top w:val="nil"/>
              <w:left w:val="nil"/>
              <w:bottom w:val="single" w:sz="8" w:space="0" w:color="DCDDDE"/>
              <w:right w:val="nil"/>
            </w:tcBorders>
            <w:shd w:val="clear" w:color="000000" w:fill="FFFFFF"/>
            <w:noWrap/>
            <w:vAlign w:val="center"/>
            <w:hideMark/>
          </w:tcPr>
          <w:p w14:paraId="508929A8"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46.0</w:t>
            </w:r>
          </w:p>
        </w:tc>
        <w:tc>
          <w:tcPr>
            <w:tcW w:w="545" w:type="dxa"/>
            <w:tcBorders>
              <w:top w:val="nil"/>
              <w:left w:val="nil"/>
              <w:bottom w:val="single" w:sz="8" w:space="0" w:color="DCDDDE"/>
              <w:right w:val="nil"/>
            </w:tcBorders>
            <w:shd w:val="clear" w:color="000000" w:fill="FFFFFF"/>
            <w:noWrap/>
            <w:vAlign w:val="center"/>
            <w:hideMark/>
          </w:tcPr>
          <w:p w14:paraId="390FFE14"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46.2</w:t>
            </w:r>
          </w:p>
        </w:tc>
        <w:tc>
          <w:tcPr>
            <w:tcW w:w="545" w:type="dxa"/>
            <w:tcBorders>
              <w:top w:val="nil"/>
              <w:left w:val="nil"/>
              <w:bottom w:val="single" w:sz="8" w:space="0" w:color="DCDDDE"/>
              <w:right w:val="nil"/>
            </w:tcBorders>
            <w:shd w:val="clear" w:color="000000" w:fill="FFFFFF"/>
            <w:noWrap/>
            <w:vAlign w:val="center"/>
            <w:hideMark/>
          </w:tcPr>
          <w:p w14:paraId="35931C42"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47.9</w:t>
            </w:r>
          </w:p>
        </w:tc>
        <w:tc>
          <w:tcPr>
            <w:tcW w:w="545" w:type="dxa"/>
            <w:tcBorders>
              <w:top w:val="nil"/>
              <w:left w:val="nil"/>
              <w:bottom w:val="single" w:sz="8" w:space="0" w:color="DCDDDE"/>
              <w:right w:val="nil"/>
            </w:tcBorders>
            <w:shd w:val="clear" w:color="000000" w:fill="FFFFFF"/>
            <w:noWrap/>
            <w:vAlign w:val="center"/>
            <w:hideMark/>
          </w:tcPr>
          <w:p w14:paraId="67AFE565"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43.8</w:t>
            </w:r>
          </w:p>
        </w:tc>
        <w:tc>
          <w:tcPr>
            <w:tcW w:w="545" w:type="dxa"/>
            <w:tcBorders>
              <w:top w:val="nil"/>
              <w:left w:val="nil"/>
              <w:bottom w:val="single" w:sz="8" w:space="0" w:color="DCDDDE"/>
              <w:right w:val="nil"/>
            </w:tcBorders>
            <w:shd w:val="clear" w:color="000000" w:fill="FFFFFF"/>
            <w:noWrap/>
            <w:vAlign w:val="center"/>
            <w:hideMark/>
          </w:tcPr>
          <w:p w14:paraId="6200303A"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43.8</w:t>
            </w:r>
          </w:p>
        </w:tc>
        <w:tc>
          <w:tcPr>
            <w:tcW w:w="545" w:type="dxa"/>
            <w:tcBorders>
              <w:top w:val="nil"/>
              <w:left w:val="nil"/>
              <w:bottom w:val="single" w:sz="8" w:space="0" w:color="DCDDDE"/>
              <w:right w:val="nil"/>
            </w:tcBorders>
            <w:shd w:val="clear" w:color="000000" w:fill="FFFFFF"/>
            <w:noWrap/>
            <w:vAlign w:val="center"/>
            <w:hideMark/>
          </w:tcPr>
          <w:p w14:paraId="3C47076C"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45.6</w:t>
            </w:r>
          </w:p>
        </w:tc>
        <w:tc>
          <w:tcPr>
            <w:tcW w:w="545" w:type="dxa"/>
            <w:tcBorders>
              <w:top w:val="nil"/>
              <w:left w:val="nil"/>
              <w:bottom w:val="single" w:sz="8" w:space="0" w:color="DCDDDE"/>
              <w:right w:val="nil"/>
            </w:tcBorders>
            <w:shd w:val="clear" w:color="000000" w:fill="FFFFFF"/>
            <w:noWrap/>
            <w:vAlign w:val="center"/>
            <w:hideMark/>
          </w:tcPr>
          <w:p w14:paraId="0BF498B9"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48.3</w:t>
            </w:r>
          </w:p>
        </w:tc>
        <w:tc>
          <w:tcPr>
            <w:tcW w:w="550" w:type="dxa"/>
            <w:tcBorders>
              <w:top w:val="nil"/>
              <w:left w:val="nil"/>
              <w:bottom w:val="single" w:sz="8" w:space="0" w:color="DCDDDE"/>
              <w:right w:val="nil"/>
            </w:tcBorders>
            <w:shd w:val="clear" w:color="000000" w:fill="FFFFFF"/>
            <w:noWrap/>
            <w:vAlign w:val="center"/>
            <w:hideMark/>
          </w:tcPr>
          <w:p w14:paraId="4193A68E" w14:textId="77777777" w:rsidR="00D823AE" w:rsidRPr="00181744" w:rsidRDefault="00D823AE" w:rsidP="00D823AE">
            <w:pPr>
              <w:spacing w:line="240" w:lineRule="auto"/>
              <w:jc w:val="right"/>
              <w:rPr>
                <w:rFonts w:ascii="Arial Narrow" w:hAnsi="Arial Narrow"/>
                <w:b/>
                <w:bCs/>
                <w:sz w:val="18"/>
                <w:szCs w:val="18"/>
              </w:rPr>
            </w:pPr>
            <w:r w:rsidRPr="00181744">
              <w:rPr>
                <w:rFonts w:ascii="Arial Narrow" w:hAnsi="Arial Narrow"/>
                <w:b/>
                <w:bCs/>
                <w:sz w:val="18"/>
                <w:szCs w:val="18"/>
              </w:rPr>
              <w:t>52.1</w:t>
            </w:r>
          </w:p>
        </w:tc>
      </w:tr>
    </w:tbl>
    <w:p w14:paraId="61C7648A" w14:textId="77777777" w:rsidR="00D823AE" w:rsidRPr="00D823AE" w:rsidRDefault="00D823AE" w:rsidP="00D823AE"/>
    <w:p w14:paraId="39690017" w14:textId="77777777" w:rsidR="00D823AE" w:rsidRDefault="00D823AE" w:rsidP="00D823AE"/>
    <w:p w14:paraId="0C3532CC" w14:textId="77777777" w:rsidR="00D823AE" w:rsidRDefault="00D823AE" w:rsidP="00D823AE">
      <w:pPr>
        <w:pStyle w:val="Heading6"/>
      </w:pPr>
      <w:bookmarkStart w:id="1114" w:name="_Toc485126611"/>
      <w:r>
        <w:t>SCE</w:t>
      </w:r>
      <w:bookmarkEnd w:id="1114"/>
    </w:p>
    <w:p w14:paraId="6FEA77AD" w14:textId="77777777" w:rsidR="00D823AE" w:rsidRDefault="00D823AE" w:rsidP="00D823AE">
      <w:pPr>
        <w:pStyle w:val="Caption"/>
      </w:pPr>
      <w:bookmarkStart w:id="1115" w:name="_Toc485125633"/>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4</w:t>
      </w:r>
      <w:r w:rsidR="00272F76">
        <w:rPr>
          <w:noProof/>
        </w:rPr>
        <w:fldChar w:fldCharType="end"/>
      </w:r>
      <w:r w:rsidRPr="006F2DA9">
        <w:t xml:space="preserve">. </w:t>
      </w:r>
      <w:r>
        <w:t>SCE Electric Savings</w:t>
      </w:r>
      <w:bookmarkEnd w:id="1115"/>
    </w:p>
    <w:tbl>
      <w:tblPr>
        <w:tblW w:w="9771" w:type="dxa"/>
        <w:tblLook w:val="04A0" w:firstRow="1" w:lastRow="0" w:firstColumn="1" w:lastColumn="0" w:noHBand="0" w:noVBand="1"/>
      </w:tblPr>
      <w:tblGrid>
        <w:gridCol w:w="905"/>
        <w:gridCol w:w="709"/>
        <w:gridCol w:w="709"/>
        <w:gridCol w:w="709"/>
        <w:gridCol w:w="709"/>
        <w:gridCol w:w="709"/>
        <w:gridCol w:w="709"/>
        <w:gridCol w:w="709"/>
        <w:gridCol w:w="709"/>
        <w:gridCol w:w="709"/>
        <w:gridCol w:w="709"/>
        <w:gridCol w:w="709"/>
        <w:gridCol w:w="709"/>
        <w:gridCol w:w="709"/>
      </w:tblGrid>
      <w:tr w:rsidR="00181744" w:rsidRPr="00181744" w14:paraId="7DE693FC" w14:textId="77777777" w:rsidTr="00416D32">
        <w:trPr>
          <w:trHeight w:val="257"/>
        </w:trPr>
        <w:tc>
          <w:tcPr>
            <w:tcW w:w="9771" w:type="dxa"/>
            <w:gridSpan w:val="14"/>
            <w:tcBorders>
              <w:top w:val="nil"/>
              <w:left w:val="nil"/>
              <w:bottom w:val="single" w:sz="12" w:space="0" w:color="95D600"/>
              <w:right w:val="nil"/>
            </w:tcBorders>
            <w:shd w:val="clear" w:color="000000" w:fill="555759"/>
            <w:noWrap/>
            <w:vAlign w:val="center"/>
            <w:hideMark/>
          </w:tcPr>
          <w:p w14:paraId="10FE1133" w14:textId="77777777" w:rsidR="00181744" w:rsidRPr="00181744" w:rsidRDefault="00181744" w:rsidP="00181744">
            <w:pPr>
              <w:spacing w:line="240" w:lineRule="auto"/>
              <w:jc w:val="center"/>
              <w:rPr>
                <w:rFonts w:ascii="Arial Narrow" w:hAnsi="Arial Narrow"/>
                <w:b/>
                <w:bCs/>
                <w:color w:val="FFFFFF"/>
                <w:sz w:val="18"/>
                <w:szCs w:val="18"/>
              </w:rPr>
            </w:pPr>
            <w:bookmarkStart w:id="1116" w:name="_GoBack"/>
            <w:bookmarkEnd w:id="1116"/>
            <w:r w:rsidRPr="00181744">
              <w:rPr>
                <w:rFonts w:ascii="Arial Narrow" w:hAnsi="Arial Narrow"/>
                <w:b/>
                <w:bCs/>
                <w:color w:val="FFFFFF"/>
                <w:sz w:val="18"/>
                <w:szCs w:val="18"/>
              </w:rPr>
              <w:t>Electric Energy (GWh/year)</w:t>
            </w:r>
          </w:p>
        </w:tc>
      </w:tr>
      <w:tr w:rsidR="00181744" w:rsidRPr="00181744" w14:paraId="607C43EF" w14:textId="77777777" w:rsidTr="00416D32">
        <w:trPr>
          <w:trHeight w:val="270"/>
        </w:trPr>
        <w:tc>
          <w:tcPr>
            <w:tcW w:w="870" w:type="dxa"/>
            <w:tcBorders>
              <w:top w:val="nil"/>
              <w:left w:val="nil"/>
              <w:bottom w:val="single" w:sz="8" w:space="0" w:color="DCDDDE"/>
              <w:right w:val="nil"/>
            </w:tcBorders>
            <w:shd w:val="clear" w:color="auto" w:fill="auto"/>
            <w:vAlign w:val="center"/>
            <w:hideMark/>
          </w:tcPr>
          <w:p w14:paraId="11C82F2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684" w:type="dxa"/>
            <w:tcBorders>
              <w:top w:val="nil"/>
              <w:left w:val="nil"/>
              <w:bottom w:val="single" w:sz="8" w:space="0" w:color="DCDDDE"/>
              <w:right w:val="nil"/>
            </w:tcBorders>
            <w:shd w:val="clear" w:color="auto" w:fill="auto"/>
            <w:noWrap/>
            <w:vAlign w:val="center"/>
            <w:hideMark/>
          </w:tcPr>
          <w:p w14:paraId="47C671F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684" w:type="dxa"/>
            <w:tcBorders>
              <w:top w:val="nil"/>
              <w:left w:val="nil"/>
              <w:bottom w:val="single" w:sz="8" w:space="0" w:color="DCDDDE"/>
              <w:right w:val="nil"/>
            </w:tcBorders>
            <w:shd w:val="clear" w:color="auto" w:fill="auto"/>
            <w:noWrap/>
            <w:vAlign w:val="center"/>
            <w:hideMark/>
          </w:tcPr>
          <w:p w14:paraId="230E04E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684" w:type="dxa"/>
            <w:tcBorders>
              <w:top w:val="nil"/>
              <w:left w:val="nil"/>
              <w:bottom w:val="single" w:sz="8" w:space="0" w:color="DCDDDE"/>
              <w:right w:val="nil"/>
            </w:tcBorders>
            <w:shd w:val="clear" w:color="auto" w:fill="auto"/>
            <w:noWrap/>
            <w:vAlign w:val="center"/>
            <w:hideMark/>
          </w:tcPr>
          <w:p w14:paraId="6BDF611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684" w:type="dxa"/>
            <w:tcBorders>
              <w:top w:val="nil"/>
              <w:left w:val="nil"/>
              <w:bottom w:val="single" w:sz="8" w:space="0" w:color="DCDDDE"/>
              <w:right w:val="nil"/>
            </w:tcBorders>
            <w:shd w:val="clear" w:color="auto" w:fill="auto"/>
            <w:noWrap/>
            <w:vAlign w:val="center"/>
            <w:hideMark/>
          </w:tcPr>
          <w:p w14:paraId="739CB89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684" w:type="dxa"/>
            <w:tcBorders>
              <w:top w:val="nil"/>
              <w:left w:val="nil"/>
              <w:bottom w:val="single" w:sz="8" w:space="0" w:color="DCDDDE"/>
              <w:right w:val="nil"/>
            </w:tcBorders>
            <w:shd w:val="clear" w:color="auto" w:fill="auto"/>
            <w:noWrap/>
            <w:vAlign w:val="center"/>
            <w:hideMark/>
          </w:tcPr>
          <w:p w14:paraId="5E63A2F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684" w:type="dxa"/>
            <w:tcBorders>
              <w:top w:val="nil"/>
              <w:left w:val="nil"/>
              <w:bottom w:val="single" w:sz="8" w:space="0" w:color="DCDDDE"/>
              <w:right w:val="nil"/>
            </w:tcBorders>
            <w:shd w:val="clear" w:color="auto" w:fill="auto"/>
            <w:noWrap/>
            <w:vAlign w:val="center"/>
            <w:hideMark/>
          </w:tcPr>
          <w:p w14:paraId="2F7003F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684" w:type="dxa"/>
            <w:tcBorders>
              <w:top w:val="nil"/>
              <w:left w:val="nil"/>
              <w:bottom w:val="single" w:sz="8" w:space="0" w:color="DCDDDE"/>
              <w:right w:val="nil"/>
            </w:tcBorders>
            <w:shd w:val="clear" w:color="auto" w:fill="auto"/>
            <w:noWrap/>
            <w:vAlign w:val="center"/>
            <w:hideMark/>
          </w:tcPr>
          <w:p w14:paraId="775629C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684" w:type="dxa"/>
            <w:tcBorders>
              <w:top w:val="nil"/>
              <w:left w:val="nil"/>
              <w:bottom w:val="single" w:sz="8" w:space="0" w:color="DCDDDE"/>
              <w:right w:val="nil"/>
            </w:tcBorders>
            <w:shd w:val="clear" w:color="auto" w:fill="auto"/>
            <w:noWrap/>
            <w:vAlign w:val="center"/>
            <w:hideMark/>
          </w:tcPr>
          <w:p w14:paraId="3F8E60F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684" w:type="dxa"/>
            <w:tcBorders>
              <w:top w:val="nil"/>
              <w:left w:val="nil"/>
              <w:bottom w:val="single" w:sz="8" w:space="0" w:color="DCDDDE"/>
              <w:right w:val="nil"/>
            </w:tcBorders>
            <w:shd w:val="clear" w:color="auto" w:fill="auto"/>
            <w:noWrap/>
            <w:vAlign w:val="center"/>
            <w:hideMark/>
          </w:tcPr>
          <w:p w14:paraId="542B705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684" w:type="dxa"/>
            <w:tcBorders>
              <w:top w:val="nil"/>
              <w:left w:val="nil"/>
              <w:bottom w:val="single" w:sz="8" w:space="0" w:color="DCDDDE"/>
              <w:right w:val="nil"/>
            </w:tcBorders>
            <w:shd w:val="clear" w:color="auto" w:fill="auto"/>
            <w:noWrap/>
            <w:vAlign w:val="center"/>
            <w:hideMark/>
          </w:tcPr>
          <w:p w14:paraId="2181E72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684" w:type="dxa"/>
            <w:tcBorders>
              <w:top w:val="nil"/>
              <w:left w:val="nil"/>
              <w:bottom w:val="single" w:sz="8" w:space="0" w:color="DCDDDE"/>
              <w:right w:val="nil"/>
            </w:tcBorders>
            <w:shd w:val="clear" w:color="auto" w:fill="auto"/>
            <w:noWrap/>
            <w:vAlign w:val="center"/>
            <w:hideMark/>
          </w:tcPr>
          <w:p w14:paraId="0F8D1DA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684" w:type="dxa"/>
            <w:tcBorders>
              <w:top w:val="nil"/>
              <w:left w:val="nil"/>
              <w:bottom w:val="single" w:sz="8" w:space="0" w:color="DCDDDE"/>
              <w:right w:val="nil"/>
            </w:tcBorders>
            <w:shd w:val="clear" w:color="auto" w:fill="auto"/>
            <w:noWrap/>
            <w:vAlign w:val="center"/>
            <w:hideMark/>
          </w:tcPr>
          <w:p w14:paraId="33B6834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684" w:type="dxa"/>
            <w:tcBorders>
              <w:top w:val="nil"/>
              <w:left w:val="nil"/>
              <w:bottom w:val="single" w:sz="8" w:space="0" w:color="DCDDDE"/>
              <w:right w:val="nil"/>
            </w:tcBorders>
            <w:shd w:val="clear" w:color="auto" w:fill="auto"/>
            <w:noWrap/>
            <w:vAlign w:val="center"/>
            <w:hideMark/>
          </w:tcPr>
          <w:p w14:paraId="7BD61F5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181744" w:rsidRPr="00181744" w14:paraId="350B7AE8" w14:textId="77777777" w:rsidTr="00416D32">
        <w:trPr>
          <w:trHeight w:val="257"/>
        </w:trPr>
        <w:tc>
          <w:tcPr>
            <w:tcW w:w="9771" w:type="dxa"/>
            <w:gridSpan w:val="14"/>
            <w:tcBorders>
              <w:top w:val="single" w:sz="8" w:space="0" w:color="DCDDDE"/>
              <w:left w:val="nil"/>
              <w:bottom w:val="single" w:sz="8" w:space="0" w:color="DCDDDE"/>
              <w:right w:val="nil"/>
            </w:tcBorders>
            <w:shd w:val="clear" w:color="000000" w:fill="DADADA"/>
            <w:noWrap/>
            <w:vAlign w:val="center"/>
            <w:hideMark/>
          </w:tcPr>
          <w:p w14:paraId="1A471C0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181744" w:rsidRPr="00181744" w14:paraId="40A8A2F4"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1476F6D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84" w:type="dxa"/>
            <w:tcBorders>
              <w:top w:val="nil"/>
              <w:left w:val="nil"/>
              <w:bottom w:val="single" w:sz="8" w:space="0" w:color="DCDDDE"/>
              <w:right w:val="nil"/>
            </w:tcBorders>
            <w:shd w:val="clear" w:color="000000" w:fill="FFFFFF"/>
            <w:noWrap/>
            <w:vAlign w:val="center"/>
            <w:hideMark/>
          </w:tcPr>
          <w:p w14:paraId="32E95B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316.5</w:t>
            </w:r>
          </w:p>
        </w:tc>
        <w:tc>
          <w:tcPr>
            <w:tcW w:w="684" w:type="dxa"/>
            <w:tcBorders>
              <w:top w:val="nil"/>
              <w:left w:val="nil"/>
              <w:bottom w:val="single" w:sz="8" w:space="0" w:color="DCDDDE"/>
              <w:right w:val="nil"/>
            </w:tcBorders>
            <w:shd w:val="clear" w:color="000000" w:fill="FFFFFF"/>
            <w:noWrap/>
            <w:vAlign w:val="center"/>
            <w:hideMark/>
          </w:tcPr>
          <w:p w14:paraId="3D6032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337.9</w:t>
            </w:r>
          </w:p>
        </w:tc>
        <w:tc>
          <w:tcPr>
            <w:tcW w:w="684" w:type="dxa"/>
            <w:tcBorders>
              <w:top w:val="nil"/>
              <w:left w:val="nil"/>
              <w:bottom w:val="single" w:sz="8" w:space="0" w:color="DCDDDE"/>
              <w:right w:val="nil"/>
            </w:tcBorders>
            <w:shd w:val="clear" w:color="000000" w:fill="FFFFFF"/>
            <w:noWrap/>
            <w:vAlign w:val="center"/>
            <w:hideMark/>
          </w:tcPr>
          <w:p w14:paraId="2E79567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335.3</w:t>
            </w:r>
          </w:p>
        </w:tc>
        <w:tc>
          <w:tcPr>
            <w:tcW w:w="684" w:type="dxa"/>
            <w:tcBorders>
              <w:top w:val="nil"/>
              <w:left w:val="nil"/>
              <w:bottom w:val="single" w:sz="8" w:space="0" w:color="DCDDDE"/>
              <w:right w:val="nil"/>
            </w:tcBorders>
            <w:shd w:val="clear" w:color="000000" w:fill="FFFFFF"/>
            <w:noWrap/>
            <w:vAlign w:val="center"/>
            <w:hideMark/>
          </w:tcPr>
          <w:p w14:paraId="7FF6883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371.4</w:t>
            </w:r>
          </w:p>
        </w:tc>
        <w:tc>
          <w:tcPr>
            <w:tcW w:w="684" w:type="dxa"/>
            <w:tcBorders>
              <w:top w:val="nil"/>
              <w:left w:val="nil"/>
              <w:bottom w:val="single" w:sz="8" w:space="0" w:color="DCDDDE"/>
              <w:right w:val="nil"/>
            </w:tcBorders>
            <w:shd w:val="clear" w:color="000000" w:fill="FFFFFF"/>
            <w:noWrap/>
            <w:vAlign w:val="center"/>
            <w:hideMark/>
          </w:tcPr>
          <w:p w14:paraId="2FD48B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380.4</w:t>
            </w:r>
          </w:p>
        </w:tc>
        <w:tc>
          <w:tcPr>
            <w:tcW w:w="684" w:type="dxa"/>
            <w:tcBorders>
              <w:top w:val="nil"/>
              <w:left w:val="nil"/>
              <w:bottom w:val="single" w:sz="8" w:space="0" w:color="DCDDDE"/>
              <w:right w:val="nil"/>
            </w:tcBorders>
            <w:shd w:val="clear" w:color="000000" w:fill="FFFFFF"/>
            <w:noWrap/>
            <w:vAlign w:val="center"/>
            <w:hideMark/>
          </w:tcPr>
          <w:p w14:paraId="07F0392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392.3</w:t>
            </w:r>
          </w:p>
        </w:tc>
        <w:tc>
          <w:tcPr>
            <w:tcW w:w="684" w:type="dxa"/>
            <w:tcBorders>
              <w:top w:val="nil"/>
              <w:left w:val="nil"/>
              <w:bottom w:val="single" w:sz="8" w:space="0" w:color="DCDDDE"/>
              <w:right w:val="nil"/>
            </w:tcBorders>
            <w:shd w:val="clear" w:color="000000" w:fill="FFFFFF"/>
            <w:noWrap/>
            <w:vAlign w:val="center"/>
            <w:hideMark/>
          </w:tcPr>
          <w:p w14:paraId="25CE3C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411.3</w:t>
            </w:r>
          </w:p>
        </w:tc>
        <w:tc>
          <w:tcPr>
            <w:tcW w:w="684" w:type="dxa"/>
            <w:tcBorders>
              <w:top w:val="nil"/>
              <w:left w:val="nil"/>
              <w:bottom w:val="single" w:sz="8" w:space="0" w:color="DCDDDE"/>
              <w:right w:val="nil"/>
            </w:tcBorders>
            <w:shd w:val="clear" w:color="000000" w:fill="FFFFFF"/>
            <w:noWrap/>
            <w:vAlign w:val="center"/>
            <w:hideMark/>
          </w:tcPr>
          <w:p w14:paraId="73E1B9B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425.5</w:t>
            </w:r>
          </w:p>
        </w:tc>
        <w:tc>
          <w:tcPr>
            <w:tcW w:w="684" w:type="dxa"/>
            <w:tcBorders>
              <w:top w:val="nil"/>
              <w:left w:val="nil"/>
              <w:bottom w:val="single" w:sz="8" w:space="0" w:color="DCDDDE"/>
              <w:right w:val="nil"/>
            </w:tcBorders>
            <w:shd w:val="clear" w:color="000000" w:fill="FFFFFF"/>
            <w:noWrap/>
            <w:vAlign w:val="center"/>
            <w:hideMark/>
          </w:tcPr>
          <w:p w14:paraId="359EDE9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441.6</w:t>
            </w:r>
          </w:p>
        </w:tc>
        <w:tc>
          <w:tcPr>
            <w:tcW w:w="684" w:type="dxa"/>
            <w:tcBorders>
              <w:top w:val="nil"/>
              <w:left w:val="nil"/>
              <w:bottom w:val="single" w:sz="8" w:space="0" w:color="DCDDDE"/>
              <w:right w:val="nil"/>
            </w:tcBorders>
            <w:shd w:val="clear" w:color="000000" w:fill="FFFFFF"/>
            <w:noWrap/>
            <w:vAlign w:val="center"/>
            <w:hideMark/>
          </w:tcPr>
          <w:p w14:paraId="2ACE7F1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447.9</w:t>
            </w:r>
          </w:p>
        </w:tc>
        <w:tc>
          <w:tcPr>
            <w:tcW w:w="684" w:type="dxa"/>
            <w:tcBorders>
              <w:top w:val="nil"/>
              <w:left w:val="nil"/>
              <w:bottom w:val="single" w:sz="8" w:space="0" w:color="DCDDDE"/>
              <w:right w:val="nil"/>
            </w:tcBorders>
            <w:shd w:val="clear" w:color="000000" w:fill="FFFFFF"/>
            <w:noWrap/>
            <w:vAlign w:val="center"/>
            <w:hideMark/>
          </w:tcPr>
          <w:p w14:paraId="4EEEFB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451.5</w:t>
            </w:r>
          </w:p>
        </w:tc>
        <w:tc>
          <w:tcPr>
            <w:tcW w:w="684" w:type="dxa"/>
            <w:tcBorders>
              <w:top w:val="nil"/>
              <w:left w:val="nil"/>
              <w:bottom w:val="single" w:sz="8" w:space="0" w:color="DCDDDE"/>
              <w:right w:val="nil"/>
            </w:tcBorders>
            <w:shd w:val="clear" w:color="000000" w:fill="FFFFFF"/>
            <w:noWrap/>
            <w:vAlign w:val="center"/>
            <w:hideMark/>
          </w:tcPr>
          <w:p w14:paraId="412ED0D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450.8</w:t>
            </w:r>
          </w:p>
        </w:tc>
        <w:tc>
          <w:tcPr>
            <w:tcW w:w="684" w:type="dxa"/>
            <w:tcBorders>
              <w:top w:val="nil"/>
              <w:left w:val="nil"/>
              <w:bottom w:val="single" w:sz="8" w:space="0" w:color="DCDDDE"/>
              <w:right w:val="nil"/>
            </w:tcBorders>
            <w:shd w:val="clear" w:color="000000" w:fill="FFFFFF"/>
            <w:noWrap/>
            <w:vAlign w:val="center"/>
            <w:hideMark/>
          </w:tcPr>
          <w:p w14:paraId="3C0FAE9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448.4</w:t>
            </w:r>
          </w:p>
        </w:tc>
      </w:tr>
      <w:tr w:rsidR="00181744" w:rsidRPr="00181744" w14:paraId="68184E88"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20803FE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84" w:type="dxa"/>
            <w:tcBorders>
              <w:top w:val="nil"/>
              <w:left w:val="nil"/>
              <w:bottom w:val="single" w:sz="8" w:space="0" w:color="DCDDDE"/>
              <w:right w:val="nil"/>
            </w:tcBorders>
            <w:shd w:val="clear" w:color="000000" w:fill="FFFFFF"/>
            <w:noWrap/>
            <w:vAlign w:val="center"/>
            <w:hideMark/>
          </w:tcPr>
          <w:p w14:paraId="73209C3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683.2</w:t>
            </w:r>
          </w:p>
        </w:tc>
        <w:tc>
          <w:tcPr>
            <w:tcW w:w="684" w:type="dxa"/>
            <w:tcBorders>
              <w:top w:val="nil"/>
              <w:left w:val="nil"/>
              <w:bottom w:val="single" w:sz="8" w:space="0" w:color="DCDDDE"/>
              <w:right w:val="nil"/>
            </w:tcBorders>
            <w:shd w:val="clear" w:color="000000" w:fill="FFFFFF"/>
            <w:noWrap/>
            <w:vAlign w:val="center"/>
            <w:hideMark/>
          </w:tcPr>
          <w:p w14:paraId="4516E51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699.9</w:t>
            </w:r>
          </w:p>
        </w:tc>
        <w:tc>
          <w:tcPr>
            <w:tcW w:w="684" w:type="dxa"/>
            <w:tcBorders>
              <w:top w:val="nil"/>
              <w:left w:val="nil"/>
              <w:bottom w:val="single" w:sz="8" w:space="0" w:color="DCDDDE"/>
              <w:right w:val="nil"/>
            </w:tcBorders>
            <w:shd w:val="clear" w:color="000000" w:fill="FFFFFF"/>
            <w:noWrap/>
            <w:vAlign w:val="center"/>
            <w:hideMark/>
          </w:tcPr>
          <w:p w14:paraId="1A608DA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689.3</w:t>
            </w:r>
          </w:p>
        </w:tc>
        <w:tc>
          <w:tcPr>
            <w:tcW w:w="684" w:type="dxa"/>
            <w:tcBorders>
              <w:top w:val="nil"/>
              <w:left w:val="nil"/>
              <w:bottom w:val="single" w:sz="8" w:space="0" w:color="DCDDDE"/>
              <w:right w:val="nil"/>
            </w:tcBorders>
            <w:shd w:val="clear" w:color="000000" w:fill="FFFFFF"/>
            <w:noWrap/>
            <w:vAlign w:val="center"/>
            <w:hideMark/>
          </w:tcPr>
          <w:p w14:paraId="052662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710.5</w:t>
            </w:r>
          </w:p>
        </w:tc>
        <w:tc>
          <w:tcPr>
            <w:tcW w:w="684" w:type="dxa"/>
            <w:tcBorders>
              <w:top w:val="nil"/>
              <w:left w:val="nil"/>
              <w:bottom w:val="single" w:sz="8" w:space="0" w:color="DCDDDE"/>
              <w:right w:val="nil"/>
            </w:tcBorders>
            <w:shd w:val="clear" w:color="000000" w:fill="FFFFFF"/>
            <w:noWrap/>
            <w:vAlign w:val="center"/>
            <w:hideMark/>
          </w:tcPr>
          <w:p w14:paraId="2CA1BD9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695.0</w:t>
            </w:r>
          </w:p>
        </w:tc>
        <w:tc>
          <w:tcPr>
            <w:tcW w:w="684" w:type="dxa"/>
            <w:tcBorders>
              <w:top w:val="nil"/>
              <w:left w:val="nil"/>
              <w:bottom w:val="single" w:sz="8" w:space="0" w:color="DCDDDE"/>
              <w:right w:val="nil"/>
            </w:tcBorders>
            <w:shd w:val="clear" w:color="000000" w:fill="FFFFFF"/>
            <w:noWrap/>
            <w:vAlign w:val="center"/>
            <w:hideMark/>
          </w:tcPr>
          <w:p w14:paraId="53F2DED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758.5</w:t>
            </w:r>
          </w:p>
        </w:tc>
        <w:tc>
          <w:tcPr>
            <w:tcW w:w="684" w:type="dxa"/>
            <w:tcBorders>
              <w:top w:val="nil"/>
              <w:left w:val="nil"/>
              <w:bottom w:val="single" w:sz="8" w:space="0" w:color="DCDDDE"/>
              <w:right w:val="nil"/>
            </w:tcBorders>
            <w:shd w:val="clear" w:color="000000" w:fill="FFFFFF"/>
            <w:noWrap/>
            <w:vAlign w:val="center"/>
            <w:hideMark/>
          </w:tcPr>
          <w:p w14:paraId="275B8C3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729.4</w:t>
            </w:r>
          </w:p>
        </w:tc>
        <w:tc>
          <w:tcPr>
            <w:tcW w:w="684" w:type="dxa"/>
            <w:tcBorders>
              <w:top w:val="nil"/>
              <w:left w:val="nil"/>
              <w:bottom w:val="single" w:sz="8" w:space="0" w:color="DCDDDE"/>
              <w:right w:val="nil"/>
            </w:tcBorders>
            <w:shd w:val="clear" w:color="000000" w:fill="FFFFFF"/>
            <w:noWrap/>
            <w:vAlign w:val="center"/>
            <w:hideMark/>
          </w:tcPr>
          <w:p w14:paraId="7E1DDC1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709.0</w:t>
            </w:r>
          </w:p>
        </w:tc>
        <w:tc>
          <w:tcPr>
            <w:tcW w:w="684" w:type="dxa"/>
            <w:tcBorders>
              <w:top w:val="nil"/>
              <w:left w:val="nil"/>
              <w:bottom w:val="single" w:sz="8" w:space="0" w:color="DCDDDE"/>
              <w:right w:val="nil"/>
            </w:tcBorders>
            <w:shd w:val="clear" w:color="000000" w:fill="FFFFFF"/>
            <w:noWrap/>
            <w:vAlign w:val="center"/>
            <w:hideMark/>
          </w:tcPr>
          <w:p w14:paraId="5A9213B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674.2</w:t>
            </w:r>
          </w:p>
        </w:tc>
        <w:tc>
          <w:tcPr>
            <w:tcW w:w="684" w:type="dxa"/>
            <w:tcBorders>
              <w:top w:val="nil"/>
              <w:left w:val="nil"/>
              <w:bottom w:val="single" w:sz="8" w:space="0" w:color="DCDDDE"/>
              <w:right w:val="nil"/>
            </w:tcBorders>
            <w:shd w:val="clear" w:color="000000" w:fill="FFFFFF"/>
            <w:noWrap/>
            <w:vAlign w:val="center"/>
            <w:hideMark/>
          </w:tcPr>
          <w:p w14:paraId="310BEC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656.0</w:t>
            </w:r>
          </w:p>
        </w:tc>
        <w:tc>
          <w:tcPr>
            <w:tcW w:w="684" w:type="dxa"/>
            <w:tcBorders>
              <w:top w:val="nil"/>
              <w:left w:val="nil"/>
              <w:bottom w:val="single" w:sz="8" w:space="0" w:color="DCDDDE"/>
              <w:right w:val="nil"/>
            </w:tcBorders>
            <w:shd w:val="clear" w:color="000000" w:fill="FFFFFF"/>
            <w:noWrap/>
            <w:vAlign w:val="center"/>
            <w:hideMark/>
          </w:tcPr>
          <w:p w14:paraId="318F69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610.0</w:t>
            </w:r>
          </w:p>
        </w:tc>
        <w:tc>
          <w:tcPr>
            <w:tcW w:w="684" w:type="dxa"/>
            <w:tcBorders>
              <w:top w:val="nil"/>
              <w:left w:val="nil"/>
              <w:bottom w:val="single" w:sz="8" w:space="0" w:color="DCDDDE"/>
              <w:right w:val="nil"/>
            </w:tcBorders>
            <w:shd w:val="clear" w:color="000000" w:fill="FFFFFF"/>
            <w:noWrap/>
            <w:vAlign w:val="center"/>
            <w:hideMark/>
          </w:tcPr>
          <w:p w14:paraId="65D4C09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555.1</w:t>
            </w:r>
          </w:p>
        </w:tc>
        <w:tc>
          <w:tcPr>
            <w:tcW w:w="684" w:type="dxa"/>
            <w:tcBorders>
              <w:top w:val="nil"/>
              <w:left w:val="nil"/>
              <w:bottom w:val="single" w:sz="8" w:space="0" w:color="DCDDDE"/>
              <w:right w:val="nil"/>
            </w:tcBorders>
            <w:shd w:val="clear" w:color="000000" w:fill="FFFFFF"/>
            <w:noWrap/>
            <w:vAlign w:val="center"/>
            <w:hideMark/>
          </w:tcPr>
          <w:p w14:paraId="2DEC94E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499.7</w:t>
            </w:r>
          </w:p>
        </w:tc>
      </w:tr>
      <w:tr w:rsidR="00181744" w:rsidRPr="00181744" w14:paraId="1557857F"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0789AC9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84" w:type="dxa"/>
            <w:tcBorders>
              <w:top w:val="nil"/>
              <w:left w:val="nil"/>
              <w:bottom w:val="single" w:sz="8" w:space="0" w:color="DCDDDE"/>
              <w:right w:val="nil"/>
            </w:tcBorders>
            <w:shd w:val="clear" w:color="000000" w:fill="FFFFFF"/>
            <w:noWrap/>
            <w:vAlign w:val="center"/>
            <w:hideMark/>
          </w:tcPr>
          <w:p w14:paraId="47AF205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74.1</w:t>
            </w:r>
          </w:p>
        </w:tc>
        <w:tc>
          <w:tcPr>
            <w:tcW w:w="684" w:type="dxa"/>
            <w:tcBorders>
              <w:top w:val="nil"/>
              <w:left w:val="nil"/>
              <w:bottom w:val="single" w:sz="8" w:space="0" w:color="DCDDDE"/>
              <w:right w:val="nil"/>
            </w:tcBorders>
            <w:shd w:val="clear" w:color="000000" w:fill="FFFFFF"/>
            <w:noWrap/>
            <w:vAlign w:val="center"/>
            <w:hideMark/>
          </w:tcPr>
          <w:p w14:paraId="247914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90.3</w:t>
            </w:r>
          </w:p>
        </w:tc>
        <w:tc>
          <w:tcPr>
            <w:tcW w:w="684" w:type="dxa"/>
            <w:tcBorders>
              <w:top w:val="nil"/>
              <w:left w:val="nil"/>
              <w:bottom w:val="single" w:sz="8" w:space="0" w:color="DCDDDE"/>
              <w:right w:val="nil"/>
            </w:tcBorders>
            <w:shd w:val="clear" w:color="000000" w:fill="FFFFFF"/>
            <w:noWrap/>
            <w:vAlign w:val="center"/>
            <w:hideMark/>
          </w:tcPr>
          <w:p w14:paraId="5411A3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101.8</w:t>
            </w:r>
          </w:p>
        </w:tc>
        <w:tc>
          <w:tcPr>
            <w:tcW w:w="684" w:type="dxa"/>
            <w:tcBorders>
              <w:top w:val="nil"/>
              <w:left w:val="nil"/>
              <w:bottom w:val="single" w:sz="8" w:space="0" w:color="DCDDDE"/>
              <w:right w:val="nil"/>
            </w:tcBorders>
            <w:shd w:val="clear" w:color="000000" w:fill="FFFFFF"/>
            <w:noWrap/>
            <w:vAlign w:val="center"/>
            <w:hideMark/>
          </w:tcPr>
          <w:p w14:paraId="43C74D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113.8</w:t>
            </w:r>
          </w:p>
        </w:tc>
        <w:tc>
          <w:tcPr>
            <w:tcW w:w="684" w:type="dxa"/>
            <w:tcBorders>
              <w:top w:val="nil"/>
              <w:left w:val="nil"/>
              <w:bottom w:val="single" w:sz="8" w:space="0" w:color="DCDDDE"/>
              <w:right w:val="nil"/>
            </w:tcBorders>
            <w:shd w:val="clear" w:color="000000" w:fill="FFFFFF"/>
            <w:noWrap/>
            <w:vAlign w:val="center"/>
            <w:hideMark/>
          </w:tcPr>
          <w:p w14:paraId="5001152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124.5</w:t>
            </w:r>
          </w:p>
        </w:tc>
        <w:tc>
          <w:tcPr>
            <w:tcW w:w="684" w:type="dxa"/>
            <w:tcBorders>
              <w:top w:val="nil"/>
              <w:left w:val="nil"/>
              <w:bottom w:val="single" w:sz="8" w:space="0" w:color="DCDDDE"/>
              <w:right w:val="nil"/>
            </w:tcBorders>
            <w:shd w:val="clear" w:color="000000" w:fill="FFFFFF"/>
            <w:noWrap/>
            <w:vAlign w:val="center"/>
            <w:hideMark/>
          </w:tcPr>
          <w:p w14:paraId="54965FC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135.5</w:t>
            </w:r>
          </w:p>
        </w:tc>
        <w:tc>
          <w:tcPr>
            <w:tcW w:w="684" w:type="dxa"/>
            <w:tcBorders>
              <w:top w:val="nil"/>
              <w:left w:val="nil"/>
              <w:bottom w:val="single" w:sz="8" w:space="0" w:color="DCDDDE"/>
              <w:right w:val="nil"/>
            </w:tcBorders>
            <w:shd w:val="clear" w:color="000000" w:fill="FFFFFF"/>
            <w:noWrap/>
            <w:vAlign w:val="center"/>
            <w:hideMark/>
          </w:tcPr>
          <w:p w14:paraId="27E5158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147.1</w:t>
            </w:r>
          </w:p>
        </w:tc>
        <w:tc>
          <w:tcPr>
            <w:tcW w:w="684" w:type="dxa"/>
            <w:tcBorders>
              <w:top w:val="nil"/>
              <w:left w:val="nil"/>
              <w:bottom w:val="single" w:sz="8" w:space="0" w:color="DCDDDE"/>
              <w:right w:val="nil"/>
            </w:tcBorders>
            <w:shd w:val="clear" w:color="000000" w:fill="FFFFFF"/>
            <w:noWrap/>
            <w:vAlign w:val="center"/>
            <w:hideMark/>
          </w:tcPr>
          <w:p w14:paraId="1A76E94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162.2</w:t>
            </w:r>
          </w:p>
        </w:tc>
        <w:tc>
          <w:tcPr>
            <w:tcW w:w="684" w:type="dxa"/>
            <w:tcBorders>
              <w:top w:val="nil"/>
              <w:left w:val="nil"/>
              <w:bottom w:val="single" w:sz="8" w:space="0" w:color="DCDDDE"/>
              <w:right w:val="nil"/>
            </w:tcBorders>
            <w:shd w:val="clear" w:color="000000" w:fill="FFFFFF"/>
            <w:noWrap/>
            <w:vAlign w:val="center"/>
            <w:hideMark/>
          </w:tcPr>
          <w:p w14:paraId="5EDF31F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175.8</w:t>
            </w:r>
          </w:p>
        </w:tc>
        <w:tc>
          <w:tcPr>
            <w:tcW w:w="684" w:type="dxa"/>
            <w:tcBorders>
              <w:top w:val="nil"/>
              <w:left w:val="nil"/>
              <w:bottom w:val="single" w:sz="8" w:space="0" w:color="DCDDDE"/>
              <w:right w:val="nil"/>
            </w:tcBorders>
            <w:shd w:val="clear" w:color="000000" w:fill="FFFFFF"/>
            <w:noWrap/>
            <w:vAlign w:val="center"/>
            <w:hideMark/>
          </w:tcPr>
          <w:p w14:paraId="338C91E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189.9</w:t>
            </w:r>
          </w:p>
        </w:tc>
        <w:tc>
          <w:tcPr>
            <w:tcW w:w="684" w:type="dxa"/>
            <w:tcBorders>
              <w:top w:val="nil"/>
              <w:left w:val="nil"/>
              <w:bottom w:val="single" w:sz="8" w:space="0" w:color="DCDDDE"/>
              <w:right w:val="nil"/>
            </w:tcBorders>
            <w:shd w:val="clear" w:color="000000" w:fill="FFFFFF"/>
            <w:noWrap/>
            <w:vAlign w:val="center"/>
            <w:hideMark/>
          </w:tcPr>
          <w:p w14:paraId="32C6BF4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204.5</w:t>
            </w:r>
          </w:p>
        </w:tc>
        <w:tc>
          <w:tcPr>
            <w:tcW w:w="684" w:type="dxa"/>
            <w:tcBorders>
              <w:top w:val="nil"/>
              <w:left w:val="nil"/>
              <w:bottom w:val="single" w:sz="8" w:space="0" w:color="DCDDDE"/>
              <w:right w:val="nil"/>
            </w:tcBorders>
            <w:shd w:val="clear" w:color="000000" w:fill="FFFFFF"/>
            <w:noWrap/>
            <w:vAlign w:val="center"/>
            <w:hideMark/>
          </w:tcPr>
          <w:p w14:paraId="0DA42D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219.7</w:t>
            </w:r>
          </w:p>
        </w:tc>
        <w:tc>
          <w:tcPr>
            <w:tcW w:w="684" w:type="dxa"/>
            <w:tcBorders>
              <w:top w:val="nil"/>
              <w:left w:val="nil"/>
              <w:bottom w:val="single" w:sz="8" w:space="0" w:color="DCDDDE"/>
              <w:right w:val="nil"/>
            </w:tcBorders>
            <w:shd w:val="clear" w:color="000000" w:fill="FFFFFF"/>
            <w:noWrap/>
            <w:vAlign w:val="center"/>
            <w:hideMark/>
          </w:tcPr>
          <w:p w14:paraId="6E718D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230.4</w:t>
            </w:r>
          </w:p>
        </w:tc>
      </w:tr>
      <w:tr w:rsidR="00181744" w:rsidRPr="00181744" w14:paraId="333B3085"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59A91A1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84" w:type="dxa"/>
            <w:tcBorders>
              <w:top w:val="nil"/>
              <w:left w:val="nil"/>
              <w:bottom w:val="single" w:sz="8" w:space="0" w:color="DCDDDE"/>
              <w:right w:val="nil"/>
            </w:tcBorders>
            <w:shd w:val="clear" w:color="000000" w:fill="FFFFFF"/>
            <w:noWrap/>
            <w:vAlign w:val="center"/>
            <w:hideMark/>
          </w:tcPr>
          <w:p w14:paraId="475B1D6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20.9</w:t>
            </w:r>
          </w:p>
        </w:tc>
        <w:tc>
          <w:tcPr>
            <w:tcW w:w="684" w:type="dxa"/>
            <w:tcBorders>
              <w:top w:val="nil"/>
              <w:left w:val="nil"/>
              <w:bottom w:val="single" w:sz="8" w:space="0" w:color="DCDDDE"/>
              <w:right w:val="nil"/>
            </w:tcBorders>
            <w:shd w:val="clear" w:color="000000" w:fill="FFFFFF"/>
            <w:noWrap/>
            <w:vAlign w:val="center"/>
            <w:hideMark/>
          </w:tcPr>
          <w:p w14:paraId="0D84D17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20.1</w:t>
            </w:r>
          </w:p>
        </w:tc>
        <w:tc>
          <w:tcPr>
            <w:tcW w:w="684" w:type="dxa"/>
            <w:tcBorders>
              <w:top w:val="nil"/>
              <w:left w:val="nil"/>
              <w:bottom w:val="single" w:sz="8" w:space="0" w:color="DCDDDE"/>
              <w:right w:val="nil"/>
            </w:tcBorders>
            <w:shd w:val="clear" w:color="000000" w:fill="FFFFFF"/>
            <w:noWrap/>
            <w:vAlign w:val="center"/>
            <w:hideMark/>
          </w:tcPr>
          <w:p w14:paraId="3B6487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20.2</w:t>
            </w:r>
          </w:p>
        </w:tc>
        <w:tc>
          <w:tcPr>
            <w:tcW w:w="684" w:type="dxa"/>
            <w:tcBorders>
              <w:top w:val="nil"/>
              <w:left w:val="nil"/>
              <w:bottom w:val="single" w:sz="8" w:space="0" w:color="DCDDDE"/>
              <w:right w:val="nil"/>
            </w:tcBorders>
            <w:shd w:val="clear" w:color="000000" w:fill="FFFFFF"/>
            <w:noWrap/>
            <w:vAlign w:val="center"/>
            <w:hideMark/>
          </w:tcPr>
          <w:p w14:paraId="1AA234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5BBCF98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7BBCEF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A383F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7AE6BE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01317AE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624513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0F0969E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7730401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116D02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r>
      <w:tr w:rsidR="00181744" w:rsidRPr="00181744" w14:paraId="52EC5E98"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00C1307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84" w:type="dxa"/>
            <w:tcBorders>
              <w:top w:val="nil"/>
              <w:left w:val="nil"/>
              <w:bottom w:val="single" w:sz="8" w:space="0" w:color="DCDDDE"/>
              <w:right w:val="nil"/>
            </w:tcBorders>
            <w:shd w:val="clear" w:color="000000" w:fill="FFFFFF"/>
            <w:noWrap/>
            <w:vAlign w:val="center"/>
            <w:hideMark/>
          </w:tcPr>
          <w:p w14:paraId="0E6C158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1,094.5</w:t>
            </w:r>
          </w:p>
        </w:tc>
        <w:tc>
          <w:tcPr>
            <w:tcW w:w="684" w:type="dxa"/>
            <w:tcBorders>
              <w:top w:val="nil"/>
              <w:left w:val="nil"/>
              <w:bottom w:val="single" w:sz="8" w:space="0" w:color="DCDDDE"/>
              <w:right w:val="nil"/>
            </w:tcBorders>
            <w:shd w:val="clear" w:color="000000" w:fill="FFFFFF"/>
            <w:noWrap/>
            <w:vAlign w:val="center"/>
            <w:hideMark/>
          </w:tcPr>
          <w:p w14:paraId="6382918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1,148.1</w:t>
            </w:r>
          </w:p>
        </w:tc>
        <w:tc>
          <w:tcPr>
            <w:tcW w:w="684" w:type="dxa"/>
            <w:tcBorders>
              <w:top w:val="nil"/>
              <w:left w:val="nil"/>
              <w:bottom w:val="single" w:sz="8" w:space="0" w:color="DCDDDE"/>
              <w:right w:val="nil"/>
            </w:tcBorders>
            <w:shd w:val="clear" w:color="000000" w:fill="FFFFFF"/>
            <w:noWrap/>
            <w:vAlign w:val="center"/>
            <w:hideMark/>
          </w:tcPr>
          <w:p w14:paraId="23165B0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1,146.6</w:t>
            </w:r>
          </w:p>
        </w:tc>
        <w:tc>
          <w:tcPr>
            <w:tcW w:w="684" w:type="dxa"/>
            <w:tcBorders>
              <w:top w:val="nil"/>
              <w:left w:val="nil"/>
              <w:bottom w:val="single" w:sz="8" w:space="0" w:color="DCDDDE"/>
              <w:right w:val="nil"/>
            </w:tcBorders>
            <w:shd w:val="clear" w:color="000000" w:fill="FFFFFF"/>
            <w:noWrap/>
            <w:vAlign w:val="center"/>
            <w:hideMark/>
          </w:tcPr>
          <w:p w14:paraId="2BADD48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1,199.5</w:t>
            </w:r>
          </w:p>
        </w:tc>
        <w:tc>
          <w:tcPr>
            <w:tcW w:w="684" w:type="dxa"/>
            <w:tcBorders>
              <w:top w:val="nil"/>
              <w:left w:val="nil"/>
              <w:bottom w:val="single" w:sz="8" w:space="0" w:color="DCDDDE"/>
              <w:right w:val="nil"/>
            </w:tcBorders>
            <w:shd w:val="clear" w:color="000000" w:fill="FFFFFF"/>
            <w:noWrap/>
            <w:vAlign w:val="center"/>
            <w:hideMark/>
          </w:tcPr>
          <w:p w14:paraId="46BF54D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1,203.6</w:t>
            </w:r>
          </w:p>
        </w:tc>
        <w:tc>
          <w:tcPr>
            <w:tcW w:w="684" w:type="dxa"/>
            <w:tcBorders>
              <w:top w:val="nil"/>
              <w:left w:val="nil"/>
              <w:bottom w:val="single" w:sz="8" w:space="0" w:color="DCDDDE"/>
              <w:right w:val="nil"/>
            </w:tcBorders>
            <w:shd w:val="clear" w:color="000000" w:fill="FFFFFF"/>
            <w:noWrap/>
            <w:vAlign w:val="center"/>
            <w:hideMark/>
          </w:tcPr>
          <w:p w14:paraId="3526005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1,290.2</w:t>
            </w:r>
          </w:p>
        </w:tc>
        <w:tc>
          <w:tcPr>
            <w:tcW w:w="684" w:type="dxa"/>
            <w:tcBorders>
              <w:top w:val="nil"/>
              <w:left w:val="nil"/>
              <w:bottom w:val="single" w:sz="8" w:space="0" w:color="DCDDDE"/>
              <w:right w:val="nil"/>
            </w:tcBorders>
            <w:shd w:val="clear" w:color="000000" w:fill="FFFFFF"/>
            <w:noWrap/>
            <w:vAlign w:val="center"/>
            <w:hideMark/>
          </w:tcPr>
          <w:p w14:paraId="0DE6D8D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1,291.5</w:t>
            </w:r>
          </w:p>
        </w:tc>
        <w:tc>
          <w:tcPr>
            <w:tcW w:w="684" w:type="dxa"/>
            <w:tcBorders>
              <w:top w:val="nil"/>
              <w:left w:val="nil"/>
              <w:bottom w:val="single" w:sz="8" w:space="0" w:color="DCDDDE"/>
              <w:right w:val="nil"/>
            </w:tcBorders>
            <w:shd w:val="clear" w:color="000000" w:fill="FFFFFF"/>
            <w:noWrap/>
            <w:vAlign w:val="center"/>
            <w:hideMark/>
          </w:tcPr>
          <w:p w14:paraId="6C19EA3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1,300.5</w:t>
            </w:r>
          </w:p>
        </w:tc>
        <w:tc>
          <w:tcPr>
            <w:tcW w:w="684" w:type="dxa"/>
            <w:tcBorders>
              <w:top w:val="nil"/>
              <w:left w:val="nil"/>
              <w:bottom w:val="single" w:sz="8" w:space="0" w:color="DCDDDE"/>
              <w:right w:val="nil"/>
            </w:tcBorders>
            <w:shd w:val="clear" w:color="000000" w:fill="FFFFFF"/>
            <w:noWrap/>
            <w:vAlign w:val="center"/>
            <w:hideMark/>
          </w:tcPr>
          <w:p w14:paraId="393B946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1,295.4</w:t>
            </w:r>
          </w:p>
        </w:tc>
        <w:tc>
          <w:tcPr>
            <w:tcW w:w="684" w:type="dxa"/>
            <w:tcBorders>
              <w:top w:val="nil"/>
              <w:left w:val="nil"/>
              <w:bottom w:val="single" w:sz="8" w:space="0" w:color="DCDDDE"/>
              <w:right w:val="nil"/>
            </w:tcBorders>
            <w:shd w:val="clear" w:color="000000" w:fill="FFFFFF"/>
            <w:noWrap/>
            <w:vAlign w:val="center"/>
            <w:hideMark/>
          </w:tcPr>
          <w:p w14:paraId="3DB90B7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1,297.6</w:t>
            </w:r>
          </w:p>
        </w:tc>
        <w:tc>
          <w:tcPr>
            <w:tcW w:w="684" w:type="dxa"/>
            <w:tcBorders>
              <w:top w:val="nil"/>
              <w:left w:val="nil"/>
              <w:bottom w:val="single" w:sz="8" w:space="0" w:color="DCDDDE"/>
              <w:right w:val="nil"/>
            </w:tcBorders>
            <w:shd w:val="clear" w:color="000000" w:fill="FFFFFF"/>
            <w:noWrap/>
            <w:vAlign w:val="center"/>
            <w:hideMark/>
          </w:tcPr>
          <w:p w14:paraId="7EF971C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1,269.8</w:t>
            </w:r>
          </w:p>
        </w:tc>
        <w:tc>
          <w:tcPr>
            <w:tcW w:w="684" w:type="dxa"/>
            <w:tcBorders>
              <w:top w:val="nil"/>
              <w:left w:val="nil"/>
              <w:bottom w:val="single" w:sz="8" w:space="0" w:color="DCDDDE"/>
              <w:right w:val="nil"/>
            </w:tcBorders>
            <w:shd w:val="clear" w:color="000000" w:fill="FFFFFF"/>
            <w:noWrap/>
            <w:vAlign w:val="center"/>
            <w:hideMark/>
          </w:tcPr>
          <w:p w14:paraId="428DC25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1,229.4</w:t>
            </w:r>
          </w:p>
        </w:tc>
        <w:tc>
          <w:tcPr>
            <w:tcW w:w="684" w:type="dxa"/>
            <w:tcBorders>
              <w:top w:val="nil"/>
              <w:left w:val="nil"/>
              <w:bottom w:val="single" w:sz="8" w:space="0" w:color="DCDDDE"/>
              <w:right w:val="nil"/>
            </w:tcBorders>
            <w:shd w:val="clear" w:color="000000" w:fill="FFFFFF"/>
            <w:noWrap/>
            <w:vAlign w:val="center"/>
            <w:hideMark/>
          </w:tcPr>
          <w:p w14:paraId="5364891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1,182.3</w:t>
            </w:r>
          </w:p>
        </w:tc>
      </w:tr>
      <w:tr w:rsidR="00181744" w:rsidRPr="00181744" w14:paraId="024F4031" w14:textId="77777777" w:rsidTr="00416D32">
        <w:trPr>
          <w:trHeight w:val="257"/>
        </w:trPr>
        <w:tc>
          <w:tcPr>
            <w:tcW w:w="9771" w:type="dxa"/>
            <w:gridSpan w:val="14"/>
            <w:tcBorders>
              <w:top w:val="single" w:sz="8" w:space="0" w:color="DCDDDE"/>
              <w:left w:val="nil"/>
              <w:bottom w:val="single" w:sz="8" w:space="0" w:color="DCDDDE"/>
              <w:right w:val="nil"/>
            </w:tcBorders>
            <w:shd w:val="clear" w:color="000000" w:fill="DADADA"/>
            <w:noWrap/>
            <w:vAlign w:val="center"/>
            <w:hideMark/>
          </w:tcPr>
          <w:p w14:paraId="50F5D73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181744" w:rsidRPr="00181744" w14:paraId="1AA1CFF8"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355E430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84" w:type="dxa"/>
            <w:tcBorders>
              <w:top w:val="nil"/>
              <w:left w:val="nil"/>
              <w:bottom w:val="single" w:sz="8" w:space="0" w:color="DCDDDE"/>
              <w:right w:val="nil"/>
            </w:tcBorders>
            <w:shd w:val="clear" w:color="000000" w:fill="FFFFFF"/>
            <w:noWrap/>
            <w:vAlign w:val="center"/>
            <w:hideMark/>
          </w:tcPr>
          <w:p w14:paraId="7C3E82B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332.6</w:t>
            </w:r>
          </w:p>
        </w:tc>
        <w:tc>
          <w:tcPr>
            <w:tcW w:w="684" w:type="dxa"/>
            <w:tcBorders>
              <w:top w:val="nil"/>
              <w:left w:val="nil"/>
              <w:bottom w:val="single" w:sz="8" w:space="0" w:color="DCDDDE"/>
              <w:right w:val="nil"/>
            </w:tcBorders>
            <w:shd w:val="clear" w:color="000000" w:fill="FFFFFF"/>
            <w:noWrap/>
            <w:vAlign w:val="center"/>
            <w:hideMark/>
          </w:tcPr>
          <w:p w14:paraId="0528A9A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353.6</w:t>
            </w:r>
          </w:p>
        </w:tc>
        <w:tc>
          <w:tcPr>
            <w:tcW w:w="684" w:type="dxa"/>
            <w:tcBorders>
              <w:top w:val="nil"/>
              <w:left w:val="nil"/>
              <w:bottom w:val="single" w:sz="8" w:space="0" w:color="DCDDDE"/>
              <w:right w:val="nil"/>
            </w:tcBorders>
            <w:shd w:val="clear" w:color="000000" w:fill="FFFFFF"/>
            <w:noWrap/>
            <w:vAlign w:val="center"/>
            <w:hideMark/>
          </w:tcPr>
          <w:p w14:paraId="04012E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351.8</w:t>
            </w:r>
          </w:p>
        </w:tc>
        <w:tc>
          <w:tcPr>
            <w:tcW w:w="684" w:type="dxa"/>
            <w:tcBorders>
              <w:top w:val="nil"/>
              <w:left w:val="nil"/>
              <w:bottom w:val="single" w:sz="8" w:space="0" w:color="DCDDDE"/>
              <w:right w:val="nil"/>
            </w:tcBorders>
            <w:shd w:val="clear" w:color="000000" w:fill="FFFFFF"/>
            <w:noWrap/>
            <w:vAlign w:val="center"/>
            <w:hideMark/>
          </w:tcPr>
          <w:p w14:paraId="3C5386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386.4</w:t>
            </w:r>
          </w:p>
        </w:tc>
        <w:tc>
          <w:tcPr>
            <w:tcW w:w="684" w:type="dxa"/>
            <w:tcBorders>
              <w:top w:val="nil"/>
              <w:left w:val="nil"/>
              <w:bottom w:val="single" w:sz="8" w:space="0" w:color="DCDDDE"/>
              <w:right w:val="nil"/>
            </w:tcBorders>
            <w:shd w:val="clear" w:color="000000" w:fill="FFFFFF"/>
            <w:noWrap/>
            <w:vAlign w:val="center"/>
            <w:hideMark/>
          </w:tcPr>
          <w:p w14:paraId="6B520C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393.9</w:t>
            </w:r>
          </w:p>
        </w:tc>
        <w:tc>
          <w:tcPr>
            <w:tcW w:w="684" w:type="dxa"/>
            <w:tcBorders>
              <w:top w:val="nil"/>
              <w:left w:val="nil"/>
              <w:bottom w:val="single" w:sz="8" w:space="0" w:color="DCDDDE"/>
              <w:right w:val="nil"/>
            </w:tcBorders>
            <w:shd w:val="clear" w:color="000000" w:fill="FFFFFF"/>
            <w:noWrap/>
            <w:vAlign w:val="center"/>
            <w:hideMark/>
          </w:tcPr>
          <w:p w14:paraId="45A567E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408.2</w:t>
            </w:r>
          </w:p>
        </w:tc>
        <w:tc>
          <w:tcPr>
            <w:tcW w:w="684" w:type="dxa"/>
            <w:tcBorders>
              <w:top w:val="nil"/>
              <w:left w:val="nil"/>
              <w:bottom w:val="single" w:sz="8" w:space="0" w:color="DCDDDE"/>
              <w:right w:val="nil"/>
            </w:tcBorders>
            <w:shd w:val="clear" w:color="000000" w:fill="FFFFFF"/>
            <w:noWrap/>
            <w:vAlign w:val="center"/>
            <w:hideMark/>
          </w:tcPr>
          <w:p w14:paraId="758EE0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444.8</w:t>
            </w:r>
          </w:p>
        </w:tc>
        <w:tc>
          <w:tcPr>
            <w:tcW w:w="684" w:type="dxa"/>
            <w:tcBorders>
              <w:top w:val="nil"/>
              <w:left w:val="nil"/>
              <w:bottom w:val="single" w:sz="8" w:space="0" w:color="DCDDDE"/>
              <w:right w:val="nil"/>
            </w:tcBorders>
            <w:shd w:val="clear" w:color="000000" w:fill="FFFFFF"/>
            <w:noWrap/>
            <w:vAlign w:val="center"/>
            <w:hideMark/>
          </w:tcPr>
          <w:p w14:paraId="054F3B8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453.0</w:t>
            </w:r>
          </w:p>
        </w:tc>
        <w:tc>
          <w:tcPr>
            <w:tcW w:w="684" w:type="dxa"/>
            <w:tcBorders>
              <w:top w:val="nil"/>
              <w:left w:val="nil"/>
              <w:bottom w:val="single" w:sz="8" w:space="0" w:color="DCDDDE"/>
              <w:right w:val="nil"/>
            </w:tcBorders>
            <w:shd w:val="clear" w:color="000000" w:fill="FFFFFF"/>
            <w:noWrap/>
            <w:vAlign w:val="center"/>
            <w:hideMark/>
          </w:tcPr>
          <w:p w14:paraId="4BAC41E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454.7</w:t>
            </w:r>
          </w:p>
        </w:tc>
        <w:tc>
          <w:tcPr>
            <w:tcW w:w="684" w:type="dxa"/>
            <w:tcBorders>
              <w:top w:val="nil"/>
              <w:left w:val="nil"/>
              <w:bottom w:val="single" w:sz="8" w:space="0" w:color="DCDDDE"/>
              <w:right w:val="nil"/>
            </w:tcBorders>
            <w:shd w:val="clear" w:color="000000" w:fill="FFFFFF"/>
            <w:noWrap/>
            <w:vAlign w:val="center"/>
            <w:hideMark/>
          </w:tcPr>
          <w:p w14:paraId="2A68FEC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458.7</w:t>
            </w:r>
          </w:p>
        </w:tc>
        <w:tc>
          <w:tcPr>
            <w:tcW w:w="684" w:type="dxa"/>
            <w:tcBorders>
              <w:top w:val="nil"/>
              <w:left w:val="nil"/>
              <w:bottom w:val="single" w:sz="8" w:space="0" w:color="DCDDDE"/>
              <w:right w:val="nil"/>
            </w:tcBorders>
            <w:shd w:val="clear" w:color="000000" w:fill="FFFFFF"/>
            <w:noWrap/>
            <w:vAlign w:val="center"/>
            <w:hideMark/>
          </w:tcPr>
          <w:p w14:paraId="1903EE0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460.3</w:t>
            </w:r>
          </w:p>
        </w:tc>
        <w:tc>
          <w:tcPr>
            <w:tcW w:w="684" w:type="dxa"/>
            <w:tcBorders>
              <w:top w:val="nil"/>
              <w:left w:val="nil"/>
              <w:bottom w:val="single" w:sz="8" w:space="0" w:color="DCDDDE"/>
              <w:right w:val="nil"/>
            </w:tcBorders>
            <w:shd w:val="clear" w:color="000000" w:fill="FFFFFF"/>
            <w:noWrap/>
            <w:vAlign w:val="center"/>
            <w:hideMark/>
          </w:tcPr>
          <w:p w14:paraId="46CFE13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458.0</w:t>
            </w:r>
          </w:p>
        </w:tc>
        <w:tc>
          <w:tcPr>
            <w:tcW w:w="684" w:type="dxa"/>
            <w:tcBorders>
              <w:top w:val="nil"/>
              <w:left w:val="nil"/>
              <w:bottom w:val="single" w:sz="8" w:space="0" w:color="DCDDDE"/>
              <w:right w:val="nil"/>
            </w:tcBorders>
            <w:shd w:val="clear" w:color="000000" w:fill="FFFFFF"/>
            <w:noWrap/>
            <w:vAlign w:val="center"/>
            <w:hideMark/>
          </w:tcPr>
          <w:p w14:paraId="300067F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453.6</w:t>
            </w:r>
          </w:p>
        </w:tc>
      </w:tr>
      <w:tr w:rsidR="00181744" w:rsidRPr="00181744" w14:paraId="1A6AC7FF"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4CB4110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84" w:type="dxa"/>
            <w:tcBorders>
              <w:top w:val="nil"/>
              <w:left w:val="nil"/>
              <w:bottom w:val="single" w:sz="8" w:space="0" w:color="DCDDDE"/>
              <w:right w:val="nil"/>
            </w:tcBorders>
            <w:shd w:val="clear" w:color="000000" w:fill="FFFFFF"/>
            <w:noWrap/>
            <w:vAlign w:val="center"/>
            <w:hideMark/>
          </w:tcPr>
          <w:p w14:paraId="32FDC1F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683.2</w:t>
            </w:r>
          </w:p>
        </w:tc>
        <w:tc>
          <w:tcPr>
            <w:tcW w:w="684" w:type="dxa"/>
            <w:tcBorders>
              <w:top w:val="nil"/>
              <w:left w:val="nil"/>
              <w:bottom w:val="single" w:sz="8" w:space="0" w:color="DCDDDE"/>
              <w:right w:val="nil"/>
            </w:tcBorders>
            <w:shd w:val="clear" w:color="000000" w:fill="FFFFFF"/>
            <w:noWrap/>
            <w:vAlign w:val="center"/>
            <w:hideMark/>
          </w:tcPr>
          <w:p w14:paraId="4C05D4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699.9</w:t>
            </w:r>
          </w:p>
        </w:tc>
        <w:tc>
          <w:tcPr>
            <w:tcW w:w="684" w:type="dxa"/>
            <w:tcBorders>
              <w:top w:val="nil"/>
              <w:left w:val="nil"/>
              <w:bottom w:val="single" w:sz="8" w:space="0" w:color="DCDDDE"/>
              <w:right w:val="nil"/>
            </w:tcBorders>
            <w:shd w:val="clear" w:color="000000" w:fill="FFFFFF"/>
            <w:noWrap/>
            <w:vAlign w:val="center"/>
            <w:hideMark/>
          </w:tcPr>
          <w:p w14:paraId="16C37FA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689.3</w:t>
            </w:r>
          </w:p>
        </w:tc>
        <w:tc>
          <w:tcPr>
            <w:tcW w:w="684" w:type="dxa"/>
            <w:tcBorders>
              <w:top w:val="nil"/>
              <w:left w:val="nil"/>
              <w:bottom w:val="single" w:sz="8" w:space="0" w:color="DCDDDE"/>
              <w:right w:val="nil"/>
            </w:tcBorders>
            <w:shd w:val="clear" w:color="000000" w:fill="FFFFFF"/>
            <w:noWrap/>
            <w:vAlign w:val="center"/>
            <w:hideMark/>
          </w:tcPr>
          <w:p w14:paraId="6505A01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710.5</w:t>
            </w:r>
          </w:p>
        </w:tc>
        <w:tc>
          <w:tcPr>
            <w:tcW w:w="684" w:type="dxa"/>
            <w:tcBorders>
              <w:top w:val="nil"/>
              <w:left w:val="nil"/>
              <w:bottom w:val="single" w:sz="8" w:space="0" w:color="DCDDDE"/>
              <w:right w:val="nil"/>
            </w:tcBorders>
            <w:shd w:val="clear" w:color="000000" w:fill="FFFFFF"/>
            <w:noWrap/>
            <w:vAlign w:val="center"/>
            <w:hideMark/>
          </w:tcPr>
          <w:p w14:paraId="23DC15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695.0</w:t>
            </w:r>
          </w:p>
        </w:tc>
        <w:tc>
          <w:tcPr>
            <w:tcW w:w="684" w:type="dxa"/>
            <w:tcBorders>
              <w:top w:val="nil"/>
              <w:left w:val="nil"/>
              <w:bottom w:val="single" w:sz="8" w:space="0" w:color="DCDDDE"/>
              <w:right w:val="nil"/>
            </w:tcBorders>
            <w:shd w:val="clear" w:color="000000" w:fill="FFFFFF"/>
            <w:noWrap/>
            <w:vAlign w:val="center"/>
            <w:hideMark/>
          </w:tcPr>
          <w:p w14:paraId="4D35C76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758.5</w:t>
            </w:r>
          </w:p>
        </w:tc>
        <w:tc>
          <w:tcPr>
            <w:tcW w:w="684" w:type="dxa"/>
            <w:tcBorders>
              <w:top w:val="nil"/>
              <w:left w:val="nil"/>
              <w:bottom w:val="single" w:sz="8" w:space="0" w:color="DCDDDE"/>
              <w:right w:val="nil"/>
            </w:tcBorders>
            <w:shd w:val="clear" w:color="000000" w:fill="FFFFFF"/>
            <w:noWrap/>
            <w:vAlign w:val="center"/>
            <w:hideMark/>
          </w:tcPr>
          <w:p w14:paraId="2330A4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729.4</w:t>
            </w:r>
          </w:p>
        </w:tc>
        <w:tc>
          <w:tcPr>
            <w:tcW w:w="684" w:type="dxa"/>
            <w:tcBorders>
              <w:top w:val="nil"/>
              <w:left w:val="nil"/>
              <w:bottom w:val="single" w:sz="8" w:space="0" w:color="DCDDDE"/>
              <w:right w:val="nil"/>
            </w:tcBorders>
            <w:shd w:val="clear" w:color="000000" w:fill="FFFFFF"/>
            <w:noWrap/>
            <w:vAlign w:val="center"/>
            <w:hideMark/>
          </w:tcPr>
          <w:p w14:paraId="1C33C30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709.0</w:t>
            </w:r>
          </w:p>
        </w:tc>
        <w:tc>
          <w:tcPr>
            <w:tcW w:w="684" w:type="dxa"/>
            <w:tcBorders>
              <w:top w:val="nil"/>
              <w:left w:val="nil"/>
              <w:bottom w:val="single" w:sz="8" w:space="0" w:color="DCDDDE"/>
              <w:right w:val="nil"/>
            </w:tcBorders>
            <w:shd w:val="clear" w:color="000000" w:fill="FFFFFF"/>
            <w:noWrap/>
            <w:vAlign w:val="center"/>
            <w:hideMark/>
          </w:tcPr>
          <w:p w14:paraId="08CDE6D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674.2</w:t>
            </w:r>
          </w:p>
        </w:tc>
        <w:tc>
          <w:tcPr>
            <w:tcW w:w="684" w:type="dxa"/>
            <w:tcBorders>
              <w:top w:val="nil"/>
              <w:left w:val="nil"/>
              <w:bottom w:val="single" w:sz="8" w:space="0" w:color="DCDDDE"/>
              <w:right w:val="nil"/>
            </w:tcBorders>
            <w:shd w:val="clear" w:color="000000" w:fill="FFFFFF"/>
            <w:noWrap/>
            <w:vAlign w:val="center"/>
            <w:hideMark/>
          </w:tcPr>
          <w:p w14:paraId="5E1CC2C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656.0</w:t>
            </w:r>
          </w:p>
        </w:tc>
        <w:tc>
          <w:tcPr>
            <w:tcW w:w="684" w:type="dxa"/>
            <w:tcBorders>
              <w:top w:val="nil"/>
              <w:left w:val="nil"/>
              <w:bottom w:val="single" w:sz="8" w:space="0" w:color="DCDDDE"/>
              <w:right w:val="nil"/>
            </w:tcBorders>
            <w:shd w:val="clear" w:color="000000" w:fill="FFFFFF"/>
            <w:noWrap/>
            <w:vAlign w:val="center"/>
            <w:hideMark/>
          </w:tcPr>
          <w:p w14:paraId="1068565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610.0</w:t>
            </w:r>
          </w:p>
        </w:tc>
        <w:tc>
          <w:tcPr>
            <w:tcW w:w="684" w:type="dxa"/>
            <w:tcBorders>
              <w:top w:val="nil"/>
              <w:left w:val="nil"/>
              <w:bottom w:val="single" w:sz="8" w:space="0" w:color="DCDDDE"/>
              <w:right w:val="nil"/>
            </w:tcBorders>
            <w:shd w:val="clear" w:color="000000" w:fill="FFFFFF"/>
            <w:noWrap/>
            <w:vAlign w:val="center"/>
            <w:hideMark/>
          </w:tcPr>
          <w:p w14:paraId="0DC5BE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555.1</w:t>
            </w:r>
          </w:p>
        </w:tc>
        <w:tc>
          <w:tcPr>
            <w:tcW w:w="684" w:type="dxa"/>
            <w:tcBorders>
              <w:top w:val="nil"/>
              <w:left w:val="nil"/>
              <w:bottom w:val="single" w:sz="8" w:space="0" w:color="DCDDDE"/>
              <w:right w:val="nil"/>
            </w:tcBorders>
            <w:shd w:val="clear" w:color="000000" w:fill="FFFFFF"/>
            <w:noWrap/>
            <w:vAlign w:val="center"/>
            <w:hideMark/>
          </w:tcPr>
          <w:p w14:paraId="762F94C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499.7</w:t>
            </w:r>
          </w:p>
        </w:tc>
      </w:tr>
      <w:tr w:rsidR="00181744" w:rsidRPr="00181744" w14:paraId="270C8577"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0D873C4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84" w:type="dxa"/>
            <w:tcBorders>
              <w:top w:val="nil"/>
              <w:left w:val="nil"/>
              <w:bottom w:val="single" w:sz="8" w:space="0" w:color="DCDDDE"/>
              <w:right w:val="nil"/>
            </w:tcBorders>
            <w:shd w:val="clear" w:color="000000" w:fill="FFFFFF"/>
            <w:noWrap/>
            <w:vAlign w:val="center"/>
            <w:hideMark/>
          </w:tcPr>
          <w:p w14:paraId="18215EC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74.1</w:t>
            </w:r>
          </w:p>
        </w:tc>
        <w:tc>
          <w:tcPr>
            <w:tcW w:w="684" w:type="dxa"/>
            <w:tcBorders>
              <w:top w:val="nil"/>
              <w:left w:val="nil"/>
              <w:bottom w:val="single" w:sz="8" w:space="0" w:color="DCDDDE"/>
              <w:right w:val="nil"/>
            </w:tcBorders>
            <w:shd w:val="clear" w:color="000000" w:fill="FFFFFF"/>
            <w:noWrap/>
            <w:vAlign w:val="center"/>
            <w:hideMark/>
          </w:tcPr>
          <w:p w14:paraId="533E5F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90.3</w:t>
            </w:r>
          </w:p>
        </w:tc>
        <w:tc>
          <w:tcPr>
            <w:tcW w:w="684" w:type="dxa"/>
            <w:tcBorders>
              <w:top w:val="nil"/>
              <w:left w:val="nil"/>
              <w:bottom w:val="single" w:sz="8" w:space="0" w:color="DCDDDE"/>
              <w:right w:val="nil"/>
            </w:tcBorders>
            <w:shd w:val="clear" w:color="000000" w:fill="FFFFFF"/>
            <w:noWrap/>
            <w:vAlign w:val="center"/>
            <w:hideMark/>
          </w:tcPr>
          <w:p w14:paraId="1AD500A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101.8</w:t>
            </w:r>
          </w:p>
        </w:tc>
        <w:tc>
          <w:tcPr>
            <w:tcW w:w="684" w:type="dxa"/>
            <w:tcBorders>
              <w:top w:val="nil"/>
              <w:left w:val="nil"/>
              <w:bottom w:val="single" w:sz="8" w:space="0" w:color="DCDDDE"/>
              <w:right w:val="nil"/>
            </w:tcBorders>
            <w:shd w:val="clear" w:color="000000" w:fill="FFFFFF"/>
            <w:noWrap/>
            <w:vAlign w:val="center"/>
            <w:hideMark/>
          </w:tcPr>
          <w:p w14:paraId="788619C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113.8</w:t>
            </w:r>
          </w:p>
        </w:tc>
        <w:tc>
          <w:tcPr>
            <w:tcW w:w="684" w:type="dxa"/>
            <w:tcBorders>
              <w:top w:val="nil"/>
              <w:left w:val="nil"/>
              <w:bottom w:val="single" w:sz="8" w:space="0" w:color="DCDDDE"/>
              <w:right w:val="nil"/>
            </w:tcBorders>
            <w:shd w:val="clear" w:color="000000" w:fill="FFFFFF"/>
            <w:noWrap/>
            <w:vAlign w:val="center"/>
            <w:hideMark/>
          </w:tcPr>
          <w:p w14:paraId="4B9883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124.5</w:t>
            </w:r>
          </w:p>
        </w:tc>
        <w:tc>
          <w:tcPr>
            <w:tcW w:w="684" w:type="dxa"/>
            <w:tcBorders>
              <w:top w:val="nil"/>
              <w:left w:val="nil"/>
              <w:bottom w:val="single" w:sz="8" w:space="0" w:color="DCDDDE"/>
              <w:right w:val="nil"/>
            </w:tcBorders>
            <w:shd w:val="clear" w:color="000000" w:fill="FFFFFF"/>
            <w:noWrap/>
            <w:vAlign w:val="center"/>
            <w:hideMark/>
          </w:tcPr>
          <w:p w14:paraId="3507D7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135.5</w:t>
            </w:r>
          </w:p>
        </w:tc>
        <w:tc>
          <w:tcPr>
            <w:tcW w:w="684" w:type="dxa"/>
            <w:tcBorders>
              <w:top w:val="nil"/>
              <w:left w:val="nil"/>
              <w:bottom w:val="single" w:sz="8" w:space="0" w:color="DCDDDE"/>
              <w:right w:val="nil"/>
            </w:tcBorders>
            <w:shd w:val="clear" w:color="000000" w:fill="FFFFFF"/>
            <w:noWrap/>
            <w:vAlign w:val="center"/>
            <w:hideMark/>
          </w:tcPr>
          <w:p w14:paraId="08D2142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147.1</w:t>
            </w:r>
          </w:p>
        </w:tc>
        <w:tc>
          <w:tcPr>
            <w:tcW w:w="684" w:type="dxa"/>
            <w:tcBorders>
              <w:top w:val="nil"/>
              <w:left w:val="nil"/>
              <w:bottom w:val="single" w:sz="8" w:space="0" w:color="DCDDDE"/>
              <w:right w:val="nil"/>
            </w:tcBorders>
            <w:shd w:val="clear" w:color="000000" w:fill="FFFFFF"/>
            <w:noWrap/>
            <w:vAlign w:val="center"/>
            <w:hideMark/>
          </w:tcPr>
          <w:p w14:paraId="7E5BA4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162.2</w:t>
            </w:r>
          </w:p>
        </w:tc>
        <w:tc>
          <w:tcPr>
            <w:tcW w:w="684" w:type="dxa"/>
            <w:tcBorders>
              <w:top w:val="nil"/>
              <w:left w:val="nil"/>
              <w:bottom w:val="single" w:sz="8" w:space="0" w:color="DCDDDE"/>
              <w:right w:val="nil"/>
            </w:tcBorders>
            <w:shd w:val="clear" w:color="000000" w:fill="FFFFFF"/>
            <w:noWrap/>
            <w:vAlign w:val="center"/>
            <w:hideMark/>
          </w:tcPr>
          <w:p w14:paraId="1CB0C9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175.8</w:t>
            </w:r>
          </w:p>
        </w:tc>
        <w:tc>
          <w:tcPr>
            <w:tcW w:w="684" w:type="dxa"/>
            <w:tcBorders>
              <w:top w:val="nil"/>
              <w:left w:val="nil"/>
              <w:bottom w:val="single" w:sz="8" w:space="0" w:color="DCDDDE"/>
              <w:right w:val="nil"/>
            </w:tcBorders>
            <w:shd w:val="clear" w:color="000000" w:fill="FFFFFF"/>
            <w:noWrap/>
            <w:vAlign w:val="center"/>
            <w:hideMark/>
          </w:tcPr>
          <w:p w14:paraId="453DAA0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189.9</w:t>
            </w:r>
          </w:p>
        </w:tc>
        <w:tc>
          <w:tcPr>
            <w:tcW w:w="684" w:type="dxa"/>
            <w:tcBorders>
              <w:top w:val="nil"/>
              <w:left w:val="nil"/>
              <w:bottom w:val="single" w:sz="8" w:space="0" w:color="DCDDDE"/>
              <w:right w:val="nil"/>
            </w:tcBorders>
            <w:shd w:val="clear" w:color="000000" w:fill="FFFFFF"/>
            <w:noWrap/>
            <w:vAlign w:val="center"/>
            <w:hideMark/>
          </w:tcPr>
          <w:p w14:paraId="69B1DB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204.5</w:t>
            </w:r>
          </w:p>
        </w:tc>
        <w:tc>
          <w:tcPr>
            <w:tcW w:w="684" w:type="dxa"/>
            <w:tcBorders>
              <w:top w:val="nil"/>
              <w:left w:val="nil"/>
              <w:bottom w:val="single" w:sz="8" w:space="0" w:color="DCDDDE"/>
              <w:right w:val="nil"/>
            </w:tcBorders>
            <w:shd w:val="clear" w:color="000000" w:fill="FFFFFF"/>
            <w:noWrap/>
            <w:vAlign w:val="center"/>
            <w:hideMark/>
          </w:tcPr>
          <w:p w14:paraId="674A96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219.7</w:t>
            </w:r>
          </w:p>
        </w:tc>
        <w:tc>
          <w:tcPr>
            <w:tcW w:w="684" w:type="dxa"/>
            <w:tcBorders>
              <w:top w:val="nil"/>
              <w:left w:val="nil"/>
              <w:bottom w:val="single" w:sz="8" w:space="0" w:color="DCDDDE"/>
              <w:right w:val="nil"/>
            </w:tcBorders>
            <w:shd w:val="clear" w:color="000000" w:fill="FFFFFF"/>
            <w:noWrap/>
            <w:vAlign w:val="center"/>
            <w:hideMark/>
          </w:tcPr>
          <w:p w14:paraId="3382413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230.4</w:t>
            </w:r>
          </w:p>
        </w:tc>
      </w:tr>
      <w:tr w:rsidR="00181744" w:rsidRPr="00181744" w14:paraId="65F62918"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2668FFB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84" w:type="dxa"/>
            <w:tcBorders>
              <w:top w:val="nil"/>
              <w:left w:val="nil"/>
              <w:bottom w:val="single" w:sz="8" w:space="0" w:color="DCDDDE"/>
              <w:right w:val="nil"/>
            </w:tcBorders>
            <w:shd w:val="clear" w:color="000000" w:fill="FFFFFF"/>
            <w:noWrap/>
            <w:vAlign w:val="center"/>
            <w:hideMark/>
          </w:tcPr>
          <w:p w14:paraId="252624D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20.9</w:t>
            </w:r>
          </w:p>
        </w:tc>
        <w:tc>
          <w:tcPr>
            <w:tcW w:w="684" w:type="dxa"/>
            <w:tcBorders>
              <w:top w:val="nil"/>
              <w:left w:val="nil"/>
              <w:bottom w:val="single" w:sz="8" w:space="0" w:color="DCDDDE"/>
              <w:right w:val="nil"/>
            </w:tcBorders>
            <w:shd w:val="clear" w:color="000000" w:fill="FFFFFF"/>
            <w:noWrap/>
            <w:vAlign w:val="center"/>
            <w:hideMark/>
          </w:tcPr>
          <w:p w14:paraId="4360D3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20.1</w:t>
            </w:r>
          </w:p>
        </w:tc>
        <w:tc>
          <w:tcPr>
            <w:tcW w:w="684" w:type="dxa"/>
            <w:tcBorders>
              <w:top w:val="nil"/>
              <w:left w:val="nil"/>
              <w:bottom w:val="single" w:sz="8" w:space="0" w:color="DCDDDE"/>
              <w:right w:val="nil"/>
            </w:tcBorders>
            <w:shd w:val="clear" w:color="000000" w:fill="FFFFFF"/>
            <w:noWrap/>
            <w:vAlign w:val="center"/>
            <w:hideMark/>
          </w:tcPr>
          <w:p w14:paraId="74A0BAE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20.2</w:t>
            </w:r>
          </w:p>
        </w:tc>
        <w:tc>
          <w:tcPr>
            <w:tcW w:w="684" w:type="dxa"/>
            <w:tcBorders>
              <w:top w:val="nil"/>
              <w:left w:val="nil"/>
              <w:bottom w:val="single" w:sz="8" w:space="0" w:color="DCDDDE"/>
              <w:right w:val="nil"/>
            </w:tcBorders>
            <w:shd w:val="clear" w:color="000000" w:fill="FFFFFF"/>
            <w:noWrap/>
            <w:vAlign w:val="center"/>
            <w:hideMark/>
          </w:tcPr>
          <w:p w14:paraId="553066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CDAEF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61AA8F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7D1300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6F2D232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1AABDD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7E41311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260495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8E9E8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607E3CF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r>
      <w:tr w:rsidR="00181744" w:rsidRPr="00181744" w14:paraId="2AC6AF4C"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2F937B9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84" w:type="dxa"/>
            <w:tcBorders>
              <w:top w:val="nil"/>
              <w:left w:val="nil"/>
              <w:bottom w:val="single" w:sz="8" w:space="0" w:color="DCDDDE"/>
              <w:right w:val="nil"/>
            </w:tcBorders>
            <w:shd w:val="clear" w:color="000000" w:fill="FFFFFF"/>
            <w:noWrap/>
            <w:vAlign w:val="center"/>
            <w:hideMark/>
          </w:tcPr>
          <w:p w14:paraId="47F97C6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1,110.7</w:t>
            </w:r>
          </w:p>
        </w:tc>
        <w:tc>
          <w:tcPr>
            <w:tcW w:w="684" w:type="dxa"/>
            <w:tcBorders>
              <w:top w:val="nil"/>
              <w:left w:val="nil"/>
              <w:bottom w:val="single" w:sz="8" w:space="0" w:color="DCDDDE"/>
              <w:right w:val="nil"/>
            </w:tcBorders>
            <w:shd w:val="clear" w:color="000000" w:fill="FFFFFF"/>
            <w:noWrap/>
            <w:vAlign w:val="center"/>
            <w:hideMark/>
          </w:tcPr>
          <w:p w14:paraId="4926D48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1,163.9</w:t>
            </w:r>
          </w:p>
        </w:tc>
        <w:tc>
          <w:tcPr>
            <w:tcW w:w="684" w:type="dxa"/>
            <w:tcBorders>
              <w:top w:val="nil"/>
              <w:left w:val="nil"/>
              <w:bottom w:val="single" w:sz="8" w:space="0" w:color="DCDDDE"/>
              <w:right w:val="nil"/>
            </w:tcBorders>
            <w:shd w:val="clear" w:color="000000" w:fill="FFFFFF"/>
            <w:noWrap/>
            <w:vAlign w:val="center"/>
            <w:hideMark/>
          </w:tcPr>
          <w:p w14:paraId="71B55AE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1,163.0</w:t>
            </w:r>
          </w:p>
        </w:tc>
        <w:tc>
          <w:tcPr>
            <w:tcW w:w="684" w:type="dxa"/>
            <w:tcBorders>
              <w:top w:val="nil"/>
              <w:left w:val="nil"/>
              <w:bottom w:val="single" w:sz="8" w:space="0" w:color="DCDDDE"/>
              <w:right w:val="nil"/>
            </w:tcBorders>
            <w:shd w:val="clear" w:color="000000" w:fill="FFFFFF"/>
            <w:noWrap/>
            <w:vAlign w:val="center"/>
            <w:hideMark/>
          </w:tcPr>
          <w:p w14:paraId="556DFBE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1,214.5</w:t>
            </w:r>
          </w:p>
        </w:tc>
        <w:tc>
          <w:tcPr>
            <w:tcW w:w="684" w:type="dxa"/>
            <w:tcBorders>
              <w:top w:val="nil"/>
              <w:left w:val="nil"/>
              <w:bottom w:val="single" w:sz="8" w:space="0" w:color="DCDDDE"/>
              <w:right w:val="nil"/>
            </w:tcBorders>
            <w:shd w:val="clear" w:color="000000" w:fill="FFFFFF"/>
            <w:noWrap/>
            <w:vAlign w:val="center"/>
            <w:hideMark/>
          </w:tcPr>
          <w:p w14:paraId="7766BE6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1,217.2</w:t>
            </w:r>
          </w:p>
        </w:tc>
        <w:tc>
          <w:tcPr>
            <w:tcW w:w="684" w:type="dxa"/>
            <w:tcBorders>
              <w:top w:val="nil"/>
              <w:left w:val="nil"/>
              <w:bottom w:val="single" w:sz="8" w:space="0" w:color="DCDDDE"/>
              <w:right w:val="nil"/>
            </w:tcBorders>
            <w:shd w:val="clear" w:color="000000" w:fill="FFFFFF"/>
            <w:noWrap/>
            <w:vAlign w:val="center"/>
            <w:hideMark/>
          </w:tcPr>
          <w:p w14:paraId="3BA2CF8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1,306.1</w:t>
            </w:r>
          </w:p>
        </w:tc>
        <w:tc>
          <w:tcPr>
            <w:tcW w:w="684" w:type="dxa"/>
            <w:tcBorders>
              <w:top w:val="nil"/>
              <w:left w:val="nil"/>
              <w:bottom w:val="single" w:sz="8" w:space="0" w:color="DCDDDE"/>
              <w:right w:val="nil"/>
            </w:tcBorders>
            <w:shd w:val="clear" w:color="000000" w:fill="FFFFFF"/>
            <w:noWrap/>
            <w:vAlign w:val="center"/>
            <w:hideMark/>
          </w:tcPr>
          <w:p w14:paraId="6FFF654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1,325.0</w:t>
            </w:r>
          </w:p>
        </w:tc>
        <w:tc>
          <w:tcPr>
            <w:tcW w:w="684" w:type="dxa"/>
            <w:tcBorders>
              <w:top w:val="nil"/>
              <w:left w:val="nil"/>
              <w:bottom w:val="single" w:sz="8" w:space="0" w:color="DCDDDE"/>
              <w:right w:val="nil"/>
            </w:tcBorders>
            <w:shd w:val="clear" w:color="000000" w:fill="FFFFFF"/>
            <w:noWrap/>
            <w:vAlign w:val="center"/>
            <w:hideMark/>
          </w:tcPr>
          <w:p w14:paraId="33DE01D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1,328.0</w:t>
            </w:r>
          </w:p>
        </w:tc>
        <w:tc>
          <w:tcPr>
            <w:tcW w:w="684" w:type="dxa"/>
            <w:tcBorders>
              <w:top w:val="nil"/>
              <w:left w:val="nil"/>
              <w:bottom w:val="single" w:sz="8" w:space="0" w:color="DCDDDE"/>
              <w:right w:val="nil"/>
            </w:tcBorders>
            <w:shd w:val="clear" w:color="000000" w:fill="FFFFFF"/>
            <w:noWrap/>
            <w:vAlign w:val="center"/>
            <w:hideMark/>
          </w:tcPr>
          <w:p w14:paraId="66FA021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1,308.5</w:t>
            </w:r>
          </w:p>
        </w:tc>
        <w:tc>
          <w:tcPr>
            <w:tcW w:w="684" w:type="dxa"/>
            <w:tcBorders>
              <w:top w:val="nil"/>
              <w:left w:val="nil"/>
              <w:bottom w:val="single" w:sz="8" w:space="0" w:color="DCDDDE"/>
              <w:right w:val="nil"/>
            </w:tcBorders>
            <w:shd w:val="clear" w:color="000000" w:fill="FFFFFF"/>
            <w:noWrap/>
            <w:vAlign w:val="center"/>
            <w:hideMark/>
          </w:tcPr>
          <w:p w14:paraId="202F8D9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1,308.4</w:t>
            </w:r>
          </w:p>
        </w:tc>
        <w:tc>
          <w:tcPr>
            <w:tcW w:w="684" w:type="dxa"/>
            <w:tcBorders>
              <w:top w:val="nil"/>
              <w:left w:val="nil"/>
              <w:bottom w:val="single" w:sz="8" w:space="0" w:color="DCDDDE"/>
              <w:right w:val="nil"/>
            </w:tcBorders>
            <w:shd w:val="clear" w:color="000000" w:fill="FFFFFF"/>
            <w:noWrap/>
            <w:vAlign w:val="center"/>
            <w:hideMark/>
          </w:tcPr>
          <w:p w14:paraId="5B57B42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1,278.7</w:t>
            </w:r>
          </w:p>
        </w:tc>
        <w:tc>
          <w:tcPr>
            <w:tcW w:w="684" w:type="dxa"/>
            <w:tcBorders>
              <w:top w:val="nil"/>
              <w:left w:val="nil"/>
              <w:bottom w:val="single" w:sz="8" w:space="0" w:color="DCDDDE"/>
              <w:right w:val="nil"/>
            </w:tcBorders>
            <w:shd w:val="clear" w:color="000000" w:fill="FFFFFF"/>
            <w:noWrap/>
            <w:vAlign w:val="center"/>
            <w:hideMark/>
          </w:tcPr>
          <w:p w14:paraId="4EA6C48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1,236.7</w:t>
            </w:r>
          </w:p>
        </w:tc>
        <w:tc>
          <w:tcPr>
            <w:tcW w:w="684" w:type="dxa"/>
            <w:tcBorders>
              <w:top w:val="nil"/>
              <w:left w:val="nil"/>
              <w:bottom w:val="single" w:sz="8" w:space="0" w:color="DCDDDE"/>
              <w:right w:val="nil"/>
            </w:tcBorders>
            <w:shd w:val="clear" w:color="000000" w:fill="FFFFFF"/>
            <w:noWrap/>
            <w:vAlign w:val="center"/>
            <w:hideMark/>
          </w:tcPr>
          <w:p w14:paraId="6ECF88F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1,187.6</w:t>
            </w:r>
          </w:p>
        </w:tc>
      </w:tr>
      <w:tr w:rsidR="00181744" w:rsidRPr="00181744" w14:paraId="5CEB59F9" w14:textId="77777777" w:rsidTr="00416D32">
        <w:trPr>
          <w:trHeight w:val="257"/>
        </w:trPr>
        <w:tc>
          <w:tcPr>
            <w:tcW w:w="9771" w:type="dxa"/>
            <w:gridSpan w:val="14"/>
            <w:tcBorders>
              <w:top w:val="single" w:sz="8" w:space="0" w:color="DCDDDE"/>
              <w:left w:val="nil"/>
              <w:bottom w:val="single" w:sz="8" w:space="0" w:color="DCDDDE"/>
              <w:right w:val="nil"/>
            </w:tcBorders>
            <w:shd w:val="clear" w:color="000000" w:fill="DADADA"/>
            <w:noWrap/>
            <w:vAlign w:val="center"/>
            <w:hideMark/>
          </w:tcPr>
          <w:p w14:paraId="233FAD6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181744" w:rsidRPr="00181744" w14:paraId="7B0B5F75"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4BE7895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84" w:type="dxa"/>
            <w:tcBorders>
              <w:top w:val="nil"/>
              <w:left w:val="nil"/>
              <w:bottom w:val="single" w:sz="8" w:space="0" w:color="DCDDDE"/>
              <w:right w:val="nil"/>
            </w:tcBorders>
            <w:shd w:val="clear" w:color="000000" w:fill="FFFFFF"/>
            <w:noWrap/>
            <w:vAlign w:val="center"/>
            <w:hideMark/>
          </w:tcPr>
          <w:p w14:paraId="0C8C86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337.1</w:t>
            </w:r>
          </w:p>
        </w:tc>
        <w:tc>
          <w:tcPr>
            <w:tcW w:w="684" w:type="dxa"/>
            <w:tcBorders>
              <w:top w:val="nil"/>
              <w:left w:val="nil"/>
              <w:bottom w:val="single" w:sz="8" w:space="0" w:color="DCDDDE"/>
              <w:right w:val="nil"/>
            </w:tcBorders>
            <w:shd w:val="clear" w:color="000000" w:fill="FFFFFF"/>
            <w:noWrap/>
            <w:vAlign w:val="center"/>
            <w:hideMark/>
          </w:tcPr>
          <w:p w14:paraId="062208E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358.5</w:t>
            </w:r>
          </w:p>
        </w:tc>
        <w:tc>
          <w:tcPr>
            <w:tcW w:w="684" w:type="dxa"/>
            <w:tcBorders>
              <w:top w:val="nil"/>
              <w:left w:val="nil"/>
              <w:bottom w:val="single" w:sz="8" w:space="0" w:color="DCDDDE"/>
              <w:right w:val="nil"/>
            </w:tcBorders>
            <w:shd w:val="clear" w:color="000000" w:fill="FFFFFF"/>
            <w:noWrap/>
            <w:vAlign w:val="center"/>
            <w:hideMark/>
          </w:tcPr>
          <w:p w14:paraId="62BC134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369.2</w:t>
            </w:r>
          </w:p>
        </w:tc>
        <w:tc>
          <w:tcPr>
            <w:tcW w:w="684" w:type="dxa"/>
            <w:tcBorders>
              <w:top w:val="nil"/>
              <w:left w:val="nil"/>
              <w:bottom w:val="single" w:sz="8" w:space="0" w:color="DCDDDE"/>
              <w:right w:val="nil"/>
            </w:tcBorders>
            <w:shd w:val="clear" w:color="000000" w:fill="FFFFFF"/>
            <w:noWrap/>
            <w:vAlign w:val="center"/>
            <w:hideMark/>
          </w:tcPr>
          <w:p w14:paraId="643B8B3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427.5</w:t>
            </w:r>
          </w:p>
        </w:tc>
        <w:tc>
          <w:tcPr>
            <w:tcW w:w="684" w:type="dxa"/>
            <w:tcBorders>
              <w:top w:val="nil"/>
              <w:left w:val="nil"/>
              <w:bottom w:val="single" w:sz="8" w:space="0" w:color="DCDDDE"/>
              <w:right w:val="nil"/>
            </w:tcBorders>
            <w:shd w:val="clear" w:color="000000" w:fill="FFFFFF"/>
            <w:noWrap/>
            <w:vAlign w:val="center"/>
            <w:hideMark/>
          </w:tcPr>
          <w:p w14:paraId="5B57A3D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440.0</w:t>
            </w:r>
          </w:p>
        </w:tc>
        <w:tc>
          <w:tcPr>
            <w:tcW w:w="684" w:type="dxa"/>
            <w:tcBorders>
              <w:top w:val="nil"/>
              <w:left w:val="nil"/>
              <w:bottom w:val="single" w:sz="8" w:space="0" w:color="DCDDDE"/>
              <w:right w:val="nil"/>
            </w:tcBorders>
            <w:shd w:val="clear" w:color="000000" w:fill="FFFFFF"/>
            <w:noWrap/>
            <w:vAlign w:val="center"/>
            <w:hideMark/>
          </w:tcPr>
          <w:p w14:paraId="4C34CB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475.9</w:t>
            </w:r>
          </w:p>
        </w:tc>
        <w:tc>
          <w:tcPr>
            <w:tcW w:w="684" w:type="dxa"/>
            <w:tcBorders>
              <w:top w:val="nil"/>
              <w:left w:val="nil"/>
              <w:bottom w:val="single" w:sz="8" w:space="0" w:color="DCDDDE"/>
              <w:right w:val="nil"/>
            </w:tcBorders>
            <w:shd w:val="clear" w:color="000000" w:fill="FFFFFF"/>
            <w:noWrap/>
            <w:vAlign w:val="center"/>
            <w:hideMark/>
          </w:tcPr>
          <w:p w14:paraId="206A96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486.8</w:t>
            </w:r>
          </w:p>
        </w:tc>
        <w:tc>
          <w:tcPr>
            <w:tcW w:w="684" w:type="dxa"/>
            <w:tcBorders>
              <w:top w:val="nil"/>
              <w:left w:val="nil"/>
              <w:bottom w:val="single" w:sz="8" w:space="0" w:color="DCDDDE"/>
              <w:right w:val="nil"/>
            </w:tcBorders>
            <w:shd w:val="clear" w:color="000000" w:fill="FFFFFF"/>
            <w:noWrap/>
            <w:vAlign w:val="center"/>
            <w:hideMark/>
          </w:tcPr>
          <w:p w14:paraId="34163C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499.9</w:t>
            </w:r>
          </w:p>
        </w:tc>
        <w:tc>
          <w:tcPr>
            <w:tcW w:w="684" w:type="dxa"/>
            <w:tcBorders>
              <w:top w:val="nil"/>
              <w:left w:val="nil"/>
              <w:bottom w:val="single" w:sz="8" w:space="0" w:color="DCDDDE"/>
              <w:right w:val="nil"/>
            </w:tcBorders>
            <w:shd w:val="clear" w:color="000000" w:fill="FFFFFF"/>
            <w:noWrap/>
            <w:vAlign w:val="center"/>
            <w:hideMark/>
          </w:tcPr>
          <w:p w14:paraId="540DA47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499.9</w:t>
            </w:r>
          </w:p>
        </w:tc>
        <w:tc>
          <w:tcPr>
            <w:tcW w:w="684" w:type="dxa"/>
            <w:tcBorders>
              <w:top w:val="nil"/>
              <w:left w:val="nil"/>
              <w:bottom w:val="single" w:sz="8" w:space="0" w:color="DCDDDE"/>
              <w:right w:val="nil"/>
            </w:tcBorders>
            <w:shd w:val="clear" w:color="000000" w:fill="FFFFFF"/>
            <w:noWrap/>
            <w:vAlign w:val="center"/>
            <w:hideMark/>
          </w:tcPr>
          <w:p w14:paraId="2A6C3BD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504.2</w:t>
            </w:r>
          </w:p>
        </w:tc>
        <w:tc>
          <w:tcPr>
            <w:tcW w:w="684" w:type="dxa"/>
            <w:tcBorders>
              <w:top w:val="nil"/>
              <w:left w:val="nil"/>
              <w:bottom w:val="single" w:sz="8" w:space="0" w:color="DCDDDE"/>
              <w:right w:val="nil"/>
            </w:tcBorders>
            <w:shd w:val="clear" w:color="000000" w:fill="FFFFFF"/>
            <w:noWrap/>
            <w:vAlign w:val="center"/>
            <w:hideMark/>
          </w:tcPr>
          <w:p w14:paraId="15402D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505.6</w:t>
            </w:r>
          </w:p>
        </w:tc>
        <w:tc>
          <w:tcPr>
            <w:tcW w:w="684" w:type="dxa"/>
            <w:tcBorders>
              <w:top w:val="nil"/>
              <w:left w:val="nil"/>
              <w:bottom w:val="single" w:sz="8" w:space="0" w:color="DCDDDE"/>
              <w:right w:val="nil"/>
            </w:tcBorders>
            <w:shd w:val="clear" w:color="000000" w:fill="FFFFFF"/>
            <w:noWrap/>
            <w:vAlign w:val="center"/>
            <w:hideMark/>
          </w:tcPr>
          <w:p w14:paraId="5A2BC50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504.2</w:t>
            </w:r>
          </w:p>
        </w:tc>
        <w:tc>
          <w:tcPr>
            <w:tcW w:w="684" w:type="dxa"/>
            <w:tcBorders>
              <w:top w:val="nil"/>
              <w:left w:val="nil"/>
              <w:bottom w:val="single" w:sz="8" w:space="0" w:color="DCDDDE"/>
              <w:right w:val="nil"/>
            </w:tcBorders>
            <w:shd w:val="clear" w:color="000000" w:fill="FFFFFF"/>
            <w:noWrap/>
            <w:vAlign w:val="center"/>
            <w:hideMark/>
          </w:tcPr>
          <w:p w14:paraId="5C31BC2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497.9</w:t>
            </w:r>
          </w:p>
        </w:tc>
      </w:tr>
      <w:tr w:rsidR="00181744" w:rsidRPr="00181744" w14:paraId="0B377D3E"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7E59F60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84" w:type="dxa"/>
            <w:tcBorders>
              <w:top w:val="nil"/>
              <w:left w:val="nil"/>
              <w:bottom w:val="single" w:sz="8" w:space="0" w:color="DCDDDE"/>
              <w:right w:val="nil"/>
            </w:tcBorders>
            <w:shd w:val="clear" w:color="000000" w:fill="FFFFFF"/>
            <w:noWrap/>
            <w:vAlign w:val="center"/>
            <w:hideMark/>
          </w:tcPr>
          <w:p w14:paraId="5C4135F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683.2</w:t>
            </w:r>
          </w:p>
        </w:tc>
        <w:tc>
          <w:tcPr>
            <w:tcW w:w="684" w:type="dxa"/>
            <w:tcBorders>
              <w:top w:val="nil"/>
              <w:left w:val="nil"/>
              <w:bottom w:val="single" w:sz="8" w:space="0" w:color="DCDDDE"/>
              <w:right w:val="nil"/>
            </w:tcBorders>
            <w:shd w:val="clear" w:color="000000" w:fill="FFFFFF"/>
            <w:noWrap/>
            <w:vAlign w:val="center"/>
            <w:hideMark/>
          </w:tcPr>
          <w:p w14:paraId="4CBF946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699.9</w:t>
            </w:r>
          </w:p>
        </w:tc>
        <w:tc>
          <w:tcPr>
            <w:tcW w:w="684" w:type="dxa"/>
            <w:tcBorders>
              <w:top w:val="nil"/>
              <w:left w:val="nil"/>
              <w:bottom w:val="single" w:sz="8" w:space="0" w:color="DCDDDE"/>
              <w:right w:val="nil"/>
            </w:tcBorders>
            <w:shd w:val="clear" w:color="000000" w:fill="FFFFFF"/>
            <w:noWrap/>
            <w:vAlign w:val="center"/>
            <w:hideMark/>
          </w:tcPr>
          <w:p w14:paraId="6CAD07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689.3</w:t>
            </w:r>
          </w:p>
        </w:tc>
        <w:tc>
          <w:tcPr>
            <w:tcW w:w="684" w:type="dxa"/>
            <w:tcBorders>
              <w:top w:val="nil"/>
              <w:left w:val="nil"/>
              <w:bottom w:val="single" w:sz="8" w:space="0" w:color="DCDDDE"/>
              <w:right w:val="nil"/>
            </w:tcBorders>
            <w:shd w:val="clear" w:color="000000" w:fill="FFFFFF"/>
            <w:noWrap/>
            <w:vAlign w:val="center"/>
            <w:hideMark/>
          </w:tcPr>
          <w:p w14:paraId="44F9992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710.5</w:t>
            </w:r>
          </w:p>
        </w:tc>
        <w:tc>
          <w:tcPr>
            <w:tcW w:w="684" w:type="dxa"/>
            <w:tcBorders>
              <w:top w:val="nil"/>
              <w:left w:val="nil"/>
              <w:bottom w:val="single" w:sz="8" w:space="0" w:color="DCDDDE"/>
              <w:right w:val="nil"/>
            </w:tcBorders>
            <w:shd w:val="clear" w:color="000000" w:fill="FFFFFF"/>
            <w:noWrap/>
            <w:vAlign w:val="center"/>
            <w:hideMark/>
          </w:tcPr>
          <w:p w14:paraId="36742EA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695.0</w:t>
            </w:r>
          </w:p>
        </w:tc>
        <w:tc>
          <w:tcPr>
            <w:tcW w:w="684" w:type="dxa"/>
            <w:tcBorders>
              <w:top w:val="nil"/>
              <w:left w:val="nil"/>
              <w:bottom w:val="single" w:sz="8" w:space="0" w:color="DCDDDE"/>
              <w:right w:val="nil"/>
            </w:tcBorders>
            <w:shd w:val="clear" w:color="000000" w:fill="FFFFFF"/>
            <w:noWrap/>
            <w:vAlign w:val="center"/>
            <w:hideMark/>
          </w:tcPr>
          <w:p w14:paraId="222D8D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758.5</w:t>
            </w:r>
          </w:p>
        </w:tc>
        <w:tc>
          <w:tcPr>
            <w:tcW w:w="684" w:type="dxa"/>
            <w:tcBorders>
              <w:top w:val="nil"/>
              <w:left w:val="nil"/>
              <w:bottom w:val="single" w:sz="8" w:space="0" w:color="DCDDDE"/>
              <w:right w:val="nil"/>
            </w:tcBorders>
            <w:shd w:val="clear" w:color="000000" w:fill="FFFFFF"/>
            <w:noWrap/>
            <w:vAlign w:val="center"/>
            <w:hideMark/>
          </w:tcPr>
          <w:p w14:paraId="4893F49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729.4</w:t>
            </w:r>
          </w:p>
        </w:tc>
        <w:tc>
          <w:tcPr>
            <w:tcW w:w="684" w:type="dxa"/>
            <w:tcBorders>
              <w:top w:val="nil"/>
              <w:left w:val="nil"/>
              <w:bottom w:val="single" w:sz="8" w:space="0" w:color="DCDDDE"/>
              <w:right w:val="nil"/>
            </w:tcBorders>
            <w:shd w:val="clear" w:color="000000" w:fill="FFFFFF"/>
            <w:noWrap/>
            <w:vAlign w:val="center"/>
            <w:hideMark/>
          </w:tcPr>
          <w:p w14:paraId="6F1AD7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709.0</w:t>
            </w:r>
          </w:p>
        </w:tc>
        <w:tc>
          <w:tcPr>
            <w:tcW w:w="684" w:type="dxa"/>
            <w:tcBorders>
              <w:top w:val="nil"/>
              <w:left w:val="nil"/>
              <w:bottom w:val="single" w:sz="8" w:space="0" w:color="DCDDDE"/>
              <w:right w:val="nil"/>
            </w:tcBorders>
            <w:shd w:val="clear" w:color="000000" w:fill="FFFFFF"/>
            <w:noWrap/>
            <w:vAlign w:val="center"/>
            <w:hideMark/>
          </w:tcPr>
          <w:p w14:paraId="73D8FE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674.2</w:t>
            </w:r>
          </w:p>
        </w:tc>
        <w:tc>
          <w:tcPr>
            <w:tcW w:w="684" w:type="dxa"/>
            <w:tcBorders>
              <w:top w:val="nil"/>
              <w:left w:val="nil"/>
              <w:bottom w:val="single" w:sz="8" w:space="0" w:color="DCDDDE"/>
              <w:right w:val="nil"/>
            </w:tcBorders>
            <w:shd w:val="clear" w:color="000000" w:fill="FFFFFF"/>
            <w:noWrap/>
            <w:vAlign w:val="center"/>
            <w:hideMark/>
          </w:tcPr>
          <w:p w14:paraId="66AA2E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656.0</w:t>
            </w:r>
          </w:p>
        </w:tc>
        <w:tc>
          <w:tcPr>
            <w:tcW w:w="684" w:type="dxa"/>
            <w:tcBorders>
              <w:top w:val="nil"/>
              <w:left w:val="nil"/>
              <w:bottom w:val="single" w:sz="8" w:space="0" w:color="DCDDDE"/>
              <w:right w:val="nil"/>
            </w:tcBorders>
            <w:shd w:val="clear" w:color="000000" w:fill="FFFFFF"/>
            <w:noWrap/>
            <w:vAlign w:val="center"/>
            <w:hideMark/>
          </w:tcPr>
          <w:p w14:paraId="29B4B56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610.0</w:t>
            </w:r>
          </w:p>
        </w:tc>
        <w:tc>
          <w:tcPr>
            <w:tcW w:w="684" w:type="dxa"/>
            <w:tcBorders>
              <w:top w:val="nil"/>
              <w:left w:val="nil"/>
              <w:bottom w:val="single" w:sz="8" w:space="0" w:color="DCDDDE"/>
              <w:right w:val="nil"/>
            </w:tcBorders>
            <w:shd w:val="clear" w:color="000000" w:fill="FFFFFF"/>
            <w:noWrap/>
            <w:vAlign w:val="center"/>
            <w:hideMark/>
          </w:tcPr>
          <w:p w14:paraId="14A042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555.1</w:t>
            </w:r>
          </w:p>
        </w:tc>
        <w:tc>
          <w:tcPr>
            <w:tcW w:w="684" w:type="dxa"/>
            <w:tcBorders>
              <w:top w:val="nil"/>
              <w:left w:val="nil"/>
              <w:bottom w:val="single" w:sz="8" w:space="0" w:color="DCDDDE"/>
              <w:right w:val="nil"/>
            </w:tcBorders>
            <w:shd w:val="clear" w:color="000000" w:fill="FFFFFF"/>
            <w:noWrap/>
            <w:vAlign w:val="center"/>
            <w:hideMark/>
          </w:tcPr>
          <w:p w14:paraId="6313D7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499.7</w:t>
            </w:r>
          </w:p>
        </w:tc>
      </w:tr>
      <w:tr w:rsidR="00181744" w:rsidRPr="00181744" w14:paraId="2C6BAB42"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6ACC65F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84" w:type="dxa"/>
            <w:tcBorders>
              <w:top w:val="nil"/>
              <w:left w:val="nil"/>
              <w:bottom w:val="single" w:sz="8" w:space="0" w:color="DCDDDE"/>
              <w:right w:val="nil"/>
            </w:tcBorders>
            <w:shd w:val="clear" w:color="000000" w:fill="FFFFFF"/>
            <w:noWrap/>
            <w:vAlign w:val="center"/>
            <w:hideMark/>
          </w:tcPr>
          <w:p w14:paraId="3E6FFE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74.1</w:t>
            </w:r>
          </w:p>
        </w:tc>
        <w:tc>
          <w:tcPr>
            <w:tcW w:w="684" w:type="dxa"/>
            <w:tcBorders>
              <w:top w:val="nil"/>
              <w:left w:val="nil"/>
              <w:bottom w:val="single" w:sz="8" w:space="0" w:color="DCDDDE"/>
              <w:right w:val="nil"/>
            </w:tcBorders>
            <w:shd w:val="clear" w:color="000000" w:fill="FFFFFF"/>
            <w:noWrap/>
            <w:vAlign w:val="center"/>
            <w:hideMark/>
          </w:tcPr>
          <w:p w14:paraId="6982A16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90.3</w:t>
            </w:r>
          </w:p>
        </w:tc>
        <w:tc>
          <w:tcPr>
            <w:tcW w:w="684" w:type="dxa"/>
            <w:tcBorders>
              <w:top w:val="nil"/>
              <w:left w:val="nil"/>
              <w:bottom w:val="single" w:sz="8" w:space="0" w:color="DCDDDE"/>
              <w:right w:val="nil"/>
            </w:tcBorders>
            <w:shd w:val="clear" w:color="000000" w:fill="FFFFFF"/>
            <w:noWrap/>
            <w:vAlign w:val="center"/>
            <w:hideMark/>
          </w:tcPr>
          <w:p w14:paraId="5376DBC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101.8</w:t>
            </w:r>
          </w:p>
        </w:tc>
        <w:tc>
          <w:tcPr>
            <w:tcW w:w="684" w:type="dxa"/>
            <w:tcBorders>
              <w:top w:val="nil"/>
              <w:left w:val="nil"/>
              <w:bottom w:val="single" w:sz="8" w:space="0" w:color="DCDDDE"/>
              <w:right w:val="nil"/>
            </w:tcBorders>
            <w:shd w:val="clear" w:color="000000" w:fill="FFFFFF"/>
            <w:noWrap/>
            <w:vAlign w:val="center"/>
            <w:hideMark/>
          </w:tcPr>
          <w:p w14:paraId="11D99E8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113.8</w:t>
            </w:r>
          </w:p>
        </w:tc>
        <w:tc>
          <w:tcPr>
            <w:tcW w:w="684" w:type="dxa"/>
            <w:tcBorders>
              <w:top w:val="nil"/>
              <w:left w:val="nil"/>
              <w:bottom w:val="single" w:sz="8" w:space="0" w:color="DCDDDE"/>
              <w:right w:val="nil"/>
            </w:tcBorders>
            <w:shd w:val="clear" w:color="000000" w:fill="FFFFFF"/>
            <w:noWrap/>
            <w:vAlign w:val="center"/>
            <w:hideMark/>
          </w:tcPr>
          <w:p w14:paraId="64A3A7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124.5</w:t>
            </w:r>
          </w:p>
        </w:tc>
        <w:tc>
          <w:tcPr>
            <w:tcW w:w="684" w:type="dxa"/>
            <w:tcBorders>
              <w:top w:val="nil"/>
              <w:left w:val="nil"/>
              <w:bottom w:val="single" w:sz="8" w:space="0" w:color="DCDDDE"/>
              <w:right w:val="nil"/>
            </w:tcBorders>
            <w:shd w:val="clear" w:color="000000" w:fill="FFFFFF"/>
            <w:noWrap/>
            <w:vAlign w:val="center"/>
            <w:hideMark/>
          </w:tcPr>
          <w:p w14:paraId="755695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135.5</w:t>
            </w:r>
          </w:p>
        </w:tc>
        <w:tc>
          <w:tcPr>
            <w:tcW w:w="684" w:type="dxa"/>
            <w:tcBorders>
              <w:top w:val="nil"/>
              <w:left w:val="nil"/>
              <w:bottom w:val="single" w:sz="8" w:space="0" w:color="DCDDDE"/>
              <w:right w:val="nil"/>
            </w:tcBorders>
            <w:shd w:val="clear" w:color="000000" w:fill="FFFFFF"/>
            <w:noWrap/>
            <w:vAlign w:val="center"/>
            <w:hideMark/>
          </w:tcPr>
          <w:p w14:paraId="15A22B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147.1</w:t>
            </w:r>
          </w:p>
        </w:tc>
        <w:tc>
          <w:tcPr>
            <w:tcW w:w="684" w:type="dxa"/>
            <w:tcBorders>
              <w:top w:val="nil"/>
              <w:left w:val="nil"/>
              <w:bottom w:val="single" w:sz="8" w:space="0" w:color="DCDDDE"/>
              <w:right w:val="nil"/>
            </w:tcBorders>
            <w:shd w:val="clear" w:color="000000" w:fill="FFFFFF"/>
            <w:noWrap/>
            <w:vAlign w:val="center"/>
            <w:hideMark/>
          </w:tcPr>
          <w:p w14:paraId="096AFA6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162.2</w:t>
            </w:r>
          </w:p>
        </w:tc>
        <w:tc>
          <w:tcPr>
            <w:tcW w:w="684" w:type="dxa"/>
            <w:tcBorders>
              <w:top w:val="nil"/>
              <w:left w:val="nil"/>
              <w:bottom w:val="single" w:sz="8" w:space="0" w:color="DCDDDE"/>
              <w:right w:val="nil"/>
            </w:tcBorders>
            <w:shd w:val="clear" w:color="000000" w:fill="FFFFFF"/>
            <w:noWrap/>
            <w:vAlign w:val="center"/>
            <w:hideMark/>
          </w:tcPr>
          <w:p w14:paraId="681530C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175.8</w:t>
            </w:r>
          </w:p>
        </w:tc>
        <w:tc>
          <w:tcPr>
            <w:tcW w:w="684" w:type="dxa"/>
            <w:tcBorders>
              <w:top w:val="nil"/>
              <w:left w:val="nil"/>
              <w:bottom w:val="single" w:sz="8" w:space="0" w:color="DCDDDE"/>
              <w:right w:val="nil"/>
            </w:tcBorders>
            <w:shd w:val="clear" w:color="000000" w:fill="FFFFFF"/>
            <w:noWrap/>
            <w:vAlign w:val="center"/>
            <w:hideMark/>
          </w:tcPr>
          <w:p w14:paraId="0FFC7F8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189.9</w:t>
            </w:r>
          </w:p>
        </w:tc>
        <w:tc>
          <w:tcPr>
            <w:tcW w:w="684" w:type="dxa"/>
            <w:tcBorders>
              <w:top w:val="nil"/>
              <w:left w:val="nil"/>
              <w:bottom w:val="single" w:sz="8" w:space="0" w:color="DCDDDE"/>
              <w:right w:val="nil"/>
            </w:tcBorders>
            <w:shd w:val="clear" w:color="000000" w:fill="FFFFFF"/>
            <w:noWrap/>
            <w:vAlign w:val="center"/>
            <w:hideMark/>
          </w:tcPr>
          <w:p w14:paraId="64B564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204.5</w:t>
            </w:r>
          </w:p>
        </w:tc>
        <w:tc>
          <w:tcPr>
            <w:tcW w:w="684" w:type="dxa"/>
            <w:tcBorders>
              <w:top w:val="nil"/>
              <w:left w:val="nil"/>
              <w:bottom w:val="single" w:sz="8" w:space="0" w:color="DCDDDE"/>
              <w:right w:val="nil"/>
            </w:tcBorders>
            <w:shd w:val="clear" w:color="000000" w:fill="FFFFFF"/>
            <w:noWrap/>
            <w:vAlign w:val="center"/>
            <w:hideMark/>
          </w:tcPr>
          <w:p w14:paraId="1DD63E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219.7</w:t>
            </w:r>
          </w:p>
        </w:tc>
        <w:tc>
          <w:tcPr>
            <w:tcW w:w="684" w:type="dxa"/>
            <w:tcBorders>
              <w:top w:val="nil"/>
              <w:left w:val="nil"/>
              <w:bottom w:val="single" w:sz="8" w:space="0" w:color="DCDDDE"/>
              <w:right w:val="nil"/>
            </w:tcBorders>
            <w:shd w:val="clear" w:color="000000" w:fill="FFFFFF"/>
            <w:noWrap/>
            <w:vAlign w:val="center"/>
            <w:hideMark/>
          </w:tcPr>
          <w:p w14:paraId="3F1890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230.4</w:t>
            </w:r>
          </w:p>
        </w:tc>
      </w:tr>
      <w:tr w:rsidR="00181744" w:rsidRPr="00181744" w14:paraId="5155C8E1"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3995BE0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84" w:type="dxa"/>
            <w:tcBorders>
              <w:top w:val="nil"/>
              <w:left w:val="nil"/>
              <w:bottom w:val="single" w:sz="8" w:space="0" w:color="DCDDDE"/>
              <w:right w:val="nil"/>
            </w:tcBorders>
            <w:shd w:val="clear" w:color="000000" w:fill="FFFFFF"/>
            <w:noWrap/>
            <w:vAlign w:val="center"/>
            <w:hideMark/>
          </w:tcPr>
          <w:p w14:paraId="40A7A4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20.9</w:t>
            </w:r>
          </w:p>
        </w:tc>
        <w:tc>
          <w:tcPr>
            <w:tcW w:w="684" w:type="dxa"/>
            <w:tcBorders>
              <w:top w:val="nil"/>
              <w:left w:val="nil"/>
              <w:bottom w:val="single" w:sz="8" w:space="0" w:color="DCDDDE"/>
              <w:right w:val="nil"/>
            </w:tcBorders>
            <w:shd w:val="clear" w:color="000000" w:fill="FFFFFF"/>
            <w:noWrap/>
            <w:vAlign w:val="center"/>
            <w:hideMark/>
          </w:tcPr>
          <w:p w14:paraId="7A6838E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20.1</w:t>
            </w:r>
          </w:p>
        </w:tc>
        <w:tc>
          <w:tcPr>
            <w:tcW w:w="684" w:type="dxa"/>
            <w:tcBorders>
              <w:top w:val="nil"/>
              <w:left w:val="nil"/>
              <w:bottom w:val="single" w:sz="8" w:space="0" w:color="DCDDDE"/>
              <w:right w:val="nil"/>
            </w:tcBorders>
            <w:shd w:val="clear" w:color="000000" w:fill="FFFFFF"/>
            <w:noWrap/>
            <w:vAlign w:val="center"/>
            <w:hideMark/>
          </w:tcPr>
          <w:p w14:paraId="0B5C105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20.2</w:t>
            </w:r>
          </w:p>
        </w:tc>
        <w:tc>
          <w:tcPr>
            <w:tcW w:w="684" w:type="dxa"/>
            <w:tcBorders>
              <w:top w:val="nil"/>
              <w:left w:val="nil"/>
              <w:bottom w:val="single" w:sz="8" w:space="0" w:color="DCDDDE"/>
              <w:right w:val="nil"/>
            </w:tcBorders>
            <w:shd w:val="clear" w:color="000000" w:fill="FFFFFF"/>
            <w:noWrap/>
            <w:vAlign w:val="center"/>
            <w:hideMark/>
          </w:tcPr>
          <w:p w14:paraId="65EBE7B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262653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276A531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5017A5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4BFE45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20A73A3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4A721A3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66390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049B5E0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577227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r>
      <w:tr w:rsidR="00181744" w:rsidRPr="00181744" w14:paraId="174D0386"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6308504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84" w:type="dxa"/>
            <w:tcBorders>
              <w:top w:val="nil"/>
              <w:left w:val="nil"/>
              <w:bottom w:val="single" w:sz="8" w:space="0" w:color="DCDDDE"/>
              <w:right w:val="nil"/>
            </w:tcBorders>
            <w:shd w:val="clear" w:color="000000" w:fill="FFFFFF"/>
            <w:noWrap/>
            <w:vAlign w:val="center"/>
            <w:hideMark/>
          </w:tcPr>
          <w:p w14:paraId="50FCAD4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1,115.2</w:t>
            </w:r>
          </w:p>
        </w:tc>
        <w:tc>
          <w:tcPr>
            <w:tcW w:w="684" w:type="dxa"/>
            <w:tcBorders>
              <w:top w:val="nil"/>
              <w:left w:val="nil"/>
              <w:bottom w:val="single" w:sz="8" w:space="0" w:color="DCDDDE"/>
              <w:right w:val="nil"/>
            </w:tcBorders>
            <w:shd w:val="clear" w:color="000000" w:fill="FFFFFF"/>
            <w:noWrap/>
            <w:vAlign w:val="center"/>
            <w:hideMark/>
          </w:tcPr>
          <w:p w14:paraId="088F5AF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1,168.8</w:t>
            </w:r>
          </w:p>
        </w:tc>
        <w:tc>
          <w:tcPr>
            <w:tcW w:w="684" w:type="dxa"/>
            <w:tcBorders>
              <w:top w:val="nil"/>
              <w:left w:val="nil"/>
              <w:bottom w:val="single" w:sz="8" w:space="0" w:color="DCDDDE"/>
              <w:right w:val="nil"/>
            </w:tcBorders>
            <w:shd w:val="clear" w:color="000000" w:fill="FFFFFF"/>
            <w:noWrap/>
            <w:vAlign w:val="center"/>
            <w:hideMark/>
          </w:tcPr>
          <w:p w14:paraId="7EA0E8E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1,180.5</w:t>
            </w:r>
          </w:p>
        </w:tc>
        <w:tc>
          <w:tcPr>
            <w:tcW w:w="684" w:type="dxa"/>
            <w:tcBorders>
              <w:top w:val="nil"/>
              <w:left w:val="nil"/>
              <w:bottom w:val="single" w:sz="8" w:space="0" w:color="DCDDDE"/>
              <w:right w:val="nil"/>
            </w:tcBorders>
            <w:shd w:val="clear" w:color="000000" w:fill="FFFFFF"/>
            <w:noWrap/>
            <w:vAlign w:val="center"/>
            <w:hideMark/>
          </w:tcPr>
          <w:p w14:paraId="7E14C55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1,255.6</w:t>
            </w:r>
          </w:p>
        </w:tc>
        <w:tc>
          <w:tcPr>
            <w:tcW w:w="684" w:type="dxa"/>
            <w:tcBorders>
              <w:top w:val="nil"/>
              <w:left w:val="nil"/>
              <w:bottom w:val="single" w:sz="8" w:space="0" w:color="DCDDDE"/>
              <w:right w:val="nil"/>
            </w:tcBorders>
            <w:shd w:val="clear" w:color="000000" w:fill="FFFFFF"/>
            <w:noWrap/>
            <w:vAlign w:val="center"/>
            <w:hideMark/>
          </w:tcPr>
          <w:p w14:paraId="7DE323D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1,263.2</w:t>
            </w:r>
          </w:p>
        </w:tc>
        <w:tc>
          <w:tcPr>
            <w:tcW w:w="684" w:type="dxa"/>
            <w:tcBorders>
              <w:top w:val="nil"/>
              <w:left w:val="nil"/>
              <w:bottom w:val="single" w:sz="8" w:space="0" w:color="DCDDDE"/>
              <w:right w:val="nil"/>
            </w:tcBorders>
            <w:shd w:val="clear" w:color="000000" w:fill="FFFFFF"/>
            <w:noWrap/>
            <w:vAlign w:val="center"/>
            <w:hideMark/>
          </w:tcPr>
          <w:p w14:paraId="0DE2165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1,373.7</w:t>
            </w:r>
          </w:p>
        </w:tc>
        <w:tc>
          <w:tcPr>
            <w:tcW w:w="684" w:type="dxa"/>
            <w:tcBorders>
              <w:top w:val="nil"/>
              <w:left w:val="nil"/>
              <w:bottom w:val="single" w:sz="8" w:space="0" w:color="DCDDDE"/>
              <w:right w:val="nil"/>
            </w:tcBorders>
            <w:shd w:val="clear" w:color="000000" w:fill="FFFFFF"/>
            <w:noWrap/>
            <w:vAlign w:val="center"/>
            <w:hideMark/>
          </w:tcPr>
          <w:p w14:paraId="357EF1F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1,367.1</w:t>
            </w:r>
          </w:p>
        </w:tc>
        <w:tc>
          <w:tcPr>
            <w:tcW w:w="684" w:type="dxa"/>
            <w:tcBorders>
              <w:top w:val="nil"/>
              <w:left w:val="nil"/>
              <w:bottom w:val="single" w:sz="8" w:space="0" w:color="DCDDDE"/>
              <w:right w:val="nil"/>
            </w:tcBorders>
            <w:shd w:val="clear" w:color="000000" w:fill="FFFFFF"/>
            <w:noWrap/>
            <w:vAlign w:val="center"/>
            <w:hideMark/>
          </w:tcPr>
          <w:p w14:paraId="6215C16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1,374.9</w:t>
            </w:r>
          </w:p>
        </w:tc>
        <w:tc>
          <w:tcPr>
            <w:tcW w:w="684" w:type="dxa"/>
            <w:tcBorders>
              <w:top w:val="nil"/>
              <w:left w:val="nil"/>
              <w:bottom w:val="single" w:sz="8" w:space="0" w:color="DCDDDE"/>
              <w:right w:val="nil"/>
            </w:tcBorders>
            <w:shd w:val="clear" w:color="000000" w:fill="FFFFFF"/>
            <w:noWrap/>
            <w:vAlign w:val="center"/>
            <w:hideMark/>
          </w:tcPr>
          <w:p w14:paraId="77A9BED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1,353.7</w:t>
            </w:r>
          </w:p>
        </w:tc>
        <w:tc>
          <w:tcPr>
            <w:tcW w:w="684" w:type="dxa"/>
            <w:tcBorders>
              <w:top w:val="nil"/>
              <w:left w:val="nil"/>
              <w:bottom w:val="single" w:sz="8" w:space="0" w:color="DCDDDE"/>
              <w:right w:val="nil"/>
            </w:tcBorders>
            <w:shd w:val="clear" w:color="000000" w:fill="FFFFFF"/>
            <w:noWrap/>
            <w:vAlign w:val="center"/>
            <w:hideMark/>
          </w:tcPr>
          <w:p w14:paraId="460A6AC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1,354.0</w:t>
            </w:r>
          </w:p>
        </w:tc>
        <w:tc>
          <w:tcPr>
            <w:tcW w:w="684" w:type="dxa"/>
            <w:tcBorders>
              <w:top w:val="nil"/>
              <w:left w:val="nil"/>
              <w:bottom w:val="single" w:sz="8" w:space="0" w:color="DCDDDE"/>
              <w:right w:val="nil"/>
            </w:tcBorders>
            <w:shd w:val="clear" w:color="000000" w:fill="FFFFFF"/>
            <w:noWrap/>
            <w:vAlign w:val="center"/>
            <w:hideMark/>
          </w:tcPr>
          <w:p w14:paraId="18AF7B7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1,324.0</w:t>
            </w:r>
          </w:p>
        </w:tc>
        <w:tc>
          <w:tcPr>
            <w:tcW w:w="684" w:type="dxa"/>
            <w:tcBorders>
              <w:top w:val="nil"/>
              <w:left w:val="nil"/>
              <w:bottom w:val="single" w:sz="8" w:space="0" w:color="DCDDDE"/>
              <w:right w:val="nil"/>
            </w:tcBorders>
            <w:shd w:val="clear" w:color="000000" w:fill="FFFFFF"/>
            <w:noWrap/>
            <w:vAlign w:val="center"/>
            <w:hideMark/>
          </w:tcPr>
          <w:p w14:paraId="1F201A9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1,282.9</w:t>
            </w:r>
          </w:p>
        </w:tc>
        <w:tc>
          <w:tcPr>
            <w:tcW w:w="684" w:type="dxa"/>
            <w:tcBorders>
              <w:top w:val="nil"/>
              <w:left w:val="nil"/>
              <w:bottom w:val="single" w:sz="8" w:space="0" w:color="DCDDDE"/>
              <w:right w:val="nil"/>
            </w:tcBorders>
            <w:shd w:val="clear" w:color="000000" w:fill="FFFFFF"/>
            <w:noWrap/>
            <w:vAlign w:val="center"/>
            <w:hideMark/>
          </w:tcPr>
          <w:p w14:paraId="2DA7BEB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1,231.9</w:t>
            </w:r>
          </w:p>
        </w:tc>
      </w:tr>
      <w:tr w:rsidR="00181744" w:rsidRPr="00181744" w14:paraId="36C459EE" w14:textId="77777777" w:rsidTr="00416D32">
        <w:trPr>
          <w:trHeight w:val="257"/>
        </w:trPr>
        <w:tc>
          <w:tcPr>
            <w:tcW w:w="9771" w:type="dxa"/>
            <w:gridSpan w:val="14"/>
            <w:tcBorders>
              <w:top w:val="single" w:sz="8" w:space="0" w:color="DCDDDE"/>
              <w:left w:val="nil"/>
              <w:bottom w:val="single" w:sz="8" w:space="0" w:color="DCDDDE"/>
              <w:right w:val="nil"/>
            </w:tcBorders>
            <w:shd w:val="clear" w:color="000000" w:fill="DADADA"/>
            <w:noWrap/>
            <w:vAlign w:val="center"/>
            <w:hideMark/>
          </w:tcPr>
          <w:p w14:paraId="008CDB4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181744" w:rsidRPr="00181744" w14:paraId="2521D39E"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25BAC8F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84" w:type="dxa"/>
            <w:tcBorders>
              <w:top w:val="nil"/>
              <w:left w:val="nil"/>
              <w:bottom w:val="single" w:sz="8" w:space="0" w:color="DCDDDE"/>
              <w:right w:val="nil"/>
            </w:tcBorders>
            <w:shd w:val="clear" w:color="000000" w:fill="FFFFFF"/>
            <w:noWrap/>
            <w:vAlign w:val="center"/>
            <w:hideMark/>
          </w:tcPr>
          <w:p w14:paraId="09BC984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420.2</w:t>
            </w:r>
          </w:p>
        </w:tc>
        <w:tc>
          <w:tcPr>
            <w:tcW w:w="684" w:type="dxa"/>
            <w:tcBorders>
              <w:top w:val="nil"/>
              <w:left w:val="nil"/>
              <w:bottom w:val="single" w:sz="8" w:space="0" w:color="DCDDDE"/>
              <w:right w:val="nil"/>
            </w:tcBorders>
            <w:shd w:val="clear" w:color="000000" w:fill="FFFFFF"/>
            <w:noWrap/>
            <w:vAlign w:val="center"/>
            <w:hideMark/>
          </w:tcPr>
          <w:p w14:paraId="232BA3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440.4</w:t>
            </w:r>
          </w:p>
        </w:tc>
        <w:tc>
          <w:tcPr>
            <w:tcW w:w="684" w:type="dxa"/>
            <w:tcBorders>
              <w:top w:val="nil"/>
              <w:left w:val="nil"/>
              <w:bottom w:val="single" w:sz="8" w:space="0" w:color="DCDDDE"/>
              <w:right w:val="nil"/>
            </w:tcBorders>
            <w:shd w:val="clear" w:color="000000" w:fill="FFFFFF"/>
            <w:noWrap/>
            <w:vAlign w:val="center"/>
            <w:hideMark/>
          </w:tcPr>
          <w:p w14:paraId="5C279F2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434.2</w:t>
            </w:r>
          </w:p>
        </w:tc>
        <w:tc>
          <w:tcPr>
            <w:tcW w:w="684" w:type="dxa"/>
            <w:tcBorders>
              <w:top w:val="nil"/>
              <w:left w:val="nil"/>
              <w:bottom w:val="single" w:sz="8" w:space="0" w:color="DCDDDE"/>
              <w:right w:val="nil"/>
            </w:tcBorders>
            <w:shd w:val="clear" w:color="000000" w:fill="FFFFFF"/>
            <w:noWrap/>
            <w:vAlign w:val="center"/>
            <w:hideMark/>
          </w:tcPr>
          <w:p w14:paraId="77123A2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479.0</w:t>
            </w:r>
          </w:p>
        </w:tc>
        <w:tc>
          <w:tcPr>
            <w:tcW w:w="684" w:type="dxa"/>
            <w:tcBorders>
              <w:top w:val="nil"/>
              <w:left w:val="nil"/>
              <w:bottom w:val="single" w:sz="8" w:space="0" w:color="DCDDDE"/>
              <w:right w:val="nil"/>
            </w:tcBorders>
            <w:shd w:val="clear" w:color="000000" w:fill="FFFFFF"/>
            <w:noWrap/>
            <w:vAlign w:val="center"/>
            <w:hideMark/>
          </w:tcPr>
          <w:p w14:paraId="114D6B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492.7</w:t>
            </w:r>
          </w:p>
        </w:tc>
        <w:tc>
          <w:tcPr>
            <w:tcW w:w="684" w:type="dxa"/>
            <w:tcBorders>
              <w:top w:val="nil"/>
              <w:left w:val="nil"/>
              <w:bottom w:val="single" w:sz="8" w:space="0" w:color="DCDDDE"/>
              <w:right w:val="nil"/>
            </w:tcBorders>
            <w:shd w:val="clear" w:color="000000" w:fill="FFFFFF"/>
            <w:noWrap/>
            <w:vAlign w:val="center"/>
            <w:hideMark/>
          </w:tcPr>
          <w:p w14:paraId="62142B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510.3</w:t>
            </w:r>
          </w:p>
        </w:tc>
        <w:tc>
          <w:tcPr>
            <w:tcW w:w="684" w:type="dxa"/>
            <w:tcBorders>
              <w:top w:val="nil"/>
              <w:left w:val="nil"/>
              <w:bottom w:val="single" w:sz="8" w:space="0" w:color="DCDDDE"/>
              <w:right w:val="nil"/>
            </w:tcBorders>
            <w:shd w:val="clear" w:color="000000" w:fill="FFFFFF"/>
            <w:noWrap/>
            <w:vAlign w:val="center"/>
            <w:hideMark/>
          </w:tcPr>
          <w:p w14:paraId="3AE339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518.3</w:t>
            </w:r>
          </w:p>
        </w:tc>
        <w:tc>
          <w:tcPr>
            <w:tcW w:w="684" w:type="dxa"/>
            <w:tcBorders>
              <w:top w:val="nil"/>
              <w:left w:val="nil"/>
              <w:bottom w:val="single" w:sz="8" w:space="0" w:color="DCDDDE"/>
              <w:right w:val="nil"/>
            </w:tcBorders>
            <w:shd w:val="clear" w:color="000000" w:fill="FFFFFF"/>
            <w:noWrap/>
            <w:vAlign w:val="center"/>
            <w:hideMark/>
          </w:tcPr>
          <w:p w14:paraId="3A34790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523.1</w:t>
            </w:r>
          </w:p>
        </w:tc>
        <w:tc>
          <w:tcPr>
            <w:tcW w:w="684" w:type="dxa"/>
            <w:tcBorders>
              <w:top w:val="nil"/>
              <w:left w:val="nil"/>
              <w:bottom w:val="single" w:sz="8" w:space="0" w:color="DCDDDE"/>
              <w:right w:val="nil"/>
            </w:tcBorders>
            <w:shd w:val="clear" w:color="000000" w:fill="FFFFFF"/>
            <w:noWrap/>
            <w:vAlign w:val="center"/>
            <w:hideMark/>
          </w:tcPr>
          <w:p w14:paraId="0A14AEE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527.3</w:t>
            </w:r>
          </w:p>
        </w:tc>
        <w:tc>
          <w:tcPr>
            <w:tcW w:w="684" w:type="dxa"/>
            <w:tcBorders>
              <w:top w:val="nil"/>
              <w:left w:val="nil"/>
              <w:bottom w:val="single" w:sz="8" w:space="0" w:color="DCDDDE"/>
              <w:right w:val="nil"/>
            </w:tcBorders>
            <w:shd w:val="clear" w:color="000000" w:fill="FFFFFF"/>
            <w:noWrap/>
            <w:vAlign w:val="center"/>
            <w:hideMark/>
          </w:tcPr>
          <w:p w14:paraId="5686C3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528.2</w:t>
            </w:r>
          </w:p>
        </w:tc>
        <w:tc>
          <w:tcPr>
            <w:tcW w:w="684" w:type="dxa"/>
            <w:tcBorders>
              <w:top w:val="nil"/>
              <w:left w:val="nil"/>
              <w:bottom w:val="single" w:sz="8" w:space="0" w:color="DCDDDE"/>
              <w:right w:val="nil"/>
            </w:tcBorders>
            <w:shd w:val="clear" w:color="000000" w:fill="FFFFFF"/>
            <w:noWrap/>
            <w:vAlign w:val="center"/>
            <w:hideMark/>
          </w:tcPr>
          <w:p w14:paraId="0AFAD8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527.2</w:t>
            </w:r>
          </w:p>
        </w:tc>
        <w:tc>
          <w:tcPr>
            <w:tcW w:w="684" w:type="dxa"/>
            <w:tcBorders>
              <w:top w:val="nil"/>
              <w:left w:val="nil"/>
              <w:bottom w:val="single" w:sz="8" w:space="0" w:color="DCDDDE"/>
              <w:right w:val="nil"/>
            </w:tcBorders>
            <w:shd w:val="clear" w:color="000000" w:fill="FFFFFF"/>
            <w:noWrap/>
            <w:vAlign w:val="center"/>
            <w:hideMark/>
          </w:tcPr>
          <w:p w14:paraId="544380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523.5</w:t>
            </w:r>
          </w:p>
        </w:tc>
        <w:tc>
          <w:tcPr>
            <w:tcW w:w="684" w:type="dxa"/>
            <w:tcBorders>
              <w:top w:val="nil"/>
              <w:left w:val="nil"/>
              <w:bottom w:val="single" w:sz="8" w:space="0" w:color="DCDDDE"/>
              <w:right w:val="nil"/>
            </w:tcBorders>
            <w:shd w:val="clear" w:color="000000" w:fill="FFFFFF"/>
            <w:noWrap/>
            <w:vAlign w:val="center"/>
            <w:hideMark/>
          </w:tcPr>
          <w:p w14:paraId="3CB5CA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516.7</w:t>
            </w:r>
          </w:p>
        </w:tc>
      </w:tr>
      <w:tr w:rsidR="00181744" w:rsidRPr="00181744" w14:paraId="54E1AF40"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1DC008D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84" w:type="dxa"/>
            <w:tcBorders>
              <w:top w:val="nil"/>
              <w:left w:val="nil"/>
              <w:bottom w:val="single" w:sz="8" w:space="0" w:color="DCDDDE"/>
              <w:right w:val="nil"/>
            </w:tcBorders>
            <w:shd w:val="clear" w:color="000000" w:fill="FFFFFF"/>
            <w:noWrap/>
            <w:vAlign w:val="center"/>
            <w:hideMark/>
          </w:tcPr>
          <w:p w14:paraId="6B204C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683.2</w:t>
            </w:r>
          </w:p>
        </w:tc>
        <w:tc>
          <w:tcPr>
            <w:tcW w:w="684" w:type="dxa"/>
            <w:tcBorders>
              <w:top w:val="nil"/>
              <w:left w:val="nil"/>
              <w:bottom w:val="single" w:sz="8" w:space="0" w:color="DCDDDE"/>
              <w:right w:val="nil"/>
            </w:tcBorders>
            <w:shd w:val="clear" w:color="000000" w:fill="FFFFFF"/>
            <w:noWrap/>
            <w:vAlign w:val="center"/>
            <w:hideMark/>
          </w:tcPr>
          <w:p w14:paraId="511E7C5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699.9</w:t>
            </w:r>
          </w:p>
        </w:tc>
        <w:tc>
          <w:tcPr>
            <w:tcW w:w="684" w:type="dxa"/>
            <w:tcBorders>
              <w:top w:val="nil"/>
              <w:left w:val="nil"/>
              <w:bottom w:val="single" w:sz="8" w:space="0" w:color="DCDDDE"/>
              <w:right w:val="nil"/>
            </w:tcBorders>
            <w:shd w:val="clear" w:color="000000" w:fill="FFFFFF"/>
            <w:noWrap/>
            <w:vAlign w:val="center"/>
            <w:hideMark/>
          </w:tcPr>
          <w:p w14:paraId="199475C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689.3</w:t>
            </w:r>
          </w:p>
        </w:tc>
        <w:tc>
          <w:tcPr>
            <w:tcW w:w="684" w:type="dxa"/>
            <w:tcBorders>
              <w:top w:val="nil"/>
              <w:left w:val="nil"/>
              <w:bottom w:val="single" w:sz="8" w:space="0" w:color="DCDDDE"/>
              <w:right w:val="nil"/>
            </w:tcBorders>
            <w:shd w:val="clear" w:color="000000" w:fill="FFFFFF"/>
            <w:noWrap/>
            <w:vAlign w:val="center"/>
            <w:hideMark/>
          </w:tcPr>
          <w:p w14:paraId="6F768C1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710.5</w:t>
            </w:r>
          </w:p>
        </w:tc>
        <w:tc>
          <w:tcPr>
            <w:tcW w:w="684" w:type="dxa"/>
            <w:tcBorders>
              <w:top w:val="nil"/>
              <w:left w:val="nil"/>
              <w:bottom w:val="single" w:sz="8" w:space="0" w:color="DCDDDE"/>
              <w:right w:val="nil"/>
            </w:tcBorders>
            <w:shd w:val="clear" w:color="000000" w:fill="FFFFFF"/>
            <w:noWrap/>
            <w:vAlign w:val="center"/>
            <w:hideMark/>
          </w:tcPr>
          <w:p w14:paraId="31E9F8F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695.0</w:t>
            </w:r>
          </w:p>
        </w:tc>
        <w:tc>
          <w:tcPr>
            <w:tcW w:w="684" w:type="dxa"/>
            <w:tcBorders>
              <w:top w:val="nil"/>
              <w:left w:val="nil"/>
              <w:bottom w:val="single" w:sz="8" w:space="0" w:color="DCDDDE"/>
              <w:right w:val="nil"/>
            </w:tcBorders>
            <w:shd w:val="clear" w:color="000000" w:fill="FFFFFF"/>
            <w:noWrap/>
            <w:vAlign w:val="center"/>
            <w:hideMark/>
          </w:tcPr>
          <w:p w14:paraId="78002F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758.5</w:t>
            </w:r>
          </w:p>
        </w:tc>
        <w:tc>
          <w:tcPr>
            <w:tcW w:w="684" w:type="dxa"/>
            <w:tcBorders>
              <w:top w:val="nil"/>
              <w:left w:val="nil"/>
              <w:bottom w:val="single" w:sz="8" w:space="0" w:color="DCDDDE"/>
              <w:right w:val="nil"/>
            </w:tcBorders>
            <w:shd w:val="clear" w:color="000000" w:fill="FFFFFF"/>
            <w:noWrap/>
            <w:vAlign w:val="center"/>
            <w:hideMark/>
          </w:tcPr>
          <w:p w14:paraId="3A2F496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729.4</w:t>
            </w:r>
          </w:p>
        </w:tc>
        <w:tc>
          <w:tcPr>
            <w:tcW w:w="684" w:type="dxa"/>
            <w:tcBorders>
              <w:top w:val="nil"/>
              <w:left w:val="nil"/>
              <w:bottom w:val="single" w:sz="8" w:space="0" w:color="DCDDDE"/>
              <w:right w:val="nil"/>
            </w:tcBorders>
            <w:shd w:val="clear" w:color="000000" w:fill="FFFFFF"/>
            <w:noWrap/>
            <w:vAlign w:val="center"/>
            <w:hideMark/>
          </w:tcPr>
          <w:p w14:paraId="431F53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709.0</w:t>
            </w:r>
          </w:p>
        </w:tc>
        <w:tc>
          <w:tcPr>
            <w:tcW w:w="684" w:type="dxa"/>
            <w:tcBorders>
              <w:top w:val="nil"/>
              <w:left w:val="nil"/>
              <w:bottom w:val="single" w:sz="8" w:space="0" w:color="DCDDDE"/>
              <w:right w:val="nil"/>
            </w:tcBorders>
            <w:shd w:val="clear" w:color="000000" w:fill="FFFFFF"/>
            <w:noWrap/>
            <w:vAlign w:val="center"/>
            <w:hideMark/>
          </w:tcPr>
          <w:p w14:paraId="23CE5F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674.2</w:t>
            </w:r>
          </w:p>
        </w:tc>
        <w:tc>
          <w:tcPr>
            <w:tcW w:w="684" w:type="dxa"/>
            <w:tcBorders>
              <w:top w:val="nil"/>
              <w:left w:val="nil"/>
              <w:bottom w:val="single" w:sz="8" w:space="0" w:color="DCDDDE"/>
              <w:right w:val="nil"/>
            </w:tcBorders>
            <w:shd w:val="clear" w:color="000000" w:fill="FFFFFF"/>
            <w:noWrap/>
            <w:vAlign w:val="center"/>
            <w:hideMark/>
          </w:tcPr>
          <w:p w14:paraId="3F3BDC0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656.0</w:t>
            </w:r>
          </w:p>
        </w:tc>
        <w:tc>
          <w:tcPr>
            <w:tcW w:w="684" w:type="dxa"/>
            <w:tcBorders>
              <w:top w:val="nil"/>
              <w:left w:val="nil"/>
              <w:bottom w:val="single" w:sz="8" w:space="0" w:color="DCDDDE"/>
              <w:right w:val="nil"/>
            </w:tcBorders>
            <w:shd w:val="clear" w:color="000000" w:fill="FFFFFF"/>
            <w:noWrap/>
            <w:vAlign w:val="center"/>
            <w:hideMark/>
          </w:tcPr>
          <w:p w14:paraId="7674065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610.0</w:t>
            </w:r>
          </w:p>
        </w:tc>
        <w:tc>
          <w:tcPr>
            <w:tcW w:w="684" w:type="dxa"/>
            <w:tcBorders>
              <w:top w:val="nil"/>
              <w:left w:val="nil"/>
              <w:bottom w:val="single" w:sz="8" w:space="0" w:color="DCDDDE"/>
              <w:right w:val="nil"/>
            </w:tcBorders>
            <w:shd w:val="clear" w:color="000000" w:fill="FFFFFF"/>
            <w:noWrap/>
            <w:vAlign w:val="center"/>
            <w:hideMark/>
          </w:tcPr>
          <w:p w14:paraId="5C248B6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555.1</w:t>
            </w:r>
          </w:p>
        </w:tc>
        <w:tc>
          <w:tcPr>
            <w:tcW w:w="684" w:type="dxa"/>
            <w:tcBorders>
              <w:top w:val="nil"/>
              <w:left w:val="nil"/>
              <w:bottom w:val="single" w:sz="8" w:space="0" w:color="DCDDDE"/>
              <w:right w:val="nil"/>
            </w:tcBorders>
            <w:shd w:val="clear" w:color="000000" w:fill="FFFFFF"/>
            <w:noWrap/>
            <w:vAlign w:val="center"/>
            <w:hideMark/>
          </w:tcPr>
          <w:p w14:paraId="0105C19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499.7</w:t>
            </w:r>
          </w:p>
        </w:tc>
      </w:tr>
      <w:tr w:rsidR="00181744" w:rsidRPr="00181744" w14:paraId="477B32E8"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710D16D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84" w:type="dxa"/>
            <w:tcBorders>
              <w:top w:val="nil"/>
              <w:left w:val="nil"/>
              <w:bottom w:val="single" w:sz="8" w:space="0" w:color="DCDDDE"/>
              <w:right w:val="nil"/>
            </w:tcBorders>
            <w:shd w:val="clear" w:color="000000" w:fill="FFFFFF"/>
            <w:noWrap/>
            <w:vAlign w:val="center"/>
            <w:hideMark/>
          </w:tcPr>
          <w:p w14:paraId="1E3163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74.1</w:t>
            </w:r>
          </w:p>
        </w:tc>
        <w:tc>
          <w:tcPr>
            <w:tcW w:w="684" w:type="dxa"/>
            <w:tcBorders>
              <w:top w:val="nil"/>
              <w:left w:val="nil"/>
              <w:bottom w:val="single" w:sz="8" w:space="0" w:color="DCDDDE"/>
              <w:right w:val="nil"/>
            </w:tcBorders>
            <w:shd w:val="clear" w:color="000000" w:fill="FFFFFF"/>
            <w:noWrap/>
            <w:vAlign w:val="center"/>
            <w:hideMark/>
          </w:tcPr>
          <w:p w14:paraId="67B5F2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90.3</w:t>
            </w:r>
          </w:p>
        </w:tc>
        <w:tc>
          <w:tcPr>
            <w:tcW w:w="684" w:type="dxa"/>
            <w:tcBorders>
              <w:top w:val="nil"/>
              <w:left w:val="nil"/>
              <w:bottom w:val="single" w:sz="8" w:space="0" w:color="DCDDDE"/>
              <w:right w:val="nil"/>
            </w:tcBorders>
            <w:shd w:val="clear" w:color="000000" w:fill="FFFFFF"/>
            <w:noWrap/>
            <w:vAlign w:val="center"/>
            <w:hideMark/>
          </w:tcPr>
          <w:p w14:paraId="4A33C3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101.8</w:t>
            </w:r>
          </w:p>
        </w:tc>
        <w:tc>
          <w:tcPr>
            <w:tcW w:w="684" w:type="dxa"/>
            <w:tcBorders>
              <w:top w:val="nil"/>
              <w:left w:val="nil"/>
              <w:bottom w:val="single" w:sz="8" w:space="0" w:color="DCDDDE"/>
              <w:right w:val="nil"/>
            </w:tcBorders>
            <w:shd w:val="clear" w:color="000000" w:fill="FFFFFF"/>
            <w:noWrap/>
            <w:vAlign w:val="center"/>
            <w:hideMark/>
          </w:tcPr>
          <w:p w14:paraId="3EEE91A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113.8</w:t>
            </w:r>
          </w:p>
        </w:tc>
        <w:tc>
          <w:tcPr>
            <w:tcW w:w="684" w:type="dxa"/>
            <w:tcBorders>
              <w:top w:val="nil"/>
              <w:left w:val="nil"/>
              <w:bottom w:val="single" w:sz="8" w:space="0" w:color="DCDDDE"/>
              <w:right w:val="nil"/>
            </w:tcBorders>
            <w:shd w:val="clear" w:color="000000" w:fill="FFFFFF"/>
            <w:noWrap/>
            <w:vAlign w:val="center"/>
            <w:hideMark/>
          </w:tcPr>
          <w:p w14:paraId="615600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124.5</w:t>
            </w:r>
          </w:p>
        </w:tc>
        <w:tc>
          <w:tcPr>
            <w:tcW w:w="684" w:type="dxa"/>
            <w:tcBorders>
              <w:top w:val="nil"/>
              <w:left w:val="nil"/>
              <w:bottom w:val="single" w:sz="8" w:space="0" w:color="DCDDDE"/>
              <w:right w:val="nil"/>
            </w:tcBorders>
            <w:shd w:val="clear" w:color="000000" w:fill="FFFFFF"/>
            <w:noWrap/>
            <w:vAlign w:val="center"/>
            <w:hideMark/>
          </w:tcPr>
          <w:p w14:paraId="3B60992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135.5</w:t>
            </w:r>
          </w:p>
        </w:tc>
        <w:tc>
          <w:tcPr>
            <w:tcW w:w="684" w:type="dxa"/>
            <w:tcBorders>
              <w:top w:val="nil"/>
              <w:left w:val="nil"/>
              <w:bottom w:val="single" w:sz="8" w:space="0" w:color="DCDDDE"/>
              <w:right w:val="nil"/>
            </w:tcBorders>
            <w:shd w:val="clear" w:color="000000" w:fill="FFFFFF"/>
            <w:noWrap/>
            <w:vAlign w:val="center"/>
            <w:hideMark/>
          </w:tcPr>
          <w:p w14:paraId="03E095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147.1</w:t>
            </w:r>
          </w:p>
        </w:tc>
        <w:tc>
          <w:tcPr>
            <w:tcW w:w="684" w:type="dxa"/>
            <w:tcBorders>
              <w:top w:val="nil"/>
              <w:left w:val="nil"/>
              <w:bottom w:val="single" w:sz="8" w:space="0" w:color="DCDDDE"/>
              <w:right w:val="nil"/>
            </w:tcBorders>
            <w:shd w:val="clear" w:color="000000" w:fill="FFFFFF"/>
            <w:noWrap/>
            <w:vAlign w:val="center"/>
            <w:hideMark/>
          </w:tcPr>
          <w:p w14:paraId="59D841B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162.2</w:t>
            </w:r>
          </w:p>
        </w:tc>
        <w:tc>
          <w:tcPr>
            <w:tcW w:w="684" w:type="dxa"/>
            <w:tcBorders>
              <w:top w:val="nil"/>
              <w:left w:val="nil"/>
              <w:bottom w:val="single" w:sz="8" w:space="0" w:color="DCDDDE"/>
              <w:right w:val="nil"/>
            </w:tcBorders>
            <w:shd w:val="clear" w:color="000000" w:fill="FFFFFF"/>
            <w:noWrap/>
            <w:vAlign w:val="center"/>
            <w:hideMark/>
          </w:tcPr>
          <w:p w14:paraId="585EAE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175.8</w:t>
            </w:r>
          </w:p>
        </w:tc>
        <w:tc>
          <w:tcPr>
            <w:tcW w:w="684" w:type="dxa"/>
            <w:tcBorders>
              <w:top w:val="nil"/>
              <w:left w:val="nil"/>
              <w:bottom w:val="single" w:sz="8" w:space="0" w:color="DCDDDE"/>
              <w:right w:val="nil"/>
            </w:tcBorders>
            <w:shd w:val="clear" w:color="000000" w:fill="FFFFFF"/>
            <w:noWrap/>
            <w:vAlign w:val="center"/>
            <w:hideMark/>
          </w:tcPr>
          <w:p w14:paraId="4362D3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189.9</w:t>
            </w:r>
          </w:p>
        </w:tc>
        <w:tc>
          <w:tcPr>
            <w:tcW w:w="684" w:type="dxa"/>
            <w:tcBorders>
              <w:top w:val="nil"/>
              <w:left w:val="nil"/>
              <w:bottom w:val="single" w:sz="8" w:space="0" w:color="DCDDDE"/>
              <w:right w:val="nil"/>
            </w:tcBorders>
            <w:shd w:val="clear" w:color="000000" w:fill="FFFFFF"/>
            <w:noWrap/>
            <w:vAlign w:val="center"/>
            <w:hideMark/>
          </w:tcPr>
          <w:p w14:paraId="4152976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204.5</w:t>
            </w:r>
          </w:p>
        </w:tc>
        <w:tc>
          <w:tcPr>
            <w:tcW w:w="684" w:type="dxa"/>
            <w:tcBorders>
              <w:top w:val="nil"/>
              <w:left w:val="nil"/>
              <w:bottom w:val="single" w:sz="8" w:space="0" w:color="DCDDDE"/>
              <w:right w:val="nil"/>
            </w:tcBorders>
            <w:shd w:val="clear" w:color="000000" w:fill="FFFFFF"/>
            <w:noWrap/>
            <w:vAlign w:val="center"/>
            <w:hideMark/>
          </w:tcPr>
          <w:p w14:paraId="188752B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219.7</w:t>
            </w:r>
          </w:p>
        </w:tc>
        <w:tc>
          <w:tcPr>
            <w:tcW w:w="684" w:type="dxa"/>
            <w:tcBorders>
              <w:top w:val="nil"/>
              <w:left w:val="nil"/>
              <w:bottom w:val="single" w:sz="8" w:space="0" w:color="DCDDDE"/>
              <w:right w:val="nil"/>
            </w:tcBorders>
            <w:shd w:val="clear" w:color="000000" w:fill="FFFFFF"/>
            <w:noWrap/>
            <w:vAlign w:val="center"/>
            <w:hideMark/>
          </w:tcPr>
          <w:p w14:paraId="1A7CF97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230.4</w:t>
            </w:r>
          </w:p>
        </w:tc>
      </w:tr>
      <w:tr w:rsidR="00181744" w:rsidRPr="00181744" w14:paraId="198E9A3B"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5C5CBE9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84" w:type="dxa"/>
            <w:tcBorders>
              <w:top w:val="nil"/>
              <w:left w:val="nil"/>
              <w:bottom w:val="single" w:sz="8" w:space="0" w:color="DCDDDE"/>
              <w:right w:val="nil"/>
            </w:tcBorders>
            <w:shd w:val="clear" w:color="000000" w:fill="FFFFFF"/>
            <w:noWrap/>
            <w:vAlign w:val="center"/>
            <w:hideMark/>
          </w:tcPr>
          <w:p w14:paraId="6D090F5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20.9</w:t>
            </w:r>
          </w:p>
        </w:tc>
        <w:tc>
          <w:tcPr>
            <w:tcW w:w="684" w:type="dxa"/>
            <w:tcBorders>
              <w:top w:val="nil"/>
              <w:left w:val="nil"/>
              <w:bottom w:val="single" w:sz="8" w:space="0" w:color="DCDDDE"/>
              <w:right w:val="nil"/>
            </w:tcBorders>
            <w:shd w:val="clear" w:color="000000" w:fill="FFFFFF"/>
            <w:noWrap/>
            <w:vAlign w:val="center"/>
            <w:hideMark/>
          </w:tcPr>
          <w:p w14:paraId="0F9F08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20.1</w:t>
            </w:r>
          </w:p>
        </w:tc>
        <w:tc>
          <w:tcPr>
            <w:tcW w:w="684" w:type="dxa"/>
            <w:tcBorders>
              <w:top w:val="nil"/>
              <w:left w:val="nil"/>
              <w:bottom w:val="single" w:sz="8" w:space="0" w:color="DCDDDE"/>
              <w:right w:val="nil"/>
            </w:tcBorders>
            <w:shd w:val="clear" w:color="000000" w:fill="FFFFFF"/>
            <w:noWrap/>
            <w:vAlign w:val="center"/>
            <w:hideMark/>
          </w:tcPr>
          <w:p w14:paraId="6306929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20.2</w:t>
            </w:r>
          </w:p>
        </w:tc>
        <w:tc>
          <w:tcPr>
            <w:tcW w:w="684" w:type="dxa"/>
            <w:tcBorders>
              <w:top w:val="nil"/>
              <w:left w:val="nil"/>
              <w:bottom w:val="single" w:sz="8" w:space="0" w:color="DCDDDE"/>
              <w:right w:val="nil"/>
            </w:tcBorders>
            <w:shd w:val="clear" w:color="000000" w:fill="FFFFFF"/>
            <w:noWrap/>
            <w:vAlign w:val="center"/>
            <w:hideMark/>
          </w:tcPr>
          <w:p w14:paraId="0E3310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581BA05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6E410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66490E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BBC4D6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21F283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6FB4FE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0D98D12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A9BE8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0A271C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r>
      <w:tr w:rsidR="00181744" w:rsidRPr="00181744" w14:paraId="613E374B"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0EBF77E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84" w:type="dxa"/>
            <w:tcBorders>
              <w:top w:val="nil"/>
              <w:left w:val="nil"/>
              <w:bottom w:val="single" w:sz="8" w:space="0" w:color="DCDDDE"/>
              <w:right w:val="nil"/>
            </w:tcBorders>
            <w:shd w:val="clear" w:color="000000" w:fill="FFFFFF"/>
            <w:noWrap/>
            <w:vAlign w:val="center"/>
            <w:hideMark/>
          </w:tcPr>
          <w:p w14:paraId="626730F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1,198.3</w:t>
            </w:r>
          </w:p>
        </w:tc>
        <w:tc>
          <w:tcPr>
            <w:tcW w:w="684" w:type="dxa"/>
            <w:tcBorders>
              <w:top w:val="nil"/>
              <w:left w:val="nil"/>
              <w:bottom w:val="single" w:sz="8" w:space="0" w:color="DCDDDE"/>
              <w:right w:val="nil"/>
            </w:tcBorders>
            <w:shd w:val="clear" w:color="000000" w:fill="FFFFFF"/>
            <w:noWrap/>
            <w:vAlign w:val="center"/>
            <w:hideMark/>
          </w:tcPr>
          <w:p w14:paraId="2BCEEE2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1,250.7</w:t>
            </w:r>
          </w:p>
        </w:tc>
        <w:tc>
          <w:tcPr>
            <w:tcW w:w="684" w:type="dxa"/>
            <w:tcBorders>
              <w:top w:val="nil"/>
              <w:left w:val="nil"/>
              <w:bottom w:val="single" w:sz="8" w:space="0" w:color="DCDDDE"/>
              <w:right w:val="nil"/>
            </w:tcBorders>
            <w:shd w:val="clear" w:color="000000" w:fill="FFFFFF"/>
            <w:noWrap/>
            <w:vAlign w:val="center"/>
            <w:hideMark/>
          </w:tcPr>
          <w:p w14:paraId="3C92B69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1,245.5</w:t>
            </w:r>
          </w:p>
        </w:tc>
        <w:tc>
          <w:tcPr>
            <w:tcW w:w="684" w:type="dxa"/>
            <w:tcBorders>
              <w:top w:val="nil"/>
              <w:left w:val="nil"/>
              <w:bottom w:val="single" w:sz="8" w:space="0" w:color="DCDDDE"/>
              <w:right w:val="nil"/>
            </w:tcBorders>
            <w:shd w:val="clear" w:color="000000" w:fill="FFFFFF"/>
            <w:noWrap/>
            <w:vAlign w:val="center"/>
            <w:hideMark/>
          </w:tcPr>
          <w:p w14:paraId="6372AA3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1,307.1</w:t>
            </w:r>
          </w:p>
        </w:tc>
        <w:tc>
          <w:tcPr>
            <w:tcW w:w="684" w:type="dxa"/>
            <w:tcBorders>
              <w:top w:val="nil"/>
              <w:left w:val="nil"/>
              <w:bottom w:val="single" w:sz="8" w:space="0" w:color="DCDDDE"/>
              <w:right w:val="nil"/>
            </w:tcBorders>
            <w:shd w:val="clear" w:color="000000" w:fill="FFFFFF"/>
            <w:noWrap/>
            <w:vAlign w:val="center"/>
            <w:hideMark/>
          </w:tcPr>
          <w:p w14:paraId="40F831F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1,315.9</w:t>
            </w:r>
          </w:p>
        </w:tc>
        <w:tc>
          <w:tcPr>
            <w:tcW w:w="684" w:type="dxa"/>
            <w:tcBorders>
              <w:top w:val="nil"/>
              <w:left w:val="nil"/>
              <w:bottom w:val="single" w:sz="8" w:space="0" w:color="DCDDDE"/>
              <w:right w:val="nil"/>
            </w:tcBorders>
            <w:shd w:val="clear" w:color="000000" w:fill="FFFFFF"/>
            <w:noWrap/>
            <w:vAlign w:val="center"/>
            <w:hideMark/>
          </w:tcPr>
          <w:p w14:paraId="0CA240A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1,408.2</w:t>
            </w:r>
          </w:p>
        </w:tc>
        <w:tc>
          <w:tcPr>
            <w:tcW w:w="684" w:type="dxa"/>
            <w:tcBorders>
              <w:top w:val="nil"/>
              <w:left w:val="nil"/>
              <w:bottom w:val="single" w:sz="8" w:space="0" w:color="DCDDDE"/>
              <w:right w:val="nil"/>
            </w:tcBorders>
            <w:shd w:val="clear" w:color="000000" w:fill="FFFFFF"/>
            <w:noWrap/>
            <w:vAlign w:val="center"/>
            <w:hideMark/>
          </w:tcPr>
          <w:p w14:paraId="479711A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1,398.6</w:t>
            </w:r>
          </w:p>
        </w:tc>
        <w:tc>
          <w:tcPr>
            <w:tcW w:w="684" w:type="dxa"/>
            <w:tcBorders>
              <w:top w:val="nil"/>
              <w:left w:val="nil"/>
              <w:bottom w:val="single" w:sz="8" w:space="0" w:color="DCDDDE"/>
              <w:right w:val="nil"/>
            </w:tcBorders>
            <w:shd w:val="clear" w:color="000000" w:fill="FFFFFF"/>
            <w:noWrap/>
            <w:vAlign w:val="center"/>
            <w:hideMark/>
          </w:tcPr>
          <w:p w14:paraId="098DC68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1,398.1</w:t>
            </w:r>
          </w:p>
        </w:tc>
        <w:tc>
          <w:tcPr>
            <w:tcW w:w="684" w:type="dxa"/>
            <w:tcBorders>
              <w:top w:val="nil"/>
              <w:left w:val="nil"/>
              <w:bottom w:val="single" w:sz="8" w:space="0" w:color="DCDDDE"/>
              <w:right w:val="nil"/>
            </w:tcBorders>
            <w:shd w:val="clear" w:color="000000" w:fill="FFFFFF"/>
            <w:noWrap/>
            <w:vAlign w:val="center"/>
            <w:hideMark/>
          </w:tcPr>
          <w:p w14:paraId="1F05269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1,381.0</w:t>
            </w:r>
          </w:p>
        </w:tc>
        <w:tc>
          <w:tcPr>
            <w:tcW w:w="684" w:type="dxa"/>
            <w:tcBorders>
              <w:top w:val="nil"/>
              <w:left w:val="nil"/>
              <w:bottom w:val="single" w:sz="8" w:space="0" w:color="DCDDDE"/>
              <w:right w:val="nil"/>
            </w:tcBorders>
            <w:shd w:val="clear" w:color="000000" w:fill="FFFFFF"/>
            <w:noWrap/>
            <w:vAlign w:val="center"/>
            <w:hideMark/>
          </w:tcPr>
          <w:p w14:paraId="23A665F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1,377.9</w:t>
            </w:r>
          </w:p>
        </w:tc>
        <w:tc>
          <w:tcPr>
            <w:tcW w:w="684" w:type="dxa"/>
            <w:tcBorders>
              <w:top w:val="nil"/>
              <w:left w:val="nil"/>
              <w:bottom w:val="single" w:sz="8" w:space="0" w:color="DCDDDE"/>
              <w:right w:val="nil"/>
            </w:tcBorders>
            <w:shd w:val="clear" w:color="000000" w:fill="FFFFFF"/>
            <w:noWrap/>
            <w:vAlign w:val="center"/>
            <w:hideMark/>
          </w:tcPr>
          <w:p w14:paraId="41A393C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1,345.6</w:t>
            </w:r>
          </w:p>
        </w:tc>
        <w:tc>
          <w:tcPr>
            <w:tcW w:w="684" w:type="dxa"/>
            <w:tcBorders>
              <w:top w:val="nil"/>
              <w:left w:val="nil"/>
              <w:bottom w:val="single" w:sz="8" w:space="0" w:color="DCDDDE"/>
              <w:right w:val="nil"/>
            </w:tcBorders>
            <w:shd w:val="clear" w:color="000000" w:fill="FFFFFF"/>
            <w:noWrap/>
            <w:vAlign w:val="center"/>
            <w:hideMark/>
          </w:tcPr>
          <w:p w14:paraId="3B68C5E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1,302.2</w:t>
            </w:r>
          </w:p>
        </w:tc>
        <w:tc>
          <w:tcPr>
            <w:tcW w:w="684" w:type="dxa"/>
            <w:tcBorders>
              <w:top w:val="nil"/>
              <w:left w:val="nil"/>
              <w:bottom w:val="single" w:sz="8" w:space="0" w:color="DCDDDE"/>
              <w:right w:val="nil"/>
            </w:tcBorders>
            <w:shd w:val="clear" w:color="000000" w:fill="FFFFFF"/>
            <w:noWrap/>
            <w:vAlign w:val="center"/>
            <w:hideMark/>
          </w:tcPr>
          <w:p w14:paraId="3D7C365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1,250.7</w:t>
            </w:r>
          </w:p>
        </w:tc>
      </w:tr>
      <w:tr w:rsidR="00181744" w:rsidRPr="00181744" w14:paraId="5B4C3E05" w14:textId="77777777" w:rsidTr="00416D32">
        <w:trPr>
          <w:trHeight w:val="257"/>
        </w:trPr>
        <w:tc>
          <w:tcPr>
            <w:tcW w:w="9771" w:type="dxa"/>
            <w:gridSpan w:val="14"/>
            <w:tcBorders>
              <w:top w:val="single" w:sz="8" w:space="0" w:color="DCDDDE"/>
              <w:left w:val="nil"/>
              <w:bottom w:val="single" w:sz="8" w:space="0" w:color="DCDDDE"/>
              <w:right w:val="nil"/>
            </w:tcBorders>
            <w:shd w:val="clear" w:color="000000" w:fill="DADADA"/>
            <w:noWrap/>
            <w:vAlign w:val="center"/>
            <w:hideMark/>
          </w:tcPr>
          <w:p w14:paraId="2ADC2A3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181744" w:rsidRPr="00181744" w14:paraId="55448E08"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16F42EF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84" w:type="dxa"/>
            <w:tcBorders>
              <w:top w:val="nil"/>
              <w:left w:val="nil"/>
              <w:bottom w:val="single" w:sz="8" w:space="0" w:color="DCDDDE"/>
              <w:right w:val="nil"/>
            </w:tcBorders>
            <w:shd w:val="clear" w:color="000000" w:fill="FFFFFF"/>
            <w:noWrap/>
            <w:vAlign w:val="center"/>
            <w:hideMark/>
          </w:tcPr>
          <w:p w14:paraId="30B9A75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443.2</w:t>
            </w:r>
          </w:p>
        </w:tc>
        <w:tc>
          <w:tcPr>
            <w:tcW w:w="684" w:type="dxa"/>
            <w:tcBorders>
              <w:top w:val="nil"/>
              <w:left w:val="nil"/>
              <w:bottom w:val="single" w:sz="8" w:space="0" w:color="DCDDDE"/>
              <w:right w:val="nil"/>
            </w:tcBorders>
            <w:shd w:val="clear" w:color="000000" w:fill="FFFFFF"/>
            <w:noWrap/>
            <w:vAlign w:val="center"/>
            <w:hideMark/>
          </w:tcPr>
          <w:p w14:paraId="5D54D17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467.9</w:t>
            </w:r>
          </w:p>
        </w:tc>
        <w:tc>
          <w:tcPr>
            <w:tcW w:w="684" w:type="dxa"/>
            <w:tcBorders>
              <w:top w:val="nil"/>
              <w:left w:val="nil"/>
              <w:bottom w:val="single" w:sz="8" w:space="0" w:color="DCDDDE"/>
              <w:right w:val="nil"/>
            </w:tcBorders>
            <w:shd w:val="clear" w:color="000000" w:fill="FFFFFF"/>
            <w:noWrap/>
            <w:vAlign w:val="center"/>
            <w:hideMark/>
          </w:tcPr>
          <w:p w14:paraId="19F503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464.1</w:t>
            </w:r>
          </w:p>
        </w:tc>
        <w:tc>
          <w:tcPr>
            <w:tcW w:w="684" w:type="dxa"/>
            <w:tcBorders>
              <w:top w:val="nil"/>
              <w:left w:val="nil"/>
              <w:bottom w:val="single" w:sz="8" w:space="0" w:color="DCDDDE"/>
              <w:right w:val="nil"/>
            </w:tcBorders>
            <w:shd w:val="clear" w:color="000000" w:fill="FFFFFF"/>
            <w:noWrap/>
            <w:vAlign w:val="center"/>
            <w:hideMark/>
          </w:tcPr>
          <w:p w14:paraId="678A5E2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512.6</w:t>
            </w:r>
          </w:p>
        </w:tc>
        <w:tc>
          <w:tcPr>
            <w:tcW w:w="684" w:type="dxa"/>
            <w:tcBorders>
              <w:top w:val="nil"/>
              <w:left w:val="nil"/>
              <w:bottom w:val="single" w:sz="8" w:space="0" w:color="DCDDDE"/>
              <w:right w:val="nil"/>
            </w:tcBorders>
            <w:shd w:val="clear" w:color="000000" w:fill="FFFFFF"/>
            <w:noWrap/>
            <w:vAlign w:val="center"/>
            <w:hideMark/>
          </w:tcPr>
          <w:p w14:paraId="4249F4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526.0</w:t>
            </w:r>
          </w:p>
        </w:tc>
        <w:tc>
          <w:tcPr>
            <w:tcW w:w="684" w:type="dxa"/>
            <w:tcBorders>
              <w:top w:val="nil"/>
              <w:left w:val="nil"/>
              <w:bottom w:val="single" w:sz="8" w:space="0" w:color="DCDDDE"/>
              <w:right w:val="nil"/>
            </w:tcBorders>
            <w:shd w:val="clear" w:color="000000" w:fill="FFFFFF"/>
            <w:noWrap/>
            <w:vAlign w:val="center"/>
            <w:hideMark/>
          </w:tcPr>
          <w:p w14:paraId="2A33BF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543.9</w:t>
            </w:r>
          </w:p>
        </w:tc>
        <w:tc>
          <w:tcPr>
            <w:tcW w:w="684" w:type="dxa"/>
            <w:tcBorders>
              <w:top w:val="nil"/>
              <w:left w:val="nil"/>
              <w:bottom w:val="single" w:sz="8" w:space="0" w:color="DCDDDE"/>
              <w:right w:val="nil"/>
            </w:tcBorders>
            <w:shd w:val="clear" w:color="000000" w:fill="FFFFFF"/>
            <w:noWrap/>
            <w:vAlign w:val="center"/>
            <w:hideMark/>
          </w:tcPr>
          <w:p w14:paraId="1E396A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550.7</w:t>
            </w:r>
          </w:p>
        </w:tc>
        <w:tc>
          <w:tcPr>
            <w:tcW w:w="684" w:type="dxa"/>
            <w:tcBorders>
              <w:top w:val="nil"/>
              <w:left w:val="nil"/>
              <w:bottom w:val="single" w:sz="8" w:space="0" w:color="DCDDDE"/>
              <w:right w:val="nil"/>
            </w:tcBorders>
            <w:shd w:val="clear" w:color="000000" w:fill="FFFFFF"/>
            <w:noWrap/>
            <w:vAlign w:val="center"/>
            <w:hideMark/>
          </w:tcPr>
          <w:p w14:paraId="1BB78B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553.9</w:t>
            </w:r>
          </w:p>
        </w:tc>
        <w:tc>
          <w:tcPr>
            <w:tcW w:w="684" w:type="dxa"/>
            <w:tcBorders>
              <w:top w:val="nil"/>
              <w:left w:val="nil"/>
              <w:bottom w:val="single" w:sz="8" w:space="0" w:color="DCDDDE"/>
              <w:right w:val="nil"/>
            </w:tcBorders>
            <w:shd w:val="clear" w:color="000000" w:fill="FFFFFF"/>
            <w:noWrap/>
            <w:vAlign w:val="center"/>
            <w:hideMark/>
          </w:tcPr>
          <w:p w14:paraId="6B7C7A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555.6</w:t>
            </w:r>
          </w:p>
        </w:tc>
        <w:tc>
          <w:tcPr>
            <w:tcW w:w="684" w:type="dxa"/>
            <w:tcBorders>
              <w:top w:val="nil"/>
              <w:left w:val="nil"/>
              <w:bottom w:val="single" w:sz="8" w:space="0" w:color="DCDDDE"/>
              <w:right w:val="nil"/>
            </w:tcBorders>
            <w:shd w:val="clear" w:color="000000" w:fill="FFFFFF"/>
            <w:noWrap/>
            <w:vAlign w:val="center"/>
            <w:hideMark/>
          </w:tcPr>
          <w:p w14:paraId="217BABF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555.6</w:t>
            </w:r>
          </w:p>
        </w:tc>
        <w:tc>
          <w:tcPr>
            <w:tcW w:w="684" w:type="dxa"/>
            <w:tcBorders>
              <w:top w:val="nil"/>
              <w:left w:val="nil"/>
              <w:bottom w:val="single" w:sz="8" w:space="0" w:color="DCDDDE"/>
              <w:right w:val="nil"/>
            </w:tcBorders>
            <w:shd w:val="clear" w:color="000000" w:fill="FFFFFF"/>
            <w:noWrap/>
            <w:vAlign w:val="center"/>
            <w:hideMark/>
          </w:tcPr>
          <w:p w14:paraId="20822B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552.3</w:t>
            </w:r>
          </w:p>
        </w:tc>
        <w:tc>
          <w:tcPr>
            <w:tcW w:w="684" w:type="dxa"/>
            <w:tcBorders>
              <w:top w:val="nil"/>
              <w:left w:val="nil"/>
              <w:bottom w:val="single" w:sz="8" w:space="0" w:color="DCDDDE"/>
              <w:right w:val="nil"/>
            </w:tcBorders>
            <w:shd w:val="clear" w:color="000000" w:fill="FFFFFF"/>
            <w:noWrap/>
            <w:vAlign w:val="center"/>
            <w:hideMark/>
          </w:tcPr>
          <w:p w14:paraId="3CC8F3F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547.4</w:t>
            </w:r>
          </w:p>
        </w:tc>
        <w:tc>
          <w:tcPr>
            <w:tcW w:w="684" w:type="dxa"/>
            <w:tcBorders>
              <w:top w:val="nil"/>
              <w:left w:val="nil"/>
              <w:bottom w:val="single" w:sz="8" w:space="0" w:color="DCDDDE"/>
              <w:right w:val="nil"/>
            </w:tcBorders>
            <w:shd w:val="clear" w:color="000000" w:fill="FFFFFF"/>
            <w:noWrap/>
            <w:vAlign w:val="center"/>
            <w:hideMark/>
          </w:tcPr>
          <w:p w14:paraId="04448F9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540.8</w:t>
            </w:r>
          </w:p>
        </w:tc>
      </w:tr>
      <w:tr w:rsidR="00181744" w:rsidRPr="00181744" w14:paraId="5E0004A6"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4209B96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lastRenderedPageBreak/>
              <w:t>C&amp;S</w:t>
            </w:r>
          </w:p>
        </w:tc>
        <w:tc>
          <w:tcPr>
            <w:tcW w:w="684" w:type="dxa"/>
            <w:tcBorders>
              <w:top w:val="nil"/>
              <w:left w:val="nil"/>
              <w:bottom w:val="single" w:sz="8" w:space="0" w:color="DCDDDE"/>
              <w:right w:val="nil"/>
            </w:tcBorders>
            <w:shd w:val="clear" w:color="000000" w:fill="FFFFFF"/>
            <w:noWrap/>
            <w:vAlign w:val="center"/>
            <w:hideMark/>
          </w:tcPr>
          <w:p w14:paraId="0A19640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683.2</w:t>
            </w:r>
          </w:p>
        </w:tc>
        <w:tc>
          <w:tcPr>
            <w:tcW w:w="684" w:type="dxa"/>
            <w:tcBorders>
              <w:top w:val="nil"/>
              <w:left w:val="nil"/>
              <w:bottom w:val="single" w:sz="8" w:space="0" w:color="DCDDDE"/>
              <w:right w:val="nil"/>
            </w:tcBorders>
            <w:shd w:val="clear" w:color="000000" w:fill="FFFFFF"/>
            <w:noWrap/>
            <w:vAlign w:val="center"/>
            <w:hideMark/>
          </w:tcPr>
          <w:p w14:paraId="0B1E42D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699.9</w:t>
            </w:r>
          </w:p>
        </w:tc>
        <w:tc>
          <w:tcPr>
            <w:tcW w:w="684" w:type="dxa"/>
            <w:tcBorders>
              <w:top w:val="nil"/>
              <w:left w:val="nil"/>
              <w:bottom w:val="single" w:sz="8" w:space="0" w:color="DCDDDE"/>
              <w:right w:val="nil"/>
            </w:tcBorders>
            <w:shd w:val="clear" w:color="000000" w:fill="FFFFFF"/>
            <w:noWrap/>
            <w:vAlign w:val="center"/>
            <w:hideMark/>
          </w:tcPr>
          <w:p w14:paraId="22F63E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689.3</w:t>
            </w:r>
          </w:p>
        </w:tc>
        <w:tc>
          <w:tcPr>
            <w:tcW w:w="684" w:type="dxa"/>
            <w:tcBorders>
              <w:top w:val="nil"/>
              <w:left w:val="nil"/>
              <w:bottom w:val="single" w:sz="8" w:space="0" w:color="DCDDDE"/>
              <w:right w:val="nil"/>
            </w:tcBorders>
            <w:shd w:val="clear" w:color="000000" w:fill="FFFFFF"/>
            <w:noWrap/>
            <w:vAlign w:val="center"/>
            <w:hideMark/>
          </w:tcPr>
          <w:p w14:paraId="5BCB171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710.5</w:t>
            </w:r>
          </w:p>
        </w:tc>
        <w:tc>
          <w:tcPr>
            <w:tcW w:w="684" w:type="dxa"/>
            <w:tcBorders>
              <w:top w:val="nil"/>
              <w:left w:val="nil"/>
              <w:bottom w:val="single" w:sz="8" w:space="0" w:color="DCDDDE"/>
              <w:right w:val="nil"/>
            </w:tcBorders>
            <w:shd w:val="clear" w:color="000000" w:fill="FFFFFF"/>
            <w:noWrap/>
            <w:vAlign w:val="center"/>
            <w:hideMark/>
          </w:tcPr>
          <w:p w14:paraId="1940D1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695.0</w:t>
            </w:r>
          </w:p>
        </w:tc>
        <w:tc>
          <w:tcPr>
            <w:tcW w:w="684" w:type="dxa"/>
            <w:tcBorders>
              <w:top w:val="nil"/>
              <w:left w:val="nil"/>
              <w:bottom w:val="single" w:sz="8" w:space="0" w:color="DCDDDE"/>
              <w:right w:val="nil"/>
            </w:tcBorders>
            <w:shd w:val="clear" w:color="000000" w:fill="FFFFFF"/>
            <w:noWrap/>
            <w:vAlign w:val="center"/>
            <w:hideMark/>
          </w:tcPr>
          <w:p w14:paraId="66B4CB8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758.5</w:t>
            </w:r>
          </w:p>
        </w:tc>
        <w:tc>
          <w:tcPr>
            <w:tcW w:w="684" w:type="dxa"/>
            <w:tcBorders>
              <w:top w:val="nil"/>
              <w:left w:val="nil"/>
              <w:bottom w:val="single" w:sz="8" w:space="0" w:color="DCDDDE"/>
              <w:right w:val="nil"/>
            </w:tcBorders>
            <w:shd w:val="clear" w:color="000000" w:fill="FFFFFF"/>
            <w:noWrap/>
            <w:vAlign w:val="center"/>
            <w:hideMark/>
          </w:tcPr>
          <w:p w14:paraId="40F176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729.4</w:t>
            </w:r>
          </w:p>
        </w:tc>
        <w:tc>
          <w:tcPr>
            <w:tcW w:w="684" w:type="dxa"/>
            <w:tcBorders>
              <w:top w:val="nil"/>
              <w:left w:val="nil"/>
              <w:bottom w:val="single" w:sz="8" w:space="0" w:color="DCDDDE"/>
              <w:right w:val="nil"/>
            </w:tcBorders>
            <w:shd w:val="clear" w:color="000000" w:fill="FFFFFF"/>
            <w:noWrap/>
            <w:vAlign w:val="center"/>
            <w:hideMark/>
          </w:tcPr>
          <w:p w14:paraId="0A695D7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709.0</w:t>
            </w:r>
          </w:p>
        </w:tc>
        <w:tc>
          <w:tcPr>
            <w:tcW w:w="684" w:type="dxa"/>
            <w:tcBorders>
              <w:top w:val="nil"/>
              <w:left w:val="nil"/>
              <w:bottom w:val="single" w:sz="8" w:space="0" w:color="DCDDDE"/>
              <w:right w:val="nil"/>
            </w:tcBorders>
            <w:shd w:val="clear" w:color="000000" w:fill="FFFFFF"/>
            <w:noWrap/>
            <w:vAlign w:val="center"/>
            <w:hideMark/>
          </w:tcPr>
          <w:p w14:paraId="07346B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674.2</w:t>
            </w:r>
          </w:p>
        </w:tc>
        <w:tc>
          <w:tcPr>
            <w:tcW w:w="684" w:type="dxa"/>
            <w:tcBorders>
              <w:top w:val="nil"/>
              <w:left w:val="nil"/>
              <w:bottom w:val="single" w:sz="8" w:space="0" w:color="DCDDDE"/>
              <w:right w:val="nil"/>
            </w:tcBorders>
            <w:shd w:val="clear" w:color="000000" w:fill="FFFFFF"/>
            <w:noWrap/>
            <w:vAlign w:val="center"/>
            <w:hideMark/>
          </w:tcPr>
          <w:p w14:paraId="010D580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656.0</w:t>
            </w:r>
          </w:p>
        </w:tc>
        <w:tc>
          <w:tcPr>
            <w:tcW w:w="684" w:type="dxa"/>
            <w:tcBorders>
              <w:top w:val="nil"/>
              <w:left w:val="nil"/>
              <w:bottom w:val="single" w:sz="8" w:space="0" w:color="DCDDDE"/>
              <w:right w:val="nil"/>
            </w:tcBorders>
            <w:shd w:val="clear" w:color="000000" w:fill="FFFFFF"/>
            <w:noWrap/>
            <w:vAlign w:val="center"/>
            <w:hideMark/>
          </w:tcPr>
          <w:p w14:paraId="77F703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610.0</w:t>
            </w:r>
          </w:p>
        </w:tc>
        <w:tc>
          <w:tcPr>
            <w:tcW w:w="684" w:type="dxa"/>
            <w:tcBorders>
              <w:top w:val="nil"/>
              <w:left w:val="nil"/>
              <w:bottom w:val="single" w:sz="8" w:space="0" w:color="DCDDDE"/>
              <w:right w:val="nil"/>
            </w:tcBorders>
            <w:shd w:val="clear" w:color="000000" w:fill="FFFFFF"/>
            <w:noWrap/>
            <w:vAlign w:val="center"/>
            <w:hideMark/>
          </w:tcPr>
          <w:p w14:paraId="5A5886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555.1</w:t>
            </w:r>
          </w:p>
        </w:tc>
        <w:tc>
          <w:tcPr>
            <w:tcW w:w="684" w:type="dxa"/>
            <w:tcBorders>
              <w:top w:val="nil"/>
              <w:left w:val="nil"/>
              <w:bottom w:val="single" w:sz="8" w:space="0" w:color="DCDDDE"/>
              <w:right w:val="nil"/>
            </w:tcBorders>
            <w:shd w:val="clear" w:color="000000" w:fill="FFFFFF"/>
            <w:noWrap/>
            <w:vAlign w:val="center"/>
            <w:hideMark/>
          </w:tcPr>
          <w:p w14:paraId="1135F4E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499.7</w:t>
            </w:r>
          </w:p>
        </w:tc>
      </w:tr>
      <w:tr w:rsidR="00181744" w:rsidRPr="00181744" w14:paraId="5CD01312"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41BF34E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84" w:type="dxa"/>
            <w:tcBorders>
              <w:top w:val="nil"/>
              <w:left w:val="nil"/>
              <w:bottom w:val="single" w:sz="8" w:space="0" w:color="DCDDDE"/>
              <w:right w:val="nil"/>
            </w:tcBorders>
            <w:shd w:val="clear" w:color="000000" w:fill="FFFFFF"/>
            <w:noWrap/>
            <w:vAlign w:val="center"/>
            <w:hideMark/>
          </w:tcPr>
          <w:p w14:paraId="5F5CC77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84.0</w:t>
            </w:r>
          </w:p>
        </w:tc>
        <w:tc>
          <w:tcPr>
            <w:tcW w:w="684" w:type="dxa"/>
            <w:tcBorders>
              <w:top w:val="nil"/>
              <w:left w:val="nil"/>
              <w:bottom w:val="single" w:sz="8" w:space="0" w:color="DCDDDE"/>
              <w:right w:val="nil"/>
            </w:tcBorders>
            <w:shd w:val="clear" w:color="000000" w:fill="FFFFFF"/>
            <w:noWrap/>
            <w:vAlign w:val="center"/>
            <w:hideMark/>
          </w:tcPr>
          <w:p w14:paraId="055D531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130.1</w:t>
            </w:r>
          </w:p>
        </w:tc>
        <w:tc>
          <w:tcPr>
            <w:tcW w:w="684" w:type="dxa"/>
            <w:tcBorders>
              <w:top w:val="nil"/>
              <w:left w:val="nil"/>
              <w:bottom w:val="single" w:sz="8" w:space="0" w:color="DCDDDE"/>
              <w:right w:val="nil"/>
            </w:tcBorders>
            <w:shd w:val="clear" w:color="000000" w:fill="FFFFFF"/>
            <w:noWrap/>
            <w:vAlign w:val="center"/>
            <w:hideMark/>
          </w:tcPr>
          <w:p w14:paraId="68493C9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149.7</w:t>
            </w:r>
          </w:p>
        </w:tc>
        <w:tc>
          <w:tcPr>
            <w:tcW w:w="684" w:type="dxa"/>
            <w:tcBorders>
              <w:top w:val="nil"/>
              <w:left w:val="nil"/>
              <w:bottom w:val="single" w:sz="8" w:space="0" w:color="DCDDDE"/>
              <w:right w:val="nil"/>
            </w:tcBorders>
            <w:shd w:val="clear" w:color="000000" w:fill="FFFFFF"/>
            <w:noWrap/>
            <w:vAlign w:val="center"/>
            <w:hideMark/>
          </w:tcPr>
          <w:p w14:paraId="5CA5951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170.8</w:t>
            </w:r>
          </w:p>
        </w:tc>
        <w:tc>
          <w:tcPr>
            <w:tcW w:w="684" w:type="dxa"/>
            <w:tcBorders>
              <w:top w:val="nil"/>
              <w:left w:val="nil"/>
              <w:bottom w:val="single" w:sz="8" w:space="0" w:color="DCDDDE"/>
              <w:right w:val="nil"/>
            </w:tcBorders>
            <w:shd w:val="clear" w:color="000000" w:fill="FFFFFF"/>
            <w:noWrap/>
            <w:vAlign w:val="center"/>
            <w:hideMark/>
          </w:tcPr>
          <w:p w14:paraId="57565ED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193.7</w:t>
            </w:r>
          </w:p>
        </w:tc>
        <w:tc>
          <w:tcPr>
            <w:tcW w:w="684" w:type="dxa"/>
            <w:tcBorders>
              <w:top w:val="nil"/>
              <w:left w:val="nil"/>
              <w:bottom w:val="single" w:sz="8" w:space="0" w:color="DCDDDE"/>
              <w:right w:val="nil"/>
            </w:tcBorders>
            <w:shd w:val="clear" w:color="000000" w:fill="FFFFFF"/>
            <w:noWrap/>
            <w:vAlign w:val="center"/>
            <w:hideMark/>
          </w:tcPr>
          <w:p w14:paraId="278127C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212.2</w:t>
            </w:r>
          </w:p>
        </w:tc>
        <w:tc>
          <w:tcPr>
            <w:tcW w:w="684" w:type="dxa"/>
            <w:tcBorders>
              <w:top w:val="nil"/>
              <w:left w:val="nil"/>
              <w:bottom w:val="single" w:sz="8" w:space="0" w:color="DCDDDE"/>
              <w:right w:val="nil"/>
            </w:tcBorders>
            <w:shd w:val="clear" w:color="000000" w:fill="FFFFFF"/>
            <w:noWrap/>
            <w:vAlign w:val="center"/>
            <w:hideMark/>
          </w:tcPr>
          <w:p w14:paraId="20DF2C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251.2</w:t>
            </w:r>
          </w:p>
        </w:tc>
        <w:tc>
          <w:tcPr>
            <w:tcW w:w="684" w:type="dxa"/>
            <w:tcBorders>
              <w:top w:val="nil"/>
              <w:left w:val="nil"/>
              <w:bottom w:val="single" w:sz="8" w:space="0" w:color="DCDDDE"/>
              <w:right w:val="nil"/>
            </w:tcBorders>
            <w:shd w:val="clear" w:color="000000" w:fill="FFFFFF"/>
            <w:noWrap/>
            <w:vAlign w:val="center"/>
            <w:hideMark/>
          </w:tcPr>
          <w:p w14:paraId="2CBBCB8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274.8</w:t>
            </w:r>
          </w:p>
        </w:tc>
        <w:tc>
          <w:tcPr>
            <w:tcW w:w="684" w:type="dxa"/>
            <w:tcBorders>
              <w:top w:val="nil"/>
              <w:left w:val="nil"/>
              <w:bottom w:val="single" w:sz="8" w:space="0" w:color="DCDDDE"/>
              <w:right w:val="nil"/>
            </w:tcBorders>
            <w:shd w:val="clear" w:color="000000" w:fill="FFFFFF"/>
            <w:noWrap/>
            <w:vAlign w:val="center"/>
            <w:hideMark/>
          </w:tcPr>
          <w:p w14:paraId="3B7AB78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297.1</w:t>
            </w:r>
          </w:p>
        </w:tc>
        <w:tc>
          <w:tcPr>
            <w:tcW w:w="684" w:type="dxa"/>
            <w:tcBorders>
              <w:top w:val="nil"/>
              <w:left w:val="nil"/>
              <w:bottom w:val="single" w:sz="8" w:space="0" w:color="DCDDDE"/>
              <w:right w:val="nil"/>
            </w:tcBorders>
            <w:shd w:val="clear" w:color="000000" w:fill="FFFFFF"/>
            <w:noWrap/>
            <w:vAlign w:val="center"/>
            <w:hideMark/>
          </w:tcPr>
          <w:p w14:paraId="6DDFA19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322.7</w:t>
            </w:r>
          </w:p>
        </w:tc>
        <w:tc>
          <w:tcPr>
            <w:tcW w:w="684" w:type="dxa"/>
            <w:tcBorders>
              <w:top w:val="nil"/>
              <w:left w:val="nil"/>
              <w:bottom w:val="single" w:sz="8" w:space="0" w:color="DCDDDE"/>
              <w:right w:val="nil"/>
            </w:tcBorders>
            <w:shd w:val="clear" w:color="000000" w:fill="FFFFFF"/>
            <w:noWrap/>
            <w:vAlign w:val="center"/>
            <w:hideMark/>
          </w:tcPr>
          <w:p w14:paraId="3746044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353.0</w:t>
            </w:r>
          </w:p>
        </w:tc>
        <w:tc>
          <w:tcPr>
            <w:tcW w:w="684" w:type="dxa"/>
            <w:tcBorders>
              <w:top w:val="nil"/>
              <w:left w:val="nil"/>
              <w:bottom w:val="single" w:sz="8" w:space="0" w:color="DCDDDE"/>
              <w:right w:val="nil"/>
            </w:tcBorders>
            <w:shd w:val="clear" w:color="000000" w:fill="FFFFFF"/>
            <w:noWrap/>
            <w:vAlign w:val="center"/>
            <w:hideMark/>
          </w:tcPr>
          <w:p w14:paraId="141DFDA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388.3</w:t>
            </w:r>
          </w:p>
        </w:tc>
        <w:tc>
          <w:tcPr>
            <w:tcW w:w="684" w:type="dxa"/>
            <w:tcBorders>
              <w:top w:val="nil"/>
              <w:left w:val="nil"/>
              <w:bottom w:val="single" w:sz="8" w:space="0" w:color="DCDDDE"/>
              <w:right w:val="nil"/>
            </w:tcBorders>
            <w:shd w:val="clear" w:color="000000" w:fill="FFFFFF"/>
            <w:noWrap/>
            <w:vAlign w:val="center"/>
            <w:hideMark/>
          </w:tcPr>
          <w:p w14:paraId="5D994A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430.3</w:t>
            </w:r>
          </w:p>
        </w:tc>
      </w:tr>
      <w:tr w:rsidR="00181744" w:rsidRPr="00181744" w14:paraId="282FF9A6" w14:textId="77777777" w:rsidTr="00416D32">
        <w:trPr>
          <w:trHeight w:val="455"/>
        </w:trPr>
        <w:tc>
          <w:tcPr>
            <w:tcW w:w="870" w:type="dxa"/>
            <w:tcBorders>
              <w:top w:val="nil"/>
              <w:left w:val="nil"/>
              <w:bottom w:val="single" w:sz="8" w:space="0" w:color="DCDDDE"/>
              <w:right w:val="nil"/>
            </w:tcBorders>
            <w:shd w:val="clear" w:color="000000" w:fill="FFFFFF"/>
            <w:vAlign w:val="center"/>
            <w:hideMark/>
          </w:tcPr>
          <w:p w14:paraId="35786F8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84" w:type="dxa"/>
            <w:tcBorders>
              <w:top w:val="nil"/>
              <w:left w:val="nil"/>
              <w:bottom w:val="single" w:sz="8" w:space="0" w:color="DCDDDE"/>
              <w:right w:val="nil"/>
            </w:tcBorders>
            <w:shd w:val="clear" w:color="000000" w:fill="FFFFFF"/>
            <w:noWrap/>
            <w:vAlign w:val="center"/>
            <w:hideMark/>
          </w:tcPr>
          <w:p w14:paraId="685C88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20.9</w:t>
            </w:r>
          </w:p>
        </w:tc>
        <w:tc>
          <w:tcPr>
            <w:tcW w:w="684" w:type="dxa"/>
            <w:tcBorders>
              <w:top w:val="nil"/>
              <w:left w:val="nil"/>
              <w:bottom w:val="single" w:sz="8" w:space="0" w:color="DCDDDE"/>
              <w:right w:val="nil"/>
            </w:tcBorders>
            <w:shd w:val="clear" w:color="000000" w:fill="FFFFFF"/>
            <w:noWrap/>
            <w:vAlign w:val="center"/>
            <w:hideMark/>
          </w:tcPr>
          <w:p w14:paraId="40EDA8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20.1</w:t>
            </w:r>
          </w:p>
        </w:tc>
        <w:tc>
          <w:tcPr>
            <w:tcW w:w="684" w:type="dxa"/>
            <w:tcBorders>
              <w:top w:val="nil"/>
              <w:left w:val="nil"/>
              <w:bottom w:val="single" w:sz="8" w:space="0" w:color="DCDDDE"/>
              <w:right w:val="nil"/>
            </w:tcBorders>
            <w:shd w:val="clear" w:color="000000" w:fill="FFFFFF"/>
            <w:noWrap/>
            <w:vAlign w:val="center"/>
            <w:hideMark/>
          </w:tcPr>
          <w:p w14:paraId="786A4A2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20.2</w:t>
            </w:r>
          </w:p>
        </w:tc>
        <w:tc>
          <w:tcPr>
            <w:tcW w:w="684" w:type="dxa"/>
            <w:tcBorders>
              <w:top w:val="nil"/>
              <w:left w:val="nil"/>
              <w:bottom w:val="single" w:sz="8" w:space="0" w:color="DCDDDE"/>
              <w:right w:val="nil"/>
            </w:tcBorders>
            <w:shd w:val="clear" w:color="000000" w:fill="FFFFFF"/>
            <w:noWrap/>
            <w:vAlign w:val="center"/>
            <w:hideMark/>
          </w:tcPr>
          <w:p w14:paraId="20ABA01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7328AD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7A97D4D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2DCD207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316224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D213A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ECBFF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319AF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5B606C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84" w:type="dxa"/>
            <w:tcBorders>
              <w:top w:val="nil"/>
              <w:left w:val="nil"/>
              <w:bottom w:val="single" w:sz="8" w:space="0" w:color="DCDDDE"/>
              <w:right w:val="nil"/>
            </w:tcBorders>
            <w:shd w:val="clear" w:color="000000" w:fill="FFFFFF"/>
            <w:noWrap/>
            <w:vAlign w:val="center"/>
            <w:hideMark/>
          </w:tcPr>
          <w:p w14:paraId="1D28256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r>
      <w:tr w:rsidR="00181744" w:rsidRPr="00181744" w14:paraId="77A88E77" w14:textId="77777777" w:rsidTr="00416D32">
        <w:trPr>
          <w:trHeight w:val="257"/>
        </w:trPr>
        <w:tc>
          <w:tcPr>
            <w:tcW w:w="870" w:type="dxa"/>
            <w:tcBorders>
              <w:top w:val="nil"/>
              <w:left w:val="nil"/>
              <w:bottom w:val="single" w:sz="8" w:space="0" w:color="DCDDDE"/>
              <w:right w:val="nil"/>
            </w:tcBorders>
            <w:shd w:val="clear" w:color="000000" w:fill="FFFFFF"/>
            <w:vAlign w:val="center"/>
            <w:hideMark/>
          </w:tcPr>
          <w:p w14:paraId="53891A3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84" w:type="dxa"/>
            <w:tcBorders>
              <w:top w:val="nil"/>
              <w:left w:val="nil"/>
              <w:bottom w:val="single" w:sz="8" w:space="0" w:color="DCDDDE"/>
              <w:right w:val="nil"/>
            </w:tcBorders>
            <w:shd w:val="clear" w:color="000000" w:fill="FFFFFF"/>
            <w:noWrap/>
            <w:vAlign w:val="center"/>
            <w:hideMark/>
          </w:tcPr>
          <w:p w14:paraId="4DC0743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1,231.2</w:t>
            </w:r>
          </w:p>
        </w:tc>
        <w:tc>
          <w:tcPr>
            <w:tcW w:w="684" w:type="dxa"/>
            <w:tcBorders>
              <w:top w:val="nil"/>
              <w:left w:val="nil"/>
              <w:bottom w:val="single" w:sz="8" w:space="0" w:color="DCDDDE"/>
              <w:right w:val="nil"/>
            </w:tcBorders>
            <w:shd w:val="clear" w:color="000000" w:fill="FFFFFF"/>
            <w:noWrap/>
            <w:vAlign w:val="center"/>
            <w:hideMark/>
          </w:tcPr>
          <w:p w14:paraId="6B367A6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1,318.1</w:t>
            </w:r>
          </w:p>
        </w:tc>
        <w:tc>
          <w:tcPr>
            <w:tcW w:w="684" w:type="dxa"/>
            <w:tcBorders>
              <w:top w:val="nil"/>
              <w:left w:val="nil"/>
              <w:bottom w:val="single" w:sz="8" w:space="0" w:color="DCDDDE"/>
              <w:right w:val="nil"/>
            </w:tcBorders>
            <w:shd w:val="clear" w:color="000000" w:fill="FFFFFF"/>
            <w:noWrap/>
            <w:vAlign w:val="center"/>
            <w:hideMark/>
          </w:tcPr>
          <w:p w14:paraId="2403A6C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1,323.2</w:t>
            </w:r>
          </w:p>
        </w:tc>
        <w:tc>
          <w:tcPr>
            <w:tcW w:w="684" w:type="dxa"/>
            <w:tcBorders>
              <w:top w:val="nil"/>
              <w:left w:val="nil"/>
              <w:bottom w:val="single" w:sz="8" w:space="0" w:color="DCDDDE"/>
              <w:right w:val="nil"/>
            </w:tcBorders>
            <w:shd w:val="clear" w:color="000000" w:fill="FFFFFF"/>
            <w:noWrap/>
            <w:vAlign w:val="center"/>
            <w:hideMark/>
          </w:tcPr>
          <w:p w14:paraId="3B20F70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1,397.8</w:t>
            </w:r>
          </w:p>
        </w:tc>
        <w:tc>
          <w:tcPr>
            <w:tcW w:w="684" w:type="dxa"/>
            <w:tcBorders>
              <w:top w:val="nil"/>
              <w:left w:val="nil"/>
              <w:bottom w:val="single" w:sz="8" w:space="0" w:color="DCDDDE"/>
              <w:right w:val="nil"/>
            </w:tcBorders>
            <w:shd w:val="clear" w:color="000000" w:fill="FFFFFF"/>
            <w:noWrap/>
            <w:vAlign w:val="center"/>
            <w:hideMark/>
          </w:tcPr>
          <w:p w14:paraId="7AB1BB3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1,418.5</w:t>
            </w:r>
          </w:p>
        </w:tc>
        <w:tc>
          <w:tcPr>
            <w:tcW w:w="684" w:type="dxa"/>
            <w:tcBorders>
              <w:top w:val="nil"/>
              <w:left w:val="nil"/>
              <w:bottom w:val="single" w:sz="8" w:space="0" w:color="DCDDDE"/>
              <w:right w:val="nil"/>
            </w:tcBorders>
            <w:shd w:val="clear" w:color="000000" w:fill="FFFFFF"/>
            <w:noWrap/>
            <w:vAlign w:val="center"/>
            <w:hideMark/>
          </w:tcPr>
          <w:p w14:paraId="0F68B1A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1,518.5</w:t>
            </w:r>
          </w:p>
        </w:tc>
        <w:tc>
          <w:tcPr>
            <w:tcW w:w="684" w:type="dxa"/>
            <w:tcBorders>
              <w:top w:val="nil"/>
              <w:left w:val="nil"/>
              <w:bottom w:val="single" w:sz="8" w:space="0" w:color="DCDDDE"/>
              <w:right w:val="nil"/>
            </w:tcBorders>
            <w:shd w:val="clear" w:color="000000" w:fill="FFFFFF"/>
            <w:noWrap/>
            <w:vAlign w:val="center"/>
            <w:hideMark/>
          </w:tcPr>
          <w:p w14:paraId="3E74512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1,535.1</w:t>
            </w:r>
          </w:p>
        </w:tc>
        <w:tc>
          <w:tcPr>
            <w:tcW w:w="684" w:type="dxa"/>
            <w:tcBorders>
              <w:top w:val="nil"/>
              <w:left w:val="nil"/>
              <w:bottom w:val="single" w:sz="8" w:space="0" w:color="DCDDDE"/>
              <w:right w:val="nil"/>
            </w:tcBorders>
            <w:shd w:val="clear" w:color="000000" w:fill="FFFFFF"/>
            <w:noWrap/>
            <w:vAlign w:val="center"/>
            <w:hideMark/>
          </w:tcPr>
          <w:p w14:paraId="0F5AE85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1,541.6</w:t>
            </w:r>
          </w:p>
        </w:tc>
        <w:tc>
          <w:tcPr>
            <w:tcW w:w="684" w:type="dxa"/>
            <w:tcBorders>
              <w:top w:val="nil"/>
              <w:left w:val="nil"/>
              <w:bottom w:val="single" w:sz="8" w:space="0" w:color="DCDDDE"/>
              <w:right w:val="nil"/>
            </w:tcBorders>
            <w:shd w:val="clear" w:color="000000" w:fill="FFFFFF"/>
            <w:noWrap/>
            <w:vAlign w:val="center"/>
            <w:hideMark/>
          </w:tcPr>
          <w:p w14:paraId="2D9025E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1,530.7</w:t>
            </w:r>
          </w:p>
        </w:tc>
        <w:tc>
          <w:tcPr>
            <w:tcW w:w="684" w:type="dxa"/>
            <w:tcBorders>
              <w:top w:val="nil"/>
              <w:left w:val="nil"/>
              <w:bottom w:val="single" w:sz="8" w:space="0" w:color="DCDDDE"/>
              <w:right w:val="nil"/>
            </w:tcBorders>
            <w:shd w:val="clear" w:color="000000" w:fill="FFFFFF"/>
            <w:noWrap/>
            <w:vAlign w:val="center"/>
            <w:hideMark/>
          </w:tcPr>
          <w:p w14:paraId="0E0ACFA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1,538.2</w:t>
            </w:r>
          </w:p>
        </w:tc>
        <w:tc>
          <w:tcPr>
            <w:tcW w:w="684" w:type="dxa"/>
            <w:tcBorders>
              <w:top w:val="nil"/>
              <w:left w:val="nil"/>
              <w:bottom w:val="single" w:sz="8" w:space="0" w:color="DCDDDE"/>
              <w:right w:val="nil"/>
            </w:tcBorders>
            <w:shd w:val="clear" w:color="000000" w:fill="FFFFFF"/>
            <w:noWrap/>
            <w:vAlign w:val="center"/>
            <w:hideMark/>
          </w:tcPr>
          <w:p w14:paraId="4FCD377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1,519.2</w:t>
            </w:r>
          </w:p>
        </w:tc>
        <w:tc>
          <w:tcPr>
            <w:tcW w:w="684" w:type="dxa"/>
            <w:tcBorders>
              <w:top w:val="nil"/>
              <w:left w:val="nil"/>
              <w:bottom w:val="single" w:sz="8" w:space="0" w:color="DCDDDE"/>
              <w:right w:val="nil"/>
            </w:tcBorders>
            <w:shd w:val="clear" w:color="000000" w:fill="FFFFFF"/>
            <w:noWrap/>
            <w:vAlign w:val="center"/>
            <w:hideMark/>
          </w:tcPr>
          <w:p w14:paraId="0ED5F5D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1,494.6</w:t>
            </w:r>
          </w:p>
        </w:tc>
        <w:tc>
          <w:tcPr>
            <w:tcW w:w="684" w:type="dxa"/>
            <w:tcBorders>
              <w:top w:val="nil"/>
              <w:left w:val="nil"/>
              <w:bottom w:val="single" w:sz="8" w:space="0" w:color="DCDDDE"/>
              <w:right w:val="nil"/>
            </w:tcBorders>
            <w:shd w:val="clear" w:color="000000" w:fill="FFFFFF"/>
            <w:noWrap/>
            <w:vAlign w:val="center"/>
            <w:hideMark/>
          </w:tcPr>
          <w:p w14:paraId="4144637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1,474.7</w:t>
            </w:r>
          </w:p>
        </w:tc>
      </w:tr>
    </w:tbl>
    <w:p w14:paraId="186E5AF4" w14:textId="77777777" w:rsidR="00D823AE" w:rsidRDefault="00D823AE" w:rsidP="00D823AE"/>
    <w:p w14:paraId="5CA3EF85" w14:textId="77777777" w:rsidR="00181744" w:rsidRDefault="00181744" w:rsidP="00D823AE"/>
    <w:p w14:paraId="1828B9F4" w14:textId="77777777" w:rsidR="00D823AE" w:rsidRDefault="00D823AE" w:rsidP="00D823AE">
      <w:pPr>
        <w:pStyle w:val="Caption"/>
      </w:pPr>
      <w:bookmarkStart w:id="1117" w:name="_Toc485125634"/>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5</w:t>
      </w:r>
      <w:r w:rsidR="00272F76">
        <w:rPr>
          <w:noProof/>
        </w:rPr>
        <w:fldChar w:fldCharType="end"/>
      </w:r>
      <w:r w:rsidRPr="006F2DA9">
        <w:t xml:space="preserve">. </w:t>
      </w:r>
      <w:r>
        <w:t>SCE Demand Savings</w:t>
      </w:r>
      <w:bookmarkEnd w:id="1117"/>
    </w:p>
    <w:tbl>
      <w:tblPr>
        <w:tblW w:w="9431" w:type="dxa"/>
        <w:tblLook w:val="04A0" w:firstRow="1" w:lastRow="0" w:firstColumn="1" w:lastColumn="0" w:noHBand="0" w:noVBand="1"/>
      </w:tblPr>
      <w:tblGrid>
        <w:gridCol w:w="1265"/>
        <w:gridCol w:w="629"/>
        <w:gridCol w:w="629"/>
        <w:gridCol w:w="626"/>
        <w:gridCol w:w="626"/>
        <w:gridCol w:w="626"/>
        <w:gridCol w:w="626"/>
        <w:gridCol w:w="626"/>
        <w:gridCol w:w="626"/>
        <w:gridCol w:w="626"/>
        <w:gridCol w:w="626"/>
        <w:gridCol w:w="626"/>
        <w:gridCol w:w="626"/>
        <w:gridCol w:w="626"/>
        <w:gridCol w:w="22"/>
      </w:tblGrid>
      <w:tr w:rsidR="00181744" w:rsidRPr="00181744" w14:paraId="5E26E857" w14:textId="77777777" w:rsidTr="00181744">
        <w:trPr>
          <w:trHeight w:val="246"/>
        </w:trPr>
        <w:tc>
          <w:tcPr>
            <w:tcW w:w="9431" w:type="dxa"/>
            <w:gridSpan w:val="15"/>
            <w:tcBorders>
              <w:top w:val="nil"/>
              <w:left w:val="nil"/>
              <w:bottom w:val="single" w:sz="12" w:space="0" w:color="95D600"/>
              <w:right w:val="nil"/>
            </w:tcBorders>
            <w:shd w:val="clear" w:color="000000" w:fill="555759"/>
            <w:noWrap/>
            <w:vAlign w:val="center"/>
            <w:hideMark/>
          </w:tcPr>
          <w:p w14:paraId="6D728A0C" w14:textId="77777777" w:rsidR="00181744" w:rsidRPr="00181744" w:rsidRDefault="00181744" w:rsidP="00181744">
            <w:pPr>
              <w:spacing w:line="240" w:lineRule="auto"/>
              <w:jc w:val="center"/>
              <w:rPr>
                <w:rFonts w:ascii="Arial Narrow" w:hAnsi="Arial Narrow"/>
                <w:b/>
                <w:bCs/>
                <w:color w:val="FFFFFF"/>
                <w:sz w:val="18"/>
                <w:szCs w:val="18"/>
              </w:rPr>
            </w:pPr>
            <w:r w:rsidRPr="00181744">
              <w:rPr>
                <w:rFonts w:ascii="Arial Narrow" w:hAnsi="Arial Narrow"/>
                <w:b/>
                <w:bCs/>
                <w:color w:val="FFFFFF"/>
                <w:sz w:val="18"/>
                <w:szCs w:val="18"/>
              </w:rPr>
              <w:t>Electric Demand (MW)</w:t>
            </w:r>
          </w:p>
        </w:tc>
      </w:tr>
      <w:tr w:rsidR="00181744" w:rsidRPr="00181744" w14:paraId="7B8A9006" w14:textId="77777777" w:rsidTr="00181744">
        <w:trPr>
          <w:gridAfter w:val="1"/>
          <w:wAfter w:w="22" w:type="dxa"/>
          <w:trHeight w:val="257"/>
        </w:trPr>
        <w:tc>
          <w:tcPr>
            <w:tcW w:w="1265" w:type="dxa"/>
            <w:tcBorders>
              <w:top w:val="nil"/>
              <w:left w:val="nil"/>
              <w:bottom w:val="single" w:sz="8" w:space="0" w:color="DCDDDE"/>
              <w:right w:val="nil"/>
            </w:tcBorders>
            <w:shd w:val="clear" w:color="auto" w:fill="auto"/>
            <w:vAlign w:val="center"/>
            <w:hideMark/>
          </w:tcPr>
          <w:p w14:paraId="15AC46B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629" w:type="dxa"/>
            <w:tcBorders>
              <w:top w:val="nil"/>
              <w:left w:val="nil"/>
              <w:bottom w:val="single" w:sz="8" w:space="0" w:color="DCDDDE"/>
              <w:right w:val="nil"/>
            </w:tcBorders>
            <w:shd w:val="clear" w:color="auto" w:fill="auto"/>
            <w:noWrap/>
            <w:vAlign w:val="center"/>
            <w:hideMark/>
          </w:tcPr>
          <w:p w14:paraId="0D21D70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629" w:type="dxa"/>
            <w:tcBorders>
              <w:top w:val="nil"/>
              <w:left w:val="nil"/>
              <w:bottom w:val="single" w:sz="8" w:space="0" w:color="DCDDDE"/>
              <w:right w:val="nil"/>
            </w:tcBorders>
            <w:shd w:val="clear" w:color="auto" w:fill="auto"/>
            <w:noWrap/>
            <w:vAlign w:val="center"/>
            <w:hideMark/>
          </w:tcPr>
          <w:p w14:paraId="6642639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626" w:type="dxa"/>
            <w:tcBorders>
              <w:top w:val="nil"/>
              <w:left w:val="nil"/>
              <w:bottom w:val="single" w:sz="8" w:space="0" w:color="DCDDDE"/>
              <w:right w:val="nil"/>
            </w:tcBorders>
            <w:shd w:val="clear" w:color="auto" w:fill="auto"/>
            <w:noWrap/>
            <w:vAlign w:val="center"/>
            <w:hideMark/>
          </w:tcPr>
          <w:p w14:paraId="1BF32EA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626" w:type="dxa"/>
            <w:tcBorders>
              <w:top w:val="nil"/>
              <w:left w:val="nil"/>
              <w:bottom w:val="single" w:sz="8" w:space="0" w:color="DCDDDE"/>
              <w:right w:val="nil"/>
            </w:tcBorders>
            <w:shd w:val="clear" w:color="auto" w:fill="auto"/>
            <w:noWrap/>
            <w:vAlign w:val="center"/>
            <w:hideMark/>
          </w:tcPr>
          <w:p w14:paraId="5B50DF1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626" w:type="dxa"/>
            <w:tcBorders>
              <w:top w:val="nil"/>
              <w:left w:val="nil"/>
              <w:bottom w:val="single" w:sz="8" w:space="0" w:color="DCDDDE"/>
              <w:right w:val="nil"/>
            </w:tcBorders>
            <w:shd w:val="clear" w:color="auto" w:fill="auto"/>
            <w:noWrap/>
            <w:vAlign w:val="center"/>
            <w:hideMark/>
          </w:tcPr>
          <w:p w14:paraId="488B077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626" w:type="dxa"/>
            <w:tcBorders>
              <w:top w:val="nil"/>
              <w:left w:val="nil"/>
              <w:bottom w:val="single" w:sz="8" w:space="0" w:color="DCDDDE"/>
              <w:right w:val="nil"/>
            </w:tcBorders>
            <w:shd w:val="clear" w:color="auto" w:fill="auto"/>
            <w:noWrap/>
            <w:vAlign w:val="center"/>
            <w:hideMark/>
          </w:tcPr>
          <w:p w14:paraId="18AB1E9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626" w:type="dxa"/>
            <w:tcBorders>
              <w:top w:val="nil"/>
              <w:left w:val="nil"/>
              <w:bottom w:val="single" w:sz="8" w:space="0" w:color="DCDDDE"/>
              <w:right w:val="nil"/>
            </w:tcBorders>
            <w:shd w:val="clear" w:color="auto" w:fill="auto"/>
            <w:noWrap/>
            <w:vAlign w:val="center"/>
            <w:hideMark/>
          </w:tcPr>
          <w:p w14:paraId="77C1CBC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626" w:type="dxa"/>
            <w:tcBorders>
              <w:top w:val="nil"/>
              <w:left w:val="nil"/>
              <w:bottom w:val="single" w:sz="8" w:space="0" w:color="DCDDDE"/>
              <w:right w:val="nil"/>
            </w:tcBorders>
            <w:shd w:val="clear" w:color="auto" w:fill="auto"/>
            <w:noWrap/>
            <w:vAlign w:val="center"/>
            <w:hideMark/>
          </w:tcPr>
          <w:p w14:paraId="60B3058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626" w:type="dxa"/>
            <w:tcBorders>
              <w:top w:val="nil"/>
              <w:left w:val="nil"/>
              <w:bottom w:val="single" w:sz="8" w:space="0" w:color="DCDDDE"/>
              <w:right w:val="nil"/>
            </w:tcBorders>
            <w:shd w:val="clear" w:color="auto" w:fill="auto"/>
            <w:noWrap/>
            <w:vAlign w:val="center"/>
            <w:hideMark/>
          </w:tcPr>
          <w:p w14:paraId="4EE7F87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626" w:type="dxa"/>
            <w:tcBorders>
              <w:top w:val="nil"/>
              <w:left w:val="nil"/>
              <w:bottom w:val="single" w:sz="8" w:space="0" w:color="DCDDDE"/>
              <w:right w:val="nil"/>
            </w:tcBorders>
            <w:shd w:val="clear" w:color="auto" w:fill="auto"/>
            <w:noWrap/>
            <w:vAlign w:val="center"/>
            <w:hideMark/>
          </w:tcPr>
          <w:p w14:paraId="3433C0B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626" w:type="dxa"/>
            <w:tcBorders>
              <w:top w:val="nil"/>
              <w:left w:val="nil"/>
              <w:bottom w:val="single" w:sz="8" w:space="0" w:color="DCDDDE"/>
              <w:right w:val="nil"/>
            </w:tcBorders>
            <w:shd w:val="clear" w:color="auto" w:fill="auto"/>
            <w:noWrap/>
            <w:vAlign w:val="center"/>
            <w:hideMark/>
          </w:tcPr>
          <w:p w14:paraId="40747A3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626" w:type="dxa"/>
            <w:tcBorders>
              <w:top w:val="nil"/>
              <w:left w:val="nil"/>
              <w:bottom w:val="single" w:sz="8" w:space="0" w:color="DCDDDE"/>
              <w:right w:val="nil"/>
            </w:tcBorders>
            <w:shd w:val="clear" w:color="auto" w:fill="auto"/>
            <w:noWrap/>
            <w:vAlign w:val="center"/>
            <w:hideMark/>
          </w:tcPr>
          <w:p w14:paraId="4F80FB4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626" w:type="dxa"/>
            <w:tcBorders>
              <w:top w:val="nil"/>
              <w:left w:val="nil"/>
              <w:bottom w:val="single" w:sz="8" w:space="0" w:color="DCDDDE"/>
              <w:right w:val="nil"/>
            </w:tcBorders>
            <w:shd w:val="clear" w:color="auto" w:fill="auto"/>
            <w:noWrap/>
            <w:vAlign w:val="center"/>
            <w:hideMark/>
          </w:tcPr>
          <w:p w14:paraId="22358DB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181744" w:rsidRPr="00181744" w14:paraId="3D164BF3" w14:textId="77777777" w:rsidTr="00181744">
        <w:trPr>
          <w:trHeight w:val="246"/>
        </w:trPr>
        <w:tc>
          <w:tcPr>
            <w:tcW w:w="9431" w:type="dxa"/>
            <w:gridSpan w:val="15"/>
            <w:tcBorders>
              <w:top w:val="single" w:sz="8" w:space="0" w:color="DCDDDE"/>
              <w:left w:val="nil"/>
              <w:bottom w:val="single" w:sz="8" w:space="0" w:color="DCDDDE"/>
              <w:right w:val="nil"/>
            </w:tcBorders>
            <w:shd w:val="clear" w:color="000000" w:fill="DADADA"/>
            <w:noWrap/>
            <w:vAlign w:val="center"/>
            <w:hideMark/>
          </w:tcPr>
          <w:p w14:paraId="0DC441A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181744" w:rsidRPr="00181744" w14:paraId="79636F85"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1B6C854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29" w:type="dxa"/>
            <w:tcBorders>
              <w:top w:val="nil"/>
              <w:left w:val="nil"/>
              <w:bottom w:val="single" w:sz="8" w:space="0" w:color="DCDDDE"/>
              <w:right w:val="nil"/>
            </w:tcBorders>
            <w:shd w:val="clear" w:color="000000" w:fill="FFFFFF"/>
            <w:noWrap/>
            <w:vAlign w:val="center"/>
            <w:hideMark/>
          </w:tcPr>
          <w:p w14:paraId="2D4243D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59.6</w:t>
            </w:r>
          </w:p>
        </w:tc>
        <w:tc>
          <w:tcPr>
            <w:tcW w:w="629" w:type="dxa"/>
            <w:tcBorders>
              <w:top w:val="nil"/>
              <w:left w:val="nil"/>
              <w:bottom w:val="single" w:sz="8" w:space="0" w:color="DCDDDE"/>
              <w:right w:val="nil"/>
            </w:tcBorders>
            <w:shd w:val="clear" w:color="000000" w:fill="FFFFFF"/>
            <w:noWrap/>
            <w:vAlign w:val="center"/>
            <w:hideMark/>
          </w:tcPr>
          <w:p w14:paraId="6230A44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66.0</w:t>
            </w:r>
          </w:p>
        </w:tc>
        <w:tc>
          <w:tcPr>
            <w:tcW w:w="626" w:type="dxa"/>
            <w:tcBorders>
              <w:top w:val="nil"/>
              <w:left w:val="nil"/>
              <w:bottom w:val="single" w:sz="8" w:space="0" w:color="DCDDDE"/>
              <w:right w:val="nil"/>
            </w:tcBorders>
            <w:shd w:val="clear" w:color="000000" w:fill="FFFFFF"/>
            <w:noWrap/>
            <w:vAlign w:val="center"/>
            <w:hideMark/>
          </w:tcPr>
          <w:p w14:paraId="7F1A51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65.1</w:t>
            </w:r>
          </w:p>
        </w:tc>
        <w:tc>
          <w:tcPr>
            <w:tcW w:w="626" w:type="dxa"/>
            <w:tcBorders>
              <w:top w:val="nil"/>
              <w:left w:val="nil"/>
              <w:bottom w:val="single" w:sz="8" w:space="0" w:color="DCDDDE"/>
              <w:right w:val="nil"/>
            </w:tcBorders>
            <w:shd w:val="clear" w:color="000000" w:fill="FFFFFF"/>
            <w:noWrap/>
            <w:vAlign w:val="center"/>
            <w:hideMark/>
          </w:tcPr>
          <w:p w14:paraId="2FA4D1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73.2</w:t>
            </w:r>
          </w:p>
        </w:tc>
        <w:tc>
          <w:tcPr>
            <w:tcW w:w="626" w:type="dxa"/>
            <w:tcBorders>
              <w:top w:val="nil"/>
              <w:left w:val="nil"/>
              <w:bottom w:val="single" w:sz="8" w:space="0" w:color="DCDDDE"/>
              <w:right w:val="nil"/>
            </w:tcBorders>
            <w:shd w:val="clear" w:color="000000" w:fill="FFFFFF"/>
            <w:noWrap/>
            <w:vAlign w:val="center"/>
            <w:hideMark/>
          </w:tcPr>
          <w:p w14:paraId="6114F4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76.2</w:t>
            </w:r>
          </w:p>
        </w:tc>
        <w:tc>
          <w:tcPr>
            <w:tcW w:w="626" w:type="dxa"/>
            <w:tcBorders>
              <w:top w:val="nil"/>
              <w:left w:val="nil"/>
              <w:bottom w:val="single" w:sz="8" w:space="0" w:color="DCDDDE"/>
              <w:right w:val="nil"/>
            </w:tcBorders>
            <w:shd w:val="clear" w:color="000000" w:fill="FFFFFF"/>
            <w:noWrap/>
            <w:vAlign w:val="center"/>
            <w:hideMark/>
          </w:tcPr>
          <w:p w14:paraId="7BE3FAA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79.8</w:t>
            </w:r>
          </w:p>
        </w:tc>
        <w:tc>
          <w:tcPr>
            <w:tcW w:w="626" w:type="dxa"/>
            <w:tcBorders>
              <w:top w:val="nil"/>
              <w:left w:val="nil"/>
              <w:bottom w:val="single" w:sz="8" w:space="0" w:color="DCDDDE"/>
              <w:right w:val="nil"/>
            </w:tcBorders>
            <w:shd w:val="clear" w:color="000000" w:fill="FFFFFF"/>
            <w:noWrap/>
            <w:vAlign w:val="center"/>
            <w:hideMark/>
          </w:tcPr>
          <w:p w14:paraId="7413C7A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85.6</w:t>
            </w:r>
          </w:p>
        </w:tc>
        <w:tc>
          <w:tcPr>
            <w:tcW w:w="626" w:type="dxa"/>
            <w:tcBorders>
              <w:top w:val="nil"/>
              <w:left w:val="nil"/>
              <w:bottom w:val="single" w:sz="8" w:space="0" w:color="DCDDDE"/>
              <w:right w:val="nil"/>
            </w:tcBorders>
            <w:shd w:val="clear" w:color="000000" w:fill="FFFFFF"/>
            <w:noWrap/>
            <w:vAlign w:val="center"/>
            <w:hideMark/>
          </w:tcPr>
          <w:p w14:paraId="35DE92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90.5</w:t>
            </w:r>
          </w:p>
        </w:tc>
        <w:tc>
          <w:tcPr>
            <w:tcW w:w="626" w:type="dxa"/>
            <w:tcBorders>
              <w:top w:val="nil"/>
              <w:left w:val="nil"/>
              <w:bottom w:val="single" w:sz="8" w:space="0" w:color="DCDDDE"/>
              <w:right w:val="nil"/>
            </w:tcBorders>
            <w:shd w:val="clear" w:color="000000" w:fill="FFFFFF"/>
            <w:noWrap/>
            <w:vAlign w:val="center"/>
            <w:hideMark/>
          </w:tcPr>
          <w:p w14:paraId="36A7340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95.4</w:t>
            </w:r>
          </w:p>
        </w:tc>
        <w:tc>
          <w:tcPr>
            <w:tcW w:w="626" w:type="dxa"/>
            <w:tcBorders>
              <w:top w:val="nil"/>
              <w:left w:val="nil"/>
              <w:bottom w:val="single" w:sz="8" w:space="0" w:color="DCDDDE"/>
              <w:right w:val="nil"/>
            </w:tcBorders>
            <w:shd w:val="clear" w:color="000000" w:fill="FFFFFF"/>
            <w:noWrap/>
            <w:vAlign w:val="center"/>
            <w:hideMark/>
          </w:tcPr>
          <w:p w14:paraId="4784EB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97.9</w:t>
            </w:r>
          </w:p>
        </w:tc>
        <w:tc>
          <w:tcPr>
            <w:tcW w:w="626" w:type="dxa"/>
            <w:tcBorders>
              <w:top w:val="nil"/>
              <w:left w:val="nil"/>
              <w:bottom w:val="single" w:sz="8" w:space="0" w:color="DCDDDE"/>
              <w:right w:val="nil"/>
            </w:tcBorders>
            <w:shd w:val="clear" w:color="000000" w:fill="FFFFFF"/>
            <w:noWrap/>
            <w:vAlign w:val="center"/>
            <w:hideMark/>
          </w:tcPr>
          <w:p w14:paraId="513B50F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99.9</w:t>
            </w:r>
          </w:p>
        </w:tc>
        <w:tc>
          <w:tcPr>
            <w:tcW w:w="626" w:type="dxa"/>
            <w:tcBorders>
              <w:top w:val="nil"/>
              <w:left w:val="nil"/>
              <w:bottom w:val="single" w:sz="8" w:space="0" w:color="DCDDDE"/>
              <w:right w:val="nil"/>
            </w:tcBorders>
            <w:shd w:val="clear" w:color="000000" w:fill="FFFFFF"/>
            <w:noWrap/>
            <w:vAlign w:val="center"/>
            <w:hideMark/>
          </w:tcPr>
          <w:p w14:paraId="6B9E8A8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100.7</w:t>
            </w:r>
          </w:p>
        </w:tc>
        <w:tc>
          <w:tcPr>
            <w:tcW w:w="626" w:type="dxa"/>
            <w:tcBorders>
              <w:top w:val="nil"/>
              <w:left w:val="nil"/>
              <w:bottom w:val="single" w:sz="8" w:space="0" w:color="DCDDDE"/>
              <w:right w:val="nil"/>
            </w:tcBorders>
            <w:shd w:val="clear" w:color="000000" w:fill="FFFFFF"/>
            <w:noWrap/>
            <w:vAlign w:val="center"/>
            <w:hideMark/>
          </w:tcPr>
          <w:p w14:paraId="3C35DCC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101.0</w:t>
            </w:r>
          </w:p>
        </w:tc>
      </w:tr>
      <w:tr w:rsidR="00181744" w:rsidRPr="00181744" w14:paraId="1F3B7737"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76BA281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29" w:type="dxa"/>
            <w:tcBorders>
              <w:top w:val="nil"/>
              <w:left w:val="nil"/>
              <w:bottom w:val="single" w:sz="8" w:space="0" w:color="DCDDDE"/>
              <w:right w:val="nil"/>
            </w:tcBorders>
            <w:shd w:val="clear" w:color="000000" w:fill="FFFFFF"/>
            <w:noWrap/>
            <w:vAlign w:val="center"/>
            <w:hideMark/>
          </w:tcPr>
          <w:p w14:paraId="5EA1E8D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168.0</w:t>
            </w:r>
          </w:p>
        </w:tc>
        <w:tc>
          <w:tcPr>
            <w:tcW w:w="629" w:type="dxa"/>
            <w:tcBorders>
              <w:top w:val="nil"/>
              <w:left w:val="nil"/>
              <w:bottom w:val="single" w:sz="8" w:space="0" w:color="DCDDDE"/>
              <w:right w:val="nil"/>
            </w:tcBorders>
            <w:shd w:val="clear" w:color="000000" w:fill="FFFFFF"/>
            <w:noWrap/>
            <w:vAlign w:val="center"/>
            <w:hideMark/>
          </w:tcPr>
          <w:p w14:paraId="046DF6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168.6</w:t>
            </w:r>
          </w:p>
        </w:tc>
        <w:tc>
          <w:tcPr>
            <w:tcW w:w="626" w:type="dxa"/>
            <w:tcBorders>
              <w:top w:val="nil"/>
              <w:left w:val="nil"/>
              <w:bottom w:val="single" w:sz="8" w:space="0" w:color="DCDDDE"/>
              <w:right w:val="nil"/>
            </w:tcBorders>
            <w:shd w:val="clear" w:color="000000" w:fill="FFFFFF"/>
            <w:noWrap/>
            <w:vAlign w:val="center"/>
            <w:hideMark/>
          </w:tcPr>
          <w:p w14:paraId="099416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184.8</w:t>
            </w:r>
          </w:p>
        </w:tc>
        <w:tc>
          <w:tcPr>
            <w:tcW w:w="626" w:type="dxa"/>
            <w:tcBorders>
              <w:top w:val="nil"/>
              <w:left w:val="nil"/>
              <w:bottom w:val="single" w:sz="8" w:space="0" w:color="DCDDDE"/>
              <w:right w:val="nil"/>
            </w:tcBorders>
            <w:shd w:val="clear" w:color="000000" w:fill="FFFFFF"/>
            <w:noWrap/>
            <w:vAlign w:val="center"/>
            <w:hideMark/>
          </w:tcPr>
          <w:p w14:paraId="112987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215.3</w:t>
            </w:r>
          </w:p>
        </w:tc>
        <w:tc>
          <w:tcPr>
            <w:tcW w:w="626" w:type="dxa"/>
            <w:tcBorders>
              <w:top w:val="nil"/>
              <w:left w:val="nil"/>
              <w:bottom w:val="single" w:sz="8" w:space="0" w:color="DCDDDE"/>
              <w:right w:val="nil"/>
            </w:tcBorders>
            <w:shd w:val="clear" w:color="000000" w:fill="FFFFFF"/>
            <w:noWrap/>
            <w:vAlign w:val="center"/>
            <w:hideMark/>
          </w:tcPr>
          <w:p w14:paraId="0130000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211.6</w:t>
            </w:r>
          </w:p>
        </w:tc>
        <w:tc>
          <w:tcPr>
            <w:tcW w:w="626" w:type="dxa"/>
            <w:tcBorders>
              <w:top w:val="nil"/>
              <w:left w:val="nil"/>
              <w:bottom w:val="single" w:sz="8" w:space="0" w:color="DCDDDE"/>
              <w:right w:val="nil"/>
            </w:tcBorders>
            <w:shd w:val="clear" w:color="000000" w:fill="FFFFFF"/>
            <w:noWrap/>
            <w:vAlign w:val="center"/>
            <w:hideMark/>
          </w:tcPr>
          <w:p w14:paraId="297EE13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249.2</w:t>
            </w:r>
          </w:p>
        </w:tc>
        <w:tc>
          <w:tcPr>
            <w:tcW w:w="626" w:type="dxa"/>
            <w:tcBorders>
              <w:top w:val="nil"/>
              <w:left w:val="nil"/>
              <w:bottom w:val="single" w:sz="8" w:space="0" w:color="DCDDDE"/>
              <w:right w:val="nil"/>
            </w:tcBorders>
            <w:shd w:val="clear" w:color="000000" w:fill="FFFFFF"/>
            <w:noWrap/>
            <w:vAlign w:val="center"/>
            <w:hideMark/>
          </w:tcPr>
          <w:p w14:paraId="0393DE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241.1</w:t>
            </w:r>
          </w:p>
        </w:tc>
        <w:tc>
          <w:tcPr>
            <w:tcW w:w="626" w:type="dxa"/>
            <w:tcBorders>
              <w:top w:val="nil"/>
              <w:left w:val="nil"/>
              <w:bottom w:val="single" w:sz="8" w:space="0" w:color="DCDDDE"/>
              <w:right w:val="nil"/>
            </w:tcBorders>
            <w:shd w:val="clear" w:color="000000" w:fill="FFFFFF"/>
            <w:noWrap/>
            <w:vAlign w:val="center"/>
            <w:hideMark/>
          </w:tcPr>
          <w:p w14:paraId="5AC3AF4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235.8</w:t>
            </w:r>
          </w:p>
        </w:tc>
        <w:tc>
          <w:tcPr>
            <w:tcW w:w="626" w:type="dxa"/>
            <w:tcBorders>
              <w:top w:val="nil"/>
              <w:left w:val="nil"/>
              <w:bottom w:val="single" w:sz="8" w:space="0" w:color="DCDDDE"/>
              <w:right w:val="nil"/>
            </w:tcBorders>
            <w:shd w:val="clear" w:color="000000" w:fill="FFFFFF"/>
            <w:noWrap/>
            <w:vAlign w:val="center"/>
            <w:hideMark/>
          </w:tcPr>
          <w:p w14:paraId="20276E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229.4</w:t>
            </w:r>
          </w:p>
        </w:tc>
        <w:tc>
          <w:tcPr>
            <w:tcW w:w="626" w:type="dxa"/>
            <w:tcBorders>
              <w:top w:val="nil"/>
              <w:left w:val="nil"/>
              <w:bottom w:val="single" w:sz="8" w:space="0" w:color="DCDDDE"/>
              <w:right w:val="nil"/>
            </w:tcBorders>
            <w:shd w:val="clear" w:color="000000" w:fill="FFFFFF"/>
            <w:noWrap/>
            <w:vAlign w:val="center"/>
            <w:hideMark/>
          </w:tcPr>
          <w:p w14:paraId="23C7F0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226.0</w:t>
            </w:r>
          </w:p>
        </w:tc>
        <w:tc>
          <w:tcPr>
            <w:tcW w:w="626" w:type="dxa"/>
            <w:tcBorders>
              <w:top w:val="nil"/>
              <w:left w:val="nil"/>
              <w:bottom w:val="single" w:sz="8" w:space="0" w:color="DCDDDE"/>
              <w:right w:val="nil"/>
            </w:tcBorders>
            <w:shd w:val="clear" w:color="000000" w:fill="FFFFFF"/>
            <w:noWrap/>
            <w:vAlign w:val="center"/>
            <w:hideMark/>
          </w:tcPr>
          <w:p w14:paraId="4859DFA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217.4</w:t>
            </w:r>
          </w:p>
        </w:tc>
        <w:tc>
          <w:tcPr>
            <w:tcW w:w="626" w:type="dxa"/>
            <w:tcBorders>
              <w:top w:val="nil"/>
              <w:left w:val="nil"/>
              <w:bottom w:val="single" w:sz="8" w:space="0" w:color="DCDDDE"/>
              <w:right w:val="nil"/>
            </w:tcBorders>
            <w:shd w:val="clear" w:color="000000" w:fill="FFFFFF"/>
            <w:noWrap/>
            <w:vAlign w:val="center"/>
            <w:hideMark/>
          </w:tcPr>
          <w:p w14:paraId="3AE71B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203.8</w:t>
            </w:r>
          </w:p>
        </w:tc>
        <w:tc>
          <w:tcPr>
            <w:tcW w:w="626" w:type="dxa"/>
            <w:tcBorders>
              <w:top w:val="nil"/>
              <w:left w:val="nil"/>
              <w:bottom w:val="single" w:sz="8" w:space="0" w:color="DCDDDE"/>
              <w:right w:val="nil"/>
            </w:tcBorders>
            <w:shd w:val="clear" w:color="000000" w:fill="FFFFFF"/>
            <w:noWrap/>
            <w:vAlign w:val="center"/>
            <w:hideMark/>
          </w:tcPr>
          <w:p w14:paraId="4F08CA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190.8</w:t>
            </w:r>
          </w:p>
        </w:tc>
      </w:tr>
      <w:tr w:rsidR="00181744" w:rsidRPr="00181744" w14:paraId="39E64EEF"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4759387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29" w:type="dxa"/>
            <w:tcBorders>
              <w:top w:val="nil"/>
              <w:left w:val="nil"/>
              <w:bottom w:val="single" w:sz="8" w:space="0" w:color="DCDDDE"/>
              <w:right w:val="nil"/>
            </w:tcBorders>
            <w:shd w:val="clear" w:color="000000" w:fill="FFFFFF"/>
            <w:noWrap/>
            <w:vAlign w:val="center"/>
            <w:hideMark/>
          </w:tcPr>
          <w:p w14:paraId="44D741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13.2</w:t>
            </w:r>
          </w:p>
        </w:tc>
        <w:tc>
          <w:tcPr>
            <w:tcW w:w="629" w:type="dxa"/>
            <w:tcBorders>
              <w:top w:val="nil"/>
              <w:left w:val="nil"/>
              <w:bottom w:val="single" w:sz="8" w:space="0" w:color="DCDDDE"/>
              <w:right w:val="nil"/>
            </w:tcBorders>
            <w:shd w:val="clear" w:color="000000" w:fill="FFFFFF"/>
            <w:noWrap/>
            <w:vAlign w:val="center"/>
            <w:hideMark/>
          </w:tcPr>
          <w:p w14:paraId="10F804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16.1</w:t>
            </w:r>
          </w:p>
        </w:tc>
        <w:tc>
          <w:tcPr>
            <w:tcW w:w="626" w:type="dxa"/>
            <w:tcBorders>
              <w:top w:val="nil"/>
              <w:left w:val="nil"/>
              <w:bottom w:val="single" w:sz="8" w:space="0" w:color="DCDDDE"/>
              <w:right w:val="nil"/>
            </w:tcBorders>
            <w:shd w:val="clear" w:color="000000" w:fill="FFFFFF"/>
            <w:noWrap/>
            <w:vAlign w:val="center"/>
            <w:hideMark/>
          </w:tcPr>
          <w:p w14:paraId="15C7A25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w:t>
            </w:r>
          </w:p>
        </w:tc>
        <w:tc>
          <w:tcPr>
            <w:tcW w:w="626" w:type="dxa"/>
            <w:tcBorders>
              <w:top w:val="nil"/>
              <w:left w:val="nil"/>
              <w:bottom w:val="single" w:sz="8" w:space="0" w:color="DCDDDE"/>
              <w:right w:val="nil"/>
            </w:tcBorders>
            <w:shd w:val="clear" w:color="000000" w:fill="FFFFFF"/>
            <w:noWrap/>
            <w:vAlign w:val="center"/>
            <w:hideMark/>
          </w:tcPr>
          <w:p w14:paraId="26AB484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20.0</w:t>
            </w:r>
          </w:p>
        </w:tc>
        <w:tc>
          <w:tcPr>
            <w:tcW w:w="626" w:type="dxa"/>
            <w:tcBorders>
              <w:top w:val="nil"/>
              <w:left w:val="nil"/>
              <w:bottom w:val="single" w:sz="8" w:space="0" w:color="DCDDDE"/>
              <w:right w:val="nil"/>
            </w:tcBorders>
            <w:shd w:val="clear" w:color="000000" w:fill="FFFFFF"/>
            <w:noWrap/>
            <w:vAlign w:val="center"/>
            <w:hideMark/>
          </w:tcPr>
          <w:p w14:paraId="13FFDA5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w:t>
            </w:r>
          </w:p>
        </w:tc>
        <w:tc>
          <w:tcPr>
            <w:tcW w:w="626" w:type="dxa"/>
            <w:tcBorders>
              <w:top w:val="nil"/>
              <w:left w:val="nil"/>
              <w:bottom w:val="single" w:sz="8" w:space="0" w:color="DCDDDE"/>
              <w:right w:val="nil"/>
            </w:tcBorders>
            <w:shd w:val="clear" w:color="000000" w:fill="FFFFFF"/>
            <w:noWrap/>
            <w:vAlign w:val="center"/>
            <w:hideMark/>
          </w:tcPr>
          <w:p w14:paraId="596888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23.8</w:t>
            </w:r>
          </w:p>
        </w:tc>
        <w:tc>
          <w:tcPr>
            <w:tcW w:w="626" w:type="dxa"/>
            <w:tcBorders>
              <w:top w:val="nil"/>
              <w:left w:val="nil"/>
              <w:bottom w:val="single" w:sz="8" w:space="0" w:color="DCDDDE"/>
              <w:right w:val="nil"/>
            </w:tcBorders>
            <w:shd w:val="clear" w:color="000000" w:fill="FFFFFF"/>
            <w:noWrap/>
            <w:vAlign w:val="center"/>
            <w:hideMark/>
          </w:tcPr>
          <w:p w14:paraId="1A4501B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25.9</w:t>
            </w:r>
          </w:p>
        </w:tc>
        <w:tc>
          <w:tcPr>
            <w:tcW w:w="626" w:type="dxa"/>
            <w:tcBorders>
              <w:top w:val="nil"/>
              <w:left w:val="nil"/>
              <w:bottom w:val="single" w:sz="8" w:space="0" w:color="DCDDDE"/>
              <w:right w:val="nil"/>
            </w:tcBorders>
            <w:shd w:val="clear" w:color="000000" w:fill="FFFFFF"/>
            <w:noWrap/>
            <w:vAlign w:val="center"/>
            <w:hideMark/>
          </w:tcPr>
          <w:p w14:paraId="645F11A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28.5</w:t>
            </w:r>
          </w:p>
        </w:tc>
        <w:tc>
          <w:tcPr>
            <w:tcW w:w="626" w:type="dxa"/>
            <w:tcBorders>
              <w:top w:val="nil"/>
              <w:left w:val="nil"/>
              <w:bottom w:val="single" w:sz="8" w:space="0" w:color="DCDDDE"/>
              <w:right w:val="nil"/>
            </w:tcBorders>
            <w:shd w:val="clear" w:color="000000" w:fill="FFFFFF"/>
            <w:noWrap/>
            <w:vAlign w:val="center"/>
            <w:hideMark/>
          </w:tcPr>
          <w:p w14:paraId="2E354D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30.9</w:t>
            </w:r>
          </w:p>
        </w:tc>
        <w:tc>
          <w:tcPr>
            <w:tcW w:w="626" w:type="dxa"/>
            <w:tcBorders>
              <w:top w:val="nil"/>
              <w:left w:val="nil"/>
              <w:bottom w:val="single" w:sz="8" w:space="0" w:color="DCDDDE"/>
              <w:right w:val="nil"/>
            </w:tcBorders>
            <w:shd w:val="clear" w:color="000000" w:fill="FFFFFF"/>
            <w:noWrap/>
            <w:vAlign w:val="center"/>
            <w:hideMark/>
          </w:tcPr>
          <w:p w14:paraId="4DF936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33.3</w:t>
            </w:r>
          </w:p>
        </w:tc>
        <w:tc>
          <w:tcPr>
            <w:tcW w:w="626" w:type="dxa"/>
            <w:tcBorders>
              <w:top w:val="nil"/>
              <w:left w:val="nil"/>
              <w:bottom w:val="single" w:sz="8" w:space="0" w:color="DCDDDE"/>
              <w:right w:val="nil"/>
            </w:tcBorders>
            <w:shd w:val="clear" w:color="000000" w:fill="FFFFFF"/>
            <w:noWrap/>
            <w:vAlign w:val="center"/>
            <w:hideMark/>
          </w:tcPr>
          <w:p w14:paraId="6CB8720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35.8</w:t>
            </w:r>
          </w:p>
        </w:tc>
        <w:tc>
          <w:tcPr>
            <w:tcW w:w="626" w:type="dxa"/>
            <w:tcBorders>
              <w:top w:val="nil"/>
              <w:left w:val="nil"/>
              <w:bottom w:val="single" w:sz="8" w:space="0" w:color="DCDDDE"/>
              <w:right w:val="nil"/>
            </w:tcBorders>
            <w:shd w:val="clear" w:color="000000" w:fill="FFFFFF"/>
            <w:noWrap/>
            <w:vAlign w:val="center"/>
            <w:hideMark/>
          </w:tcPr>
          <w:p w14:paraId="7AFB2D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38.4</w:t>
            </w:r>
          </w:p>
        </w:tc>
        <w:tc>
          <w:tcPr>
            <w:tcW w:w="626" w:type="dxa"/>
            <w:tcBorders>
              <w:top w:val="nil"/>
              <w:left w:val="nil"/>
              <w:bottom w:val="single" w:sz="8" w:space="0" w:color="DCDDDE"/>
              <w:right w:val="nil"/>
            </w:tcBorders>
            <w:shd w:val="clear" w:color="000000" w:fill="FFFFFF"/>
            <w:noWrap/>
            <w:vAlign w:val="center"/>
            <w:hideMark/>
          </w:tcPr>
          <w:p w14:paraId="11064DE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40.1</w:t>
            </w:r>
          </w:p>
        </w:tc>
      </w:tr>
      <w:tr w:rsidR="00181744" w:rsidRPr="00181744" w14:paraId="7E60583A"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536F086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29" w:type="dxa"/>
            <w:tcBorders>
              <w:top w:val="nil"/>
              <w:left w:val="nil"/>
              <w:bottom w:val="single" w:sz="8" w:space="0" w:color="DCDDDE"/>
              <w:right w:val="nil"/>
            </w:tcBorders>
            <w:shd w:val="clear" w:color="000000" w:fill="FFFFFF"/>
            <w:noWrap/>
            <w:vAlign w:val="center"/>
            <w:hideMark/>
          </w:tcPr>
          <w:p w14:paraId="65A15E1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29" w:type="dxa"/>
            <w:tcBorders>
              <w:top w:val="nil"/>
              <w:left w:val="nil"/>
              <w:bottom w:val="single" w:sz="8" w:space="0" w:color="DCDDDE"/>
              <w:right w:val="nil"/>
            </w:tcBorders>
            <w:shd w:val="clear" w:color="000000" w:fill="FFFFFF"/>
            <w:noWrap/>
            <w:vAlign w:val="center"/>
            <w:hideMark/>
          </w:tcPr>
          <w:p w14:paraId="7AA42F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07AF53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6C2EE6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5E50359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625F2C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38E054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111BFA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0F2BFF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2BBB2D1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6BD946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1F35DC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206283A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r>
      <w:tr w:rsidR="00181744" w:rsidRPr="00181744" w14:paraId="497AEA35"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5125B7B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29" w:type="dxa"/>
            <w:tcBorders>
              <w:top w:val="nil"/>
              <w:left w:val="nil"/>
              <w:bottom w:val="single" w:sz="8" w:space="0" w:color="DCDDDE"/>
              <w:right w:val="nil"/>
            </w:tcBorders>
            <w:shd w:val="clear" w:color="000000" w:fill="FFFFFF"/>
            <w:noWrap/>
            <w:vAlign w:val="center"/>
            <w:hideMark/>
          </w:tcPr>
          <w:p w14:paraId="2F067B2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244.5</w:t>
            </w:r>
          </w:p>
        </w:tc>
        <w:tc>
          <w:tcPr>
            <w:tcW w:w="629" w:type="dxa"/>
            <w:tcBorders>
              <w:top w:val="nil"/>
              <w:left w:val="nil"/>
              <w:bottom w:val="single" w:sz="8" w:space="0" w:color="DCDDDE"/>
              <w:right w:val="nil"/>
            </w:tcBorders>
            <w:shd w:val="clear" w:color="000000" w:fill="FFFFFF"/>
            <w:noWrap/>
            <w:vAlign w:val="center"/>
            <w:hideMark/>
          </w:tcPr>
          <w:p w14:paraId="26AEF7B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254.4</w:t>
            </w:r>
          </w:p>
        </w:tc>
        <w:tc>
          <w:tcPr>
            <w:tcW w:w="626" w:type="dxa"/>
            <w:tcBorders>
              <w:top w:val="nil"/>
              <w:left w:val="nil"/>
              <w:bottom w:val="single" w:sz="8" w:space="0" w:color="DCDDDE"/>
              <w:right w:val="nil"/>
            </w:tcBorders>
            <w:shd w:val="clear" w:color="000000" w:fill="FFFFFF"/>
            <w:noWrap/>
            <w:vAlign w:val="center"/>
            <w:hideMark/>
          </w:tcPr>
          <w:p w14:paraId="2162B11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271.6</w:t>
            </w:r>
          </w:p>
        </w:tc>
        <w:tc>
          <w:tcPr>
            <w:tcW w:w="626" w:type="dxa"/>
            <w:tcBorders>
              <w:top w:val="nil"/>
              <w:left w:val="nil"/>
              <w:bottom w:val="single" w:sz="8" w:space="0" w:color="DCDDDE"/>
              <w:right w:val="nil"/>
            </w:tcBorders>
            <w:shd w:val="clear" w:color="000000" w:fill="FFFFFF"/>
            <w:noWrap/>
            <w:vAlign w:val="center"/>
            <w:hideMark/>
          </w:tcPr>
          <w:p w14:paraId="6231091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309.2</w:t>
            </w:r>
          </w:p>
        </w:tc>
        <w:tc>
          <w:tcPr>
            <w:tcW w:w="626" w:type="dxa"/>
            <w:tcBorders>
              <w:top w:val="nil"/>
              <w:left w:val="nil"/>
              <w:bottom w:val="single" w:sz="8" w:space="0" w:color="DCDDDE"/>
              <w:right w:val="nil"/>
            </w:tcBorders>
            <w:shd w:val="clear" w:color="000000" w:fill="FFFFFF"/>
            <w:noWrap/>
            <w:vAlign w:val="center"/>
            <w:hideMark/>
          </w:tcPr>
          <w:p w14:paraId="0E3583C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310.4</w:t>
            </w:r>
          </w:p>
        </w:tc>
        <w:tc>
          <w:tcPr>
            <w:tcW w:w="626" w:type="dxa"/>
            <w:tcBorders>
              <w:top w:val="nil"/>
              <w:left w:val="nil"/>
              <w:bottom w:val="single" w:sz="8" w:space="0" w:color="DCDDDE"/>
              <w:right w:val="nil"/>
            </w:tcBorders>
            <w:shd w:val="clear" w:color="000000" w:fill="FFFFFF"/>
            <w:noWrap/>
            <w:vAlign w:val="center"/>
            <w:hideMark/>
          </w:tcPr>
          <w:p w14:paraId="360C4DE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353.5</w:t>
            </w:r>
          </w:p>
        </w:tc>
        <w:tc>
          <w:tcPr>
            <w:tcW w:w="626" w:type="dxa"/>
            <w:tcBorders>
              <w:top w:val="nil"/>
              <w:left w:val="nil"/>
              <w:bottom w:val="single" w:sz="8" w:space="0" w:color="DCDDDE"/>
              <w:right w:val="nil"/>
            </w:tcBorders>
            <w:shd w:val="clear" w:color="000000" w:fill="FFFFFF"/>
            <w:noWrap/>
            <w:vAlign w:val="center"/>
            <w:hideMark/>
          </w:tcPr>
          <w:p w14:paraId="1115084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353.3</w:t>
            </w:r>
          </w:p>
        </w:tc>
        <w:tc>
          <w:tcPr>
            <w:tcW w:w="626" w:type="dxa"/>
            <w:tcBorders>
              <w:top w:val="nil"/>
              <w:left w:val="nil"/>
              <w:bottom w:val="single" w:sz="8" w:space="0" w:color="DCDDDE"/>
              <w:right w:val="nil"/>
            </w:tcBorders>
            <w:shd w:val="clear" w:color="000000" w:fill="FFFFFF"/>
            <w:noWrap/>
            <w:vAlign w:val="center"/>
            <w:hideMark/>
          </w:tcPr>
          <w:p w14:paraId="6EEC886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355.6</w:t>
            </w:r>
          </w:p>
        </w:tc>
        <w:tc>
          <w:tcPr>
            <w:tcW w:w="626" w:type="dxa"/>
            <w:tcBorders>
              <w:top w:val="nil"/>
              <w:left w:val="nil"/>
              <w:bottom w:val="single" w:sz="8" w:space="0" w:color="DCDDDE"/>
              <w:right w:val="nil"/>
            </w:tcBorders>
            <w:shd w:val="clear" w:color="000000" w:fill="FFFFFF"/>
            <w:noWrap/>
            <w:vAlign w:val="center"/>
            <w:hideMark/>
          </w:tcPr>
          <w:p w14:paraId="033AB39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356.4</w:t>
            </w:r>
          </w:p>
        </w:tc>
        <w:tc>
          <w:tcPr>
            <w:tcW w:w="626" w:type="dxa"/>
            <w:tcBorders>
              <w:top w:val="nil"/>
              <w:left w:val="nil"/>
              <w:bottom w:val="single" w:sz="8" w:space="0" w:color="DCDDDE"/>
              <w:right w:val="nil"/>
            </w:tcBorders>
            <w:shd w:val="clear" w:color="000000" w:fill="FFFFFF"/>
            <w:noWrap/>
            <w:vAlign w:val="center"/>
            <w:hideMark/>
          </w:tcPr>
          <w:p w14:paraId="7E0944C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358.0</w:t>
            </w:r>
          </w:p>
        </w:tc>
        <w:tc>
          <w:tcPr>
            <w:tcW w:w="626" w:type="dxa"/>
            <w:tcBorders>
              <w:top w:val="nil"/>
              <w:left w:val="nil"/>
              <w:bottom w:val="single" w:sz="8" w:space="0" w:color="DCDDDE"/>
              <w:right w:val="nil"/>
            </w:tcBorders>
            <w:shd w:val="clear" w:color="000000" w:fill="FFFFFF"/>
            <w:noWrap/>
            <w:vAlign w:val="center"/>
            <w:hideMark/>
          </w:tcPr>
          <w:p w14:paraId="44A18A9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353.9</w:t>
            </w:r>
          </w:p>
        </w:tc>
        <w:tc>
          <w:tcPr>
            <w:tcW w:w="626" w:type="dxa"/>
            <w:tcBorders>
              <w:top w:val="nil"/>
              <w:left w:val="nil"/>
              <w:bottom w:val="single" w:sz="8" w:space="0" w:color="DCDDDE"/>
              <w:right w:val="nil"/>
            </w:tcBorders>
            <w:shd w:val="clear" w:color="000000" w:fill="FFFFFF"/>
            <w:noWrap/>
            <w:vAlign w:val="center"/>
            <w:hideMark/>
          </w:tcPr>
          <w:p w14:paraId="044DFE0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343.7</w:t>
            </w:r>
          </w:p>
        </w:tc>
        <w:tc>
          <w:tcPr>
            <w:tcW w:w="626" w:type="dxa"/>
            <w:tcBorders>
              <w:top w:val="nil"/>
              <w:left w:val="nil"/>
              <w:bottom w:val="single" w:sz="8" w:space="0" w:color="DCDDDE"/>
              <w:right w:val="nil"/>
            </w:tcBorders>
            <w:shd w:val="clear" w:color="000000" w:fill="FFFFFF"/>
            <w:noWrap/>
            <w:vAlign w:val="center"/>
            <w:hideMark/>
          </w:tcPr>
          <w:p w14:paraId="3F15FC4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332.6</w:t>
            </w:r>
          </w:p>
        </w:tc>
      </w:tr>
      <w:tr w:rsidR="00181744" w:rsidRPr="00181744" w14:paraId="0E18027D" w14:textId="77777777" w:rsidTr="00181744">
        <w:trPr>
          <w:trHeight w:val="246"/>
        </w:trPr>
        <w:tc>
          <w:tcPr>
            <w:tcW w:w="9431" w:type="dxa"/>
            <w:gridSpan w:val="15"/>
            <w:tcBorders>
              <w:top w:val="single" w:sz="8" w:space="0" w:color="DCDDDE"/>
              <w:left w:val="nil"/>
              <w:bottom w:val="single" w:sz="8" w:space="0" w:color="DCDDDE"/>
              <w:right w:val="nil"/>
            </w:tcBorders>
            <w:shd w:val="clear" w:color="000000" w:fill="DADADA"/>
            <w:noWrap/>
            <w:vAlign w:val="center"/>
            <w:hideMark/>
          </w:tcPr>
          <w:p w14:paraId="0B77CD9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181744" w:rsidRPr="00181744" w14:paraId="21B86FA2"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4A2431F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29" w:type="dxa"/>
            <w:tcBorders>
              <w:top w:val="nil"/>
              <w:left w:val="nil"/>
              <w:bottom w:val="single" w:sz="8" w:space="0" w:color="DCDDDE"/>
              <w:right w:val="nil"/>
            </w:tcBorders>
            <w:shd w:val="clear" w:color="000000" w:fill="FFFFFF"/>
            <w:noWrap/>
            <w:vAlign w:val="center"/>
            <w:hideMark/>
          </w:tcPr>
          <w:p w14:paraId="699D2E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65.9</w:t>
            </w:r>
          </w:p>
        </w:tc>
        <w:tc>
          <w:tcPr>
            <w:tcW w:w="629" w:type="dxa"/>
            <w:tcBorders>
              <w:top w:val="nil"/>
              <w:left w:val="nil"/>
              <w:bottom w:val="single" w:sz="8" w:space="0" w:color="DCDDDE"/>
              <w:right w:val="nil"/>
            </w:tcBorders>
            <w:shd w:val="clear" w:color="000000" w:fill="FFFFFF"/>
            <w:noWrap/>
            <w:vAlign w:val="center"/>
            <w:hideMark/>
          </w:tcPr>
          <w:p w14:paraId="4E0D4AE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72.5</w:t>
            </w:r>
          </w:p>
        </w:tc>
        <w:tc>
          <w:tcPr>
            <w:tcW w:w="626" w:type="dxa"/>
            <w:tcBorders>
              <w:top w:val="nil"/>
              <w:left w:val="nil"/>
              <w:bottom w:val="single" w:sz="8" w:space="0" w:color="DCDDDE"/>
              <w:right w:val="nil"/>
            </w:tcBorders>
            <w:shd w:val="clear" w:color="000000" w:fill="FFFFFF"/>
            <w:noWrap/>
            <w:vAlign w:val="center"/>
            <w:hideMark/>
          </w:tcPr>
          <w:p w14:paraId="6EFE48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71.3</w:t>
            </w:r>
          </w:p>
        </w:tc>
        <w:tc>
          <w:tcPr>
            <w:tcW w:w="626" w:type="dxa"/>
            <w:tcBorders>
              <w:top w:val="nil"/>
              <w:left w:val="nil"/>
              <w:bottom w:val="single" w:sz="8" w:space="0" w:color="DCDDDE"/>
              <w:right w:val="nil"/>
            </w:tcBorders>
            <w:shd w:val="clear" w:color="000000" w:fill="FFFFFF"/>
            <w:noWrap/>
            <w:vAlign w:val="center"/>
            <w:hideMark/>
          </w:tcPr>
          <w:p w14:paraId="2C32D0A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79.8</w:t>
            </w:r>
          </w:p>
        </w:tc>
        <w:tc>
          <w:tcPr>
            <w:tcW w:w="626" w:type="dxa"/>
            <w:tcBorders>
              <w:top w:val="nil"/>
              <w:left w:val="nil"/>
              <w:bottom w:val="single" w:sz="8" w:space="0" w:color="DCDDDE"/>
              <w:right w:val="nil"/>
            </w:tcBorders>
            <w:shd w:val="clear" w:color="000000" w:fill="FFFFFF"/>
            <w:noWrap/>
            <w:vAlign w:val="center"/>
            <w:hideMark/>
          </w:tcPr>
          <w:p w14:paraId="347C22D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82.1</w:t>
            </w:r>
          </w:p>
        </w:tc>
        <w:tc>
          <w:tcPr>
            <w:tcW w:w="626" w:type="dxa"/>
            <w:tcBorders>
              <w:top w:val="nil"/>
              <w:left w:val="nil"/>
              <w:bottom w:val="single" w:sz="8" w:space="0" w:color="DCDDDE"/>
              <w:right w:val="nil"/>
            </w:tcBorders>
            <w:shd w:val="clear" w:color="000000" w:fill="FFFFFF"/>
            <w:noWrap/>
            <w:vAlign w:val="center"/>
            <w:hideMark/>
          </w:tcPr>
          <w:p w14:paraId="1951491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86.6</w:t>
            </w:r>
          </w:p>
        </w:tc>
        <w:tc>
          <w:tcPr>
            <w:tcW w:w="626" w:type="dxa"/>
            <w:tcBorders>
              <w:top w:val="nil"/>
              <w:left w:val="nil"/>
              <w:bottom w:val="single" w:sz="8" w:space="0" w:color="DCDDDE"/>
              <w:right w:val="nil"/>
            </w:tcBorders>
            <w:shd w:val="clear" w:color="000000" w:fill="FFFFFF"/>
            <w:noWrap/>
            <w:vAlign w:val="center"/>
            <w:hideMark/>
          </w:tcPr>
          <w:p w14:paraId="5E6E50B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93.9</w:t>
            </w:r>
          </w:p>
        </w:tc>
        <w:tc>
          <w:tcPr>
            <w:tcW w:w="626" w:type="dxa"/>
            <w:tcBorders>
              <w:top w:val="nil"/>
              <w:left w:val="nil"/>
              <w:bottom w:val="single" w:sz="8" w:space="0" w:color="DCDDDE"/>
              <w:right w:val="nil"/>
            </w:tcBorders>
            <w:shd w:val="clear" w:color="000000" w:fill="FFFFFF"/>
            <w:noWrap/>
            <w:vAlign w:val="center"/>
            <w:hideMark/>
          </w:tcPr>
          <w:p w14:paraId="491BA0B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97.1</w:t>
            </w:r>
          </w:p>
        </w:tc>
        <w:tc>
          <w:tcPr>
            <w:tcW w:w="626" w:type="dxa"/>
            <w:tcBorders>
              <w:top w:val="nil"/>
              <w:left w:val="nil"/>
              <w:bottom w:val="single" w:sz="8" w:space="0" w:color="DCDDDE"/>
              <w:right w:val="nil"/>
            </w:tcBorders>
            <w:shd w:val="clear" w:color="000000" w:fill="FFFFFF"/>
            <w:noWrap/>
            <w:vAlign w:val="center"/>
            <w:hideMark/>
          </w:tcPr>
          <w:p w14:paraId="43F1B90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98.0</w:t>
            </w:r>
          </w:p>
        </w:tc>
        <w:tc>
          <w:tcPr>
            <w:tcW w:w="626" w:type="dxa"/>
            <w:tcBorders>
              <w:top w:val="nil"/>
              <w:left w:val="nil"/>
              <w:bottom w:val="single" w:sz="8" w:space="0" w:color="DCDDDE"/>
              <w:right w:val="nil"/>
            </w:tcBorders>
            <w:shd w:val="clear" w:color="000000" w:fill="FFFFFF"/>
            <w:noWrap/>
            <w:vAlign w:val="center"/>
            <w:hideMark/>
          </w:tcPr>
          <w:p w14:paraId="2B549A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100.0</w:t>
            </w:r>
          </w:p>
        </w:tc>
        <w:tc>
          <w:tcPr>
            <w:tcW w:w="626" w:type="dxa"/>
            <w:tcBorders>
              <w:top w:val="nil"/>
              <w:left w:val="nil"/>
              <w:bottom w:val="single" w:sz="8" w:space="0" w:color="DCDDDE"/>
              <w:right w:val="nil"/>
            </w:tcBorders>
            <w:shd w:val="clear" w:color="000000" w:fill="FFFFFF"/>
            <w:noWrap/>
            <w:vAlign w:val="center"/>
            <w:hideMark/>
          </w:tcPr>
          <w:p w14:paraId="67BF14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101.7</w:t>
            </w:r>
          </w:p>
        </w:tc>
        <w:tc>
          <w:tcPr>
            <w:tcW w:w="626" w:type="dxa"/>
            <w:tcBorders>
              <w:top w:val="nil"/>
              <w:left w:val="nil"/>
              <w:bottom w:val="single" w:sz="8" w:space="0" w:color="DCDDDE"/>
              <w:right w:val="nil"/>
            </w:tcBorders>
            <w:shd w:val="clear" w:color="000000" w:fill="FFFFFF"/>
            <w:noWrap/>
            <w:vAlign w:val="center"/>
            <w:hideMark/>
          </w:tcPr>
          <w:p w14:paraId="28842B0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102.2</w:t>
            </w:r>
          </w:p>
        </w:tc>
        <w:tc>
          <w:tcPr>
            <w:tcW w:w="626" w:type="dxa"/>
            <w:tcBorders>
              <w:top w:val="nil"/>
              <w:left w:val="nil"/>
              <w:bottom w:val="single" w:sz="8" w:space="0" w:color="DCDDDE"/>
              <w:right w:val="nil"/>
            </w:tcBorders>
            <w:shd w:val="clear" w:color="000000" w:fill="FFFFFF"/>
            <w:noWrap/>
            <w:vAlign w:val="center"/>
            <w:hideMark/>
          </w:tcPr>
          <w:p w14:paraId="71749D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102.1</w:t>
            </w:r>
          </w:p>
        </w:tc>
      </w:tr>
      <w:tr w:rsidR="00181744" w:rsidRPr="00181744" w14:paraId="747E4681"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3B9F50E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29" w:type="dxa"/>
            <w:tcBorders>
              <w:top w:val="nil"/>
              <w:left w:val="nil"/>
              <w:bottom w:val="single" w:sz="8" w:space="0" w:color="DCDDDE"/>
              <w:right w:val="nil"/>
            </w:tcBorders>
            <w:shd w:val="clear" w:color="000000" w:fill="FFFFFF"/>
            <w:noWrap/>
            <w:vAlign w:val="center"/>
            <w:hideMark/>
          </w:tcPr>
          <w:p w14:paraId="69F05AF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168.0</w:t>
            </w:r>
          </w:p>
        </w:tc>
        <w:tc>
          <w:tcPr>
            <w:tcW w:w="629" w:type="dxa"/>
            <w:tcBorders>
              <w:top w:val="nil"/>
              <w:left w:val="nil"/>
              <w:bottom w:val="single" w:sz="8" w:space="0" w:color="DCDDDE"/>
              <w:right w:val="nil"/>
            </w:tcBorders>
            <w:shd w:val="clear" w:color="000000" w:fill="FFFFFF"/>
            <w:noWrap/>
            <w:vAlign w:val="center"/>
            <w:hideMark/>
          </w:tcPr>
          <w:p w14:paraId="44DF22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168.6</w:t>
            </w:r>
          </w:p>
        </w:tc>
        <w:tc>
          <w:tcPr>
            <w:tcW w:w="626" w:type="dxa"/>
            <w:tcBorders>
              <w:top w:val="nil"/>
              <w:left w:val="nil"/>
              <w:bottom w:val="single" w:sz="8" w:space="0" w:color="DCDDDE"/>
              <w:right w:val="nil"/>
            </w:tcBorders>
            <w:shd w:val="clear" w:color="000000" w:fill="FFFFFF"/>
            <w:noWrap/>
            <w:vAlign w:val="center"/>
            <w:hideMark/>
          </w:tcPr>
          <w:p w14:paraId="3F3E67F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184.8</w:t>
            </w:r>
          </w:p>
        </w:tc>
        <w:tc>
          <w:tcPr>
            <w:tcW w:w="626" w:type="dxa"/>
            <w:tcBorders>
              <w:top w:val="nil"/>
              <w:left w:val="nil"/>
              <w:bottom w:val="single" w:sz="8" w:space="0" w:color="DCDDDE"/>
              <w:right w:val="nil"/>
            </w:tcBorders>
            <w:shd w:val="clear" w:color="000000" w:fill="FFFFFF"/>
            <w:noWrap/>
            <w:vAlign w:val="center"/>
            <w:hideMark/>
          </w:tcPr>
          <w:p w14:paraId="58279D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215.3</w:t>
            </w:r>
          </w:p>
        </w:tc>
        <w:tc>
          <w:tcPr>
            <w:tcW w:w="626" w:type="dxa"/>
            <w:tcBorders>
              <w:top w:val="nil"/>
              <w:left w:val="nil"/>
              <w:bottom w:val="single" w:sz="8" w:space="0" w:color="DCDDDE"/>
              <w:right w:val="nil"/>
            </w:tcBorders>
            <w:shd w:val="clear" w:color="000000" w:fill="FFFFFF"/>
            <w:noWrap/>
            <w:vAlign w:val="center"/>
            <w:hideMark/>
          </w:tcPr>
          <w:p w14:paraId="02E4C7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211.6</w:t>
            </w:r>
          </w:p>
        </w:tc>
        <w:tc>
          <w:tcPr>
            <w:tcW w:w="626" w:type="dxa"/>
            <w:tcBorders>
              <w:top w:val="nil"/>
              <w:left w:val="nil"/>
              <w:bottom w:val="single" w:sz="8" w:space="0" w:color="DCDDDE"/>
              <w:right w:val="nil"/>
            </w:tcBorders>
            <w:shd w:val="clear" w:color="000000" w:fill="FFFFFF"/>
            <w:noWrap/>
            <w:vAlign w:val="center"/>
            <w:hideMark/>
          </w:tcPr>
          <w:p w14:paraId="1DBDDC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249.2</w:t>
            </w:r>
          </w:p>
        </w:tc>
        <w:tc>
          <w:tcPr>
            <w:tcW w:w="626" w:type="dxa"/>
            <w:tcBorders>
              <w:top w:val="nil"/>
              <w:left w:val="nil"/>
              <w:bottom w:val="single" w:sz="8" w:space="0" w:color="DCDDDE"/>
              <w:right w:val="nil"/>
            </w:tcBorders>
            <w:shd w:val="clear" w:color="000000" w:fill="FFFFFF"/>
            <w:noWrap/>
            <w:vAlign w:val="center"/>
            <w:hideMark/>
          </w:tcPr>
          <w:p w14:paraId="17CEDD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241.1</w:t>
            </w:r>
          </w:p>
        </w:tc>
        <w:tc>
          <w:tcPr>
            <w:tcW w:w="626" w:type="dxa"/>
            <w:tcBorders>
              <w:top w:val="nil"/>
              <w:left w:val="nil"/>
              <w:bottom w:val="single" w:sz="8" w:space="0" w:color="DCDDDE"/>
              <w:right w:val="nil"/>
            </w:tcBorders>
            <w:shd w:val="clear" w:color="000000" w:fill="FFFFFF"/>
            <w:noWrap/>
            <w:vAlign w:val="center"/>
            <w:hideMark/>
          </w:tcPr>
          <w:p w14:paraId="761873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235.8</w:t>
            </w:r>
          </w:p>
        </w:tc>
        <w:tc>
          <w:tcPr>
            <w:tcW w:w="626" w:type="dxa"/>
            <w:tcBorders>
              <w:top w:val="nil"/>
              <w:left w:val="nil"/>
              <w:bottom w:val="single" w:sz="8" w:space="0" w:color="DCDDDE"/>
              <w:right w:val="nil"/>
            </w:tcBorders>
            <w:shd w:val="clear" w:color="000000" w:fill="FFFFFF"/>
            <w:noWrap/>
            <w:vAlign w:val="center"/>
            <w:hideMark/>
          </w:tcPr>
          <w:p w14:paraId="2315C5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229.4</w:t>
            </w:r>
          </w:p>
        </w:tc>
        <w:tc>
          <w:tcPr>
            <w:tcW w:w="626" w:type="dxa"/>
            <w:tcBorders>
              <w:top w:val="nil"/>
              <w:left w:val="nil"/>
              <w:bottom w:val="single" w:sz="8" w:space="0" w:color="DCDDDE"/>
              <w:right w:val="nil"/>
            </w:tcBorders>
            <w:shd w:val="clear" w:color="000000" w:fill="FFFFFF"/>
            <w:noWrap/>
            <w:vAlign w:val="center"/>
            <w:hideMark/>
          </w:tcPr>
          <w:p w14:paraId="15526B1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226.0</w:t>
            </w:r>
          </w:p>
        </w:tc>
        <w:tc>
          <w:tcPr>
            <w:tcW w:w="626" w:type="dxa"/>
            <w:tcBorders>
              <w:top w:val="nil"/>
              <w:left w:val="nil"/>
              <w:bottom w:val="single" w:sz="8" w:space="0" w:color="DCDDDE"/>
              <w:right w:val="nil"/>
            </w:tcBorders>
            <w:shd w:val="clear" w:color="000000" w:fill="FFFFFF"/>
            <w:noWrap/>
            <w:vAlign w:val="center"/>
            <w:hideMark/>
          </w:tcPr>
          <w:p w14:paraId="15E349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217.4</w:t>
            </w:r>
          </w:p>
        </w:tc>
        <w:tc>
          <w:tcPr>
            <w:tcW w:w="626" w:type="dxa"/>
            <w:tcBorders>
              <w:top w:val="nil"/>
              <w:left w:val="nil"/>
              <w:bottom w:val="single" w:sz="8" w:space="0" w:color="DCDDDE"/>
              <w:right w:val="nil"/>
            </w:tcBorders>
            <w:shd w:val="clear" w:color="000000" w:fill="FFFFFF"/>
            <w:noWrap/>
            <w:vAlign w:val="center"/>
            <w:hideMark/>
          </w:tcPr>
          <w:p w14:paraId="4B9499F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203.8</w:t>
            </w:r>
          </w:p>
        </w:tc>
        <w:tc>
          <w:tcPr>
            <w:tcW w:w="626" w:type="dxa"/>
            <w:tcBorders>
              <w:top w:val="nil"/>
              <w:left w:val="nil"/>
              <w:bottom w:val="single" w:sz="8" w:space="0" w:color="DCDDDE"/>
              <w:right w:val="nil"/>
            </w:tcBorders>
            <w:shd w:val="clear" w:color="000000" w:fill="FFFFFF"/>
            <w:noWrap/>
            <w:vAlign w:val="center"/>
            <w:hideMark/>
          </w:tcPr>
          <w:p w14:paraId="1EE28E6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190.8</w:t>
            </w:r>
          </w:p>
        </w:tc>
      </w:tr>
      <w:tr w:rsidR="00181744" w:rsidRPr="00181744" w14:paraId="6A21F5C5"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2B63C67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29" w:type="dxa"/>
            <w:tcBorders>
              <w:top w:val="nil"/>
              <w:left w:val="nil"/>
              <w:bottom w:val="single" w:sz="8" w:space="0" w:color="DCDDDE"/>
              <w:right w:val="nil"/>
            </w:tcBorders>
            <w:shd w:val="clear" w:color="000000" w:fill="FFFFFF"/>
            <w:noWrap/>
            <w:vAlign w:val="center"/>
            <w:hideMark/>
          </w:tcPr>
          <w:p w14:paraId="2DC08F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13.2</w:t>
            </w:r>
          </w:p>
        </w:tc>
        <w:tc>
          <w:tcPr>
            <w:tcW w:w="629" w:type="dxa"/>
            <w:tcBorders>
              <w:top w:val="nil"/>
              <w:left w:val="nil"/>
              <w:bottom w:val="single" w:sz="8" w:space="0" w:color="DCDDDE"/>
              <w:right w:val="nil"/>
            </w:tcBorders>
            <w:shd w:val="clear" w:color="000000" w:fill="FFFFFF"/>
            <w:noWrap/>
            <w:vAlign w:val="center"/>
            <w:hideMark/>
          </w:tcPr>
          <w:p w14:paraId="4F3BDF4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16.1</w:t>
            </w:r>
          </w:p>
        </w:tc>
        <w:tc>
          <w:tcPr>
            <w:tcW w:w="626" w:type="dxa"/>
            <w:tcBorders>
              <w:top w:val="nil"/>
              <w:left w:val="nil"/>
              <w:bottom w:val="single" w:sz="8" w:space="0" w:color="DCDDDE"/>
              <w:right w:val="nil"/>
            </w:tcBorders>
            <w:shd w:val="clear" w:color="000000" w:fill="FFFFFF"/>
            <w:noWrap/>
            <w:vAlign w:val="center"/>
            <w:hideMark/>
          </w:tcPr>
          <w:p w14:paraId="46F26C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w:t>
            </w:r>
          </w:p>
        </w:tc>
        <w:tc>
          <w:tcPr>
            <w:tcW w:w="626" w:type="dxa"/>
            <w:tcBorders>
              <w:top w:val="nil"/>
              <w:left w:val="nil"/>
              <w:bottom w:val="single" w:sz="8" w:space="0" w:color="DCDDDE"/>
              <w:right w:val="nil"/>
            </w:tcBorders>
            <w:shd w:val="clear" w:color="000000" w:fill="FFFFFF"/>
            <w:noWrap/>
            <w:vAlign w:val="center"/>
            <w:hideMark/>
          </w:tcPr>
          <w:p w14:paraId="5D28422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20.0</w:t>
            </w:r>
          </w:p>
        </w:tc>
        <w:tc>
          <w:tcPr>
            <w:tcW w:w="626" w:type="dxa"/>
            <w:tcBorders>
              <w:top w:val="nil"/>
              <w:left w:val="nil"/>
              <w:bottom w:val="single" w:sz="8" w:space="0" w:color="DCDDDE"/>
              <w:right w:val="nil"/>
            </w:tcBorders>
            <w:shd w:val="clear" w:color="000000" w:fill="FFFFFF"/>
            <w:noWrap/>
            <w:vAlign w:val="center"/>
            <w:hideMark/>
          </w:tcPr>
          <w:p w14:paraId="6C7FCA8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w:t>
            </w:r>
          </w:p>
        </w:tc>
        <w:tc>
          <w:tcPr>
            <w:tcW w:w="626" w:type="dxa"/>
            <w:tcBorders>
              <w:top w:val="nil"/>
              <w:left w:val="nil"/>
              <w:bottom w:val="single" w:sz="8" w:space="0" w:color="DCDDDE"/>
              <w:right w:val="nil"/>
            </w:tcBorders>
            <w:shd w:val="clear" w:color="000000" w:fill="FFFFFF"/>
            <w:noWrap/>
            <w:vAlign w:val="center"/>
            <w:hideMark/>
          </w:tcPr>
          <w:p w14:paraId="7D89AB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23.8</w:t>
            </w:r>
          </w:p>
        </w:tc>
        <w:tc>
          <w:tcPr>
            <w:tcW w:w="626" w:type="dxa"/>
            <w:tcBorders>
              <w:top w:val="nil"/>
              <w:left w:val="nil"/>
              <w:bottom w:val="single" w:sz="8" w:space="0" w:color="DCDDDE"/>
              <w:right w:val="nil"/>
            </w:tcBorders>
            <w:shd w:val="clear" w:color="000000" w:fill="FFFFFF"/>
            <w:noWrap/>
            <w:vAlign w:val="center"/>
            <w:hideMark/>
          </w:tcPr>
          <w:p w14:paraId="2592D27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25.9</w:t>
            </w:r>
          </w:p>
        </w:tc>
        <w:tc>
          <w:tcPr>
            <w:tcW w:w="626" w:type="dxa"/>
            <w:tcBorders>
              <w:top w:val="nil"/>
              <w:left w:val="nil"/>
              <w:bottom w:val="single" w:sz="8" w:space="0" w:color="DCDDDE"/>
              <w:right w:val="nil"/>
            </w:tcBorders>
            <w:shd w:val="clear" w:color="000000" w:fill="FFFFFF"/>
            <w:noWrap/>
            <w:vAlign w:val="center"/>
            <w:hideMark/>
          </w:tcPr>
          <w:p w14:paraId="0CA1EED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28.5</w:t>
            </w:r>
          </w:p>
        </w:tc>
        <w:tc>
          <w:tcPr>
            <w:tcW w:w="626" w:type="dxa"/>
            <w:tcBorders>
              <w:top w:val="nil"/>
              <w:left w:val="nil"/>
              <w:bottom w:val="single" w:sz="8" w:space="0" w:color="DCDDDE"/>
              <w:right w:val="nil"/>
            </w:tcBorders>
            <w:shd w:val="clear" w:color="000000" w:fill="FFFFFF"/>
            <w:noWrap/>
            <w:vAlign w:val="center"/>
            <w:hideMark/>
          </w:tcPr>
          <w:p w14:paraId="3B54510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30.9</w:t>
            </w:r>
          </w:p>
        </w:tc>
        <w:tc>
          <w:tcPr>
            <w:tcW w:w="626" w:type="dxa"/>
            <w:tcBorders>
              <w:top w:val="nil"/>
              <w:left w:val="nil"/>
              <w:bottom w:val="single" w:sz="8" w:space="0" w:color="DCDDDE"/>
              <w:right w:val="nil"/>
            </w:tcBorders>
            <w:shd w:val="clear" w:color="000000" w:fill="FFFFFF"/>
            <w:noWrap/>
            <w:vAlign w:val="center"/>
            <w:hideMark/>
          </w:tcPr>
          <w:p w14:paraId="2CB51F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33.3</w:t>
            </w:r>
          </w:p>
        </w:tc>
        <w:tc>
          <w:tcPr>
            <w:tcW w:w="626" w:type="dxa"/>
            <w:tcBorders>
              <w:top w:val="nil"/>
              <w:left w:val="nil"/>
              <w:bottom w:val="single" w:sz="8" w:space="0" w:color="DCDDDE"/>
              <w:right w:val="nil"/>
            </w:tcBorders>
            <w:shd w:val="clear" w:color="000000" w:fill="FFFFFF"/>
            <w:noWrap/>
            <w:vAlign w:val="center"/>
            <w:hideMark/>
          </w:tcPr>
          <w:p w14:paraId="3B81C2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35.8</w:t>
            </w:r>
          </w:p>
        </w:tc>
        <w:tc>
          <w:tcPr>
            <w:tcW w:w="626" w:type="dxa"/>
            <w:tcBorders>
              <w:top w:val="nil"/>
              <w:left w:val="nil"/>
              <w:bottom w:val="single" w:sz="8" w:space="0" w:color="DCDDDE"/>
              <w:right w:val="nil"/>
            </w:tcBorders>
            <w:shd w:val="clear" w:color="000000" w:fill="FFFFFF"/>
            <w:noWrap/>
            <w:vAlign w:val="center"/>
            <w:hideMark/>
          </w:tcPr>
          <w:p w14:paraId="7BFD4EB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38.4</w:t>
            </w:r>
          </w:p>
        </w:tc>
        <w:tc>
          <w:tcPr>
            <w:tcW w:w="626" w:type="dxa"/>
            <w:tcBorders>
              <w:top w:val="nil"/>
              <w:left w:val="nil"/>
              <w:bottom w:val="single" w:sz="8" w:space="0" w:color="DCDDDE"/>
              <w:right w:val="nil"/>
            </w:tcBorders>
            <w:shd w:val="clear" w:color="000000" w:fill="FFFFFF"/>
            <w:noWrap/>
            <w:vAlign w:val="center"/>
            <w:hideMark/>
          </w:tcPr>
          <w:p w14:paraId="3FC0FFC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40.1</w:t>
            </w:r>
          </w:p>
        </w:tc>
      </w:tr>
      <w:tr w:rsidR="00181744" w:rsidRPr="00181744" w14:paraId="3DB29C10"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33DE7D6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29" w:type="dxa"/>
            <w:tcBorders>
              <w:top w:val="nil"/>
              <w:left w:val="nil"/>
              <w:bottom w:val="single" w:sz="8" w:space="0" w:color="DCDDDE"/>
              <w:right w:val="nil"/>
            </w:tcBorders>
            <w:shd w:val="clear" w:color="000000" w:fill="FFFFFF"/>
            <w:noWrap/>
            <w:vAlign w:val="center"/>
            <w:hideMark/>
          </w:tcPr>
          <w:p w14:paraId="797DB56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29" w:type="dxa"/>
            <w:tcBorders>
              <w:top w:val="nil"/>
              <w:left w:val="nil"/>
              <w:bottom w:val="single" w:sz="8" w:space="0" w:color="DCDDDE"/>
              <w:right w:val="nil"/>
            </w:tcBorders>
            <w:shd w:val="clear" w:color="000000" w:fill="FFFFFF"/>
            <w:noWrap/>
            <w:vAlign w:val="center"/>
            <w:hideMark/>
          </w:tcPr>
          <w:p w14:paraId="66A51A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66EB9C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77D06F6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24EBA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1456E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0FA3770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0D1AF3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5DFB93A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75BF23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3D68EB1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D0EF45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1C1AA6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r>
      <w:tr w:rsidR="00181744" w:rsidRPr="00181744" w14:paraId="101818A2"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0819F49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29" w:type="dxa"/>
            <w:tcBorders>
              <w:top w:val="nil"/>
              <w:left w:val="nil"/>
              <w:bottom w:val="single" w:sz="8" w:space="0" w:color="DCDDDE"/>
              <w:right w:val="nil"/>
            </w:tcBorders>
            <w:shd w:val="clear" w:color="000000" w:fill="FFFFFF"/>
            <w:noWrap/>
            <w:vAlign w:val="center"/>
            <w:hideMark/>
          </w:tcPr>
          <w:p w14:paraId="66C847F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250.8</w:t>
            </w:r>
          </w:p>
        </w:tc>
        <w:tc>
          <w:tcPr>
            <w:tcW w:w="629" w:type="dxa"/>
            <w:tcBorders>
              <w:top w:val="nil"/>
              <w:left w:val="nil"/>
              <w:bottom w:val="single" w:sz="8" w:space="0" w:color="DCDDDE"/>
              <w:right w:val="nil"/>
            </w:tcBorders>
            <w:shd w:val="clear" w:color="000000" w:fill="FFFFFF"/>
            <w:noWrap/>
            <w:vAlign w:val="center"/>
            <w:hideMark/>
          </w:tcPr>
          <w:p w14:paraId="2C7D16F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260.9</w:t>
            </w:r>
          </w:p>
        </w:tc>
        <w:tc>
          <w:tcPr>
            <w:tcW w:w="626" w:type="dxa"/>
            <w:tcBorders>
              <w:top w:val="nil"/>
              <w:left w:val="nil"/>
              <w:bottom w:val="single" w:sz="8" w:space="0" w:color="DCDDDE"/>
              <w:right w:val="nil"/>
            </w:tcBorders>
            <w:shd w:val="clear" w:color="000000" w:fill="FFFFFF"/>
            <w:noWrap/>
            <w:vAlign w:val="center"/>
            <w:hideMark/>
          </w:tcPr>
          <w:p w14:paraId="55E795F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277.8</w:t>
            </w:r>
          </w:p>
        </w:tc>
        <w:tc>
          <w:tcPr>
            <w:tcW w:w="626" w:type="dxa"/>
            <w:tcBorders>
              <w:top w:val="nil"/>
              <w:left w:val="nil"/>
              <w:bottom w:val="single" w:sz="8" w:space="0" w:color="DCDDDE"/>
              <w:right w:val="nil"/>
            </w:tcBorders>
            <w:shd w:val="clear" w:color="000000" w:fill="FFFFFF"/>
            <w:noWrap/>
            <w:vAlign w:val="center"/>
            <w:hideMark/>
          </w:tcPr>
          <w:p w14:paraId="3071FFF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315.8</w:t>
            </w:r>
          </w:p>
        </w:tc>
        <w:tc>
          <w:tcPr>
            <w:tcW w:w="626" w:type="dxa"/>
            <w:tcBorders>
              <w:top w:val="nil"/>
              <w:left w:val="nil"/>
              <w:bottom w:val="single" w:sz="8" w:space="0" w:color="DCDDDE"/>
              <w:right w:val="nil"/>
            </w:tcBorders>
            <w:shd w:val="clear" w:color="000000" w:fill="FFFFFF"/>
            <w:noWrap/>
            <w:vAlign w:val="center"/>
            <w:hideMark/>
          </w:tcPr>
          <w:p w14:paraId="2074DC7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316.3</w:t>
            </w:r>
          </w:p>
        </w:tc>
        <w:tc>
          <w:tcPr>
            <w:tcW w:w="626" w:type="dxa"/>
            <w:tcBorders>
              <w:top w:val="nil"/>
              <w:left w:val="nil"/>
              <w:bottom w:val="single" w:sz="8" w:space="0" w:color="DCDDDE"/>
              <w:right w:val="nil"/>
            </w:tcBorders>
            <w:shd w:val="clear" w:color="000000" w:fill="FFFFFF"/>
            <w:noWrap/>
            <w:vAlign w:val="center"/>
            <w:hideMark/>
          </w:tcPr>
          <w:p w14:paraId="3E3B0DE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360.3</w:t>
            </w:r>
          </w:p>
        </w:tc>
        <w:tc>
          <w:tcPr>
            <w:tcW w:w="626" w:type="dxa"/>
            <w:tcBorders>
              <w:top w:val="nil"/>
              <w:left w:val="nil"/>
              <w:bottom w:val="single" w:sz="8" w:space="0" w:color="DCDDDE"/>
              <w:right w:val="nil"/>
            </w:tcBorders>
            <w:shd w:val="clear" w:color="000000" w:fill="FFFFFF"/>
            <w:noWrap/>
            <w:vAlign w:val="center"/>
            <w:hideMark/>
          </w:tcPr>
          <w:p w14:paraId="7A926CF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361.5</w:t>
            </w:r>
          </w:p>
        </w:tc>
        <w:tc>
          <w:tcPr>
            <w:tcW w:w="626" w:type="dxa"/>
            <w:tcBorders>
              <w:top w:val="nil"/>
              <w:left w:val="nil"/>
              <w:bottom w:val="single" w:sz="8" w:space="0" w:color="DCDDDE"/>
              <w:right w:val="nil"/>
            </w:tcBorders>
            <w:shd w:val="clear" w:color="000000" w:fill="FFFFFF"/>
            <w:noWrap/>
            <w:vAlign w:val="center"/>
            <w:hideMark/>
          </w:tcPr>
          <w:p w14:paraId="5E6AB26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362.2</w:t>
            </w:r>
          </w:p>
        </w:tc>
        <w:tc>
          <w:tcPr>
            <w:tcW w:w="626" w:type="dxa"/>
            <w:tcBorders>
              <w:top w:val="nil"/>
              <w:left w:val="nil"/>
              <w:bottom w:val="single" w:sz="8" w:space="0" w:color="DCDDDE"/>
              <w:right w:val="nil"/>
            </w:tcBorders>
            <w:shd w:val="clear" w:color="000000" w:fill="FFFFFF"/>
            <w:noWrap/>
            <w:vAlign w:val="center"/>
            <w:hideMark/>
          </w:tcPr>
          <w:p w14:paraId="3E4A99F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359.0</w:t>
            </w:r>
          </w:p>
        </w:tc>
        <w:tc>
          <w:tcPr>
            <w:tcW w:w="626" w:type="dxa"/>
            <w:tcBorders>
              <w:top w:val="nil"/>
              <w:left w:val="nil"/>
              <w:bottom w:val="single" w:sz="8" w:space="0" w:color="DCDDDE"/>
              <w:right w:val="nil"/>
            </w:tcBorders>
            <w:shd w:val="clear" w:color="000000" w:fill="FFFFFF"/>
            <w:noWrap/>
            <w:vAlign w:val="center"/>
            <w:hideMark/>
          </w:tcPr>
          <w:p w14:paraId="4F0096C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360.1</w:t>
            </w:r>
          </w:p>
        </w:tc>
        <w:tc>
          <w:tcPr>
            <w:tcW w:w="626" w:type="dxa"/>
            <w:tcBorders>
              <w:top w:val="nil"/>
              <w:left w:val="nil"/>
              <w:bottom w:val="single" w:sz="8" w:space="0" w:color="DCDDDE"/>
              <w:right w:val="nil"/>
            </w:tcBorders>
            <w:shd w:val="clear" w:color="000000" w:fill="FFFFFF"/>
            <w:noWrap/>
            <w:vAlign w:val="center"/>
            <w:hideMark/>
          </w:tcPr>
          <w:p w14:paraId="64A6380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355.6</w:t>
            </w:r>
          </w:p>
        </w:tc>
        <w:tc>
          <w:tcPr>
            <w:tcW w:w="626" w:type="dxa"/>
            <w:tcBorders>
              <w:top w:val="nil"/>
              <w:left w:val="nil"/>
              <w:bottom w:val="single" w:sz="8" w:space="0" w:color="DCDDDE"/>
              <w:right w:val="nil"/>
            </w:tcBorders>
            <w:shd w:val="clear" w:color="000000" w:fill="FFFFFF"/>
            <w:noWrap/>
            <w:vAlign w:val="center"/>
            <w:hideMark/>
          </w:tcPr>
          <w:p w14:paraId="57C01A3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345.1</w:t>
            </w:r>
          </w:p>
        </w:tc>
        <w:tc>
          <w:tcPr>
            <w:tcW w:w="626" w:type="dxa"/>
            <w:tcBorders>
              <w:top w:val="nil"/>
              <w:left w:val="nil"/>
              <w:bottom w:val="single" w:sz="8" w:space="0" w:color="DCDDDE"/>
              <w:right w:val="nil"/>
            </w:tcBorders>
            <w:shd w:val="clear" w:color="000000" w:fill="FFFFFF"/>
            <w:noWrap/>
            <w:vAlign w:val="center"/>
            <w:hideMark/>
          </w:tcPr>
          <w:p w14:paraId="7FB9A5B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333.6</w:t>
            </w:r>
          </w:p>
        </w:tc>
      </w:tr>
      <w:tr w:rsidR="00181744" w:rsidRPr="00181744" w14:paraId="49301339" w14:textId="77777777" w:rsidTr="00181744">
        <w:trPr>
          <w:trHeight w:val="246"/>
        </w:trPr>
        <w:tc>
          <w:tcPr>
            <w:tcW w:w="9431" w:type="dxa"/>
            <w:gridSpan w:val="15"/>
            <w:tcBorders>
              <w:top w:val="single" w:sz="8" w:space="0" w:color="DCDDDE"/>
              <w:left w:val="nil"/>
              <w:bottom w:val="single" w:sz="8" w:space="0" w:color="DCDDDE"/>
              <w:right w:val="nil"/>
            </w:tcBorders>
            <w:shd w:val="clear" w:color="000000" w:fill="DADADA"/>
            <w:noWrap/>
            <w:vAlign w:val="center"/>
            <w:hideMark/>
          </w:tcPr>
          <w:p w14:paraId="0775B1B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181744" w:rsidRPr="00181744" w14:paraId="5EF42611"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545E45B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29" w:type="dxa"/>
            <w:tcBorders>
              <w:top w:val="nil"/>
              <w:left w:val="nil"/>
              <w:bottom w:val="single" w:sz="8" w:space="0" w:color="DCDDDE"/>
              <w:right w:val="nil"/>
            </w:tcBorders>
            <w:shd w:val="clear" w:color="000000" w:fill="FFFFFF"/>
            <w:noWrap/>
            <w:vAlign w:val="center"/>
            <w:hideMark/>
          </w:tcPr>
          <w:p w14:paraId="3FA4D59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67.1</w:t>
            </w:r>
          </w:p>
        </w:tc>
        <w:tc>
          <w:tcPr>
            <w:tcW w:w="629" w:type="dxa"/>
            <w:tcBorders>
              <w:top w:val="nil"/>
              <w:left w:val="nil"/>
              <w:bottom w:val="single" w:sz="8" w:space="0" w:color="DCDDDE"/>
              <w:right w:val="nil"/>
            </w:tcBorders>
            <w:shd w:val="clear" w:color="000000" w:fill="FFFFFF"/>
            <w:noWrap/>
            <w:vAlign w:val="center"/>
            <w:hideMark/>
          </w:tcPr>
          <w:p w14:paraId="31A3F65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74.2</w:t>
            </w:r>
          </w:p>
        </w:tc>
        <w:tc>
          <w:tcPr>
            <w:tcW w:w="626" w:type="dxa"/>
            <w:tcBorders>
              <w:top w:val="nil"/>
              <w:left w:val="nil"/>
              <w:bottom w:val="single" w:sz="8" w:space="0" w:color="DCDDDE"/>
              <w:right w:val="nil"/>
            </w:tcBorders>
            <w:shd w:val="clear" w:color="000000" w:fill="FFFFFF"/>
            <w:noWrap/>
            <w:vAlign w:val="center"/>
            <w:hideMark/>
          </w:tcPr>
          <w:p w14:paraId="7A2DA5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75.7</w:t>
            </w:r>
          </w:p>
        </w:tc>
        <w:tc>
          <w:tcPr>
            <w:tcW w:w="626" w:type="dxa"/>
            <w:tcBorders>
              <w:top w:val="nil"/>
              <w:left w:val="nil"/>
              <w:bottom w:val="single" w:sz="8" w:space="0" w:color="DCDDDE"/>
              <w:right w:val="nil"/>
            </w:tcBorders>
            <w:shd w:val="clear" w:color="000000" w:fill="FFFFFF"/>
            <w:noWrap/>
            <w:vAlign w:val="center"/>
            <w:hideMark/>
          </w:tcPr>
          <w:p w14:paraId="4433B1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89.9</w:t>
            </w:r>
          </w:p>
        </w:tc>
        <w:tc>
          <w:tcPr>
            <w:tcW w:w="626" w:type="dxa"/>
            <w:tcBorders>
              <w:top w:val="nil"/>
              <w:left w:val="nil"/>
              <w:bottom w:val="single" w:sz="8" w:space="0" w:color="DCDDDE"/>
              <w:right w:val="nil"/>
            </w:tcBorders>
            <w:shd w:val="clear" w:color="000000" w:fill="FFFFFF"/>
            <w:noWrap/>
            <w:vAlign w:val="center"/>
            <w:hideMark/>
          </w:tcPr>
          <w:p w14:paraId="0E2252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97.0</w:t>
            </w:r>
          </w:p>
        </w:tc>
        <w:tc>
          <w:tcPr>
            <w:tcW w:w="626" w:type="dxa"/>
            <w:tcBorders>
              <w:top w:val="nil"/>
              <w:left w:val="nil"/>
              <w:bottom w:val="single" w:sz="8" w:space="0" w:color="DCDDDE"/>
              <w:right w:val="nil"/>
            </w:tcBorders>
            <w:shd w:val="clear" w:color="000000" w:fill="FFFFFF"/>
            <w:noWrap/>
            <w:vAlign w:val="center"/>
            <w:hideMark/>
          </w:tcPr>
          <w:p w14:paraId="55D67C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120.4</w:t>
            </w:r>
          </w:p>
        </w:tc>
        <w:tc>
          <w:tcPr>
            <w:tcW w:w="626" w:type="dxa"/>
            <w:tcBorders>
              <w:top w:val="nil"/>
              <w:left w:val="nil"/>
              <w:bottom w:val="single" w:sz="8" w:space="0" w:color="DCDDDE"/>
              <w:right w:val="nil"/>
            </w:tcBorders>
            <w:shd w:val="clear" w:color="000000" w:fill="FFFFFF"/>
            <w:noWrap/>
            <w:vAlign w:val="center"/>
            <w:hideMark/>
          </w:tcPr>
          <w:p w14:paraId="207C4DC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124.1</w:t>
            </w:r>
          </w:p>
        </w:tc>
        <w:tc>
          <w:tcPr>
            <w:tcW w:w="626" w:type="dxa"/>
            <w:tcBorders>
              <w:top w:val="nil"/>
              <w:left w:val="nil"/>
              <w:bottom w:val="single" w:sz="8" w:space="0" w:color="DCDDDE"/>
              <w:right w:val="nil"/>
            </w:tcBorders>
            <w:shd w:val="clear" w:color="000000" w:fill="FFFFFF"/>
            <w:noWrap/>
            <w:vAlign w:val="center"/>
            <w:hideMark/>
          </w:tcPr>
          <w:p w14:paraId="5BC0B37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129.0</w:t>
            </w:r>
          </w:p>
        </w:tc>
        <w:tc>
          <w:tcPr>
            <w:tcW w:w="626" w:type="dxa"/>
            <w:tcBorders>
              <w:top w:val="nil"/>
              <w:left w:val="nil"/>
              <w:bottom w:val="single" w:sz="8" w:space="0" w:color="DCDDDE"/>
              <w:right w:val="nil"/>
            </w:tcBorders>
            <w:shd w:val="clear" w:color="000000" w:fill="FFFFFF"/>
            <w:noWrap/>
            <w:vAlign w:val="center"/>
            <w:hideMark/>
          </w:tcPr>
          <w:p w14:paraId="0AB0E25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129.5</w:t>
            </w:r>
          </w:p>
        </w:tc>
        <w:tc>
          <w:tcPr>
            <w:tcW w:w="626" w:type="dxa"/>
            <w:tcBorders>
              <w:top w:val="nil"/>
              <w:left w:val="nil"/>
              <w:bottom w:val="single" w:sz="8" w:space="0" w:color="DCDDDE"/>
              <w:right w:val="nil"/>
            </w:tcBorders>
            <w:shd w:val="clear" w:color="000000" w:fill="FFFFFF"/>
            <w:noWrap/>
            <w:vAlign w:val="center"/>
            <w:hideMark/>
          </w:tcPr>
          <w:p w14:paraId="3EE74F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131.6</w:t>
            </w:r>
          </w:p>
        </w:tc>
        <w:tc>
          <w:tcPr>
            <w:tcW w:w="626" w:type="dxa"/>
            <w:tcBorders>
              <w:top w:val="nil"/>
              <w:left w:val="nil"/>
              <w:bottom w:val="single" w:sz="8" w:space="0" w:color="DCDDDE"/>
              <w:right w:val="nil"/>
            </w:tcBorders>
            <w:shd w:val="clear" w:color="000000" w:fill="FFFFFF"/>
            <w:noWrap/>
            <w:vAlign w:val="center"/>
            <w:hideMark/>
          </w:tcPr>
          <w:p w14:paraId="4AE8DBF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133.8</w:t>
            </w:r>
          </w:p>
        </w:tc>
        <w:tc>
          <w:tcPr>
            <w:tcW w:w="626" w:type="dxa"/>
            <w:tcBorders>
              <w:top w:val="nil"/>
              <w:left w:val="nil"/>
              <w:bottom w:val="single" w:sz="8" w:space="0" w:color="DCDDDE"/>
              <w:right w:val="nil"/>
            </w:tcBorders>
            <w:shd w:val="clear" w:color="000000" w:fill="FFFFFF"/>
            <w:noWrap/>
            <w:vAlign w:val="center"/>
            <w:hideMark/>
          </w:tcPr>
          <w:p w14:paraId="624C7CE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134.3</w:t>
            </w:r>
          </w:p>
        </w:tc>
        <w:tc>
          <w:tcPr>
            <w:tcW w:w="626" w:type="dxa"/>
            <w:tcBorders>
              <w:top w:val="nil"/>
              <w:left w:val="nil"/>
              <w:bottom w:val="single" w:sz="8" w:space="0" w:color="DCDDDE"/>
              <w:right w:val="nil"/>
            </w:tcBorders>
            <w:shd w:val="clear" w:color="000000" w:fill="FFFFFF"/>
            <w:noWrap/>
            <w:vAlign w:val="center"/>
            <w:hideMark/>
          </w:tcPr>
          <w:p w14:paraId="2B61B8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133.7</w:t>
            </w:r>
          </w:p>
        </w:tc>
      </w:tr>
      <w:tr w:rsidR="00181744" w:rsidRPr="00181744" w14:paraId="48B30D30"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57653B8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29" w:type="dxa"/>
            <w:tcBorders>
              <w:top w:val="nil"/>
              <w:left w:val="nil"/>
              <w:bottom w:val="single" w:sz="8" w:space="0" w:color="DCDDDE"/>
              <w:right w:val="nil"/>
            </w:tcBorders>
            <w:shd w:val="clear" w:color="000000" w:fill="FFFFFF"/>
            <w:noWrap/>
            <w:vAlign w:val="center"/>
            <w:hideMark/>
          </w:tcPr>
          <w:p w14:paraId="61A8C23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168.0</w:t>
            </w:r>
          </w:p>
        </w:tc>
        <w:tc>
          <w:tcPr>
            <w:tcW w:w="629" w:type="dxa"/>
            <w:tcBorders>
              <w:top w:val="nil"/>
              <w:left w:val="nil"/>
              <w:bottom w:val="single" w:sz="8" w:space="0" w:color="DCDDDE"/>
              <w:right w:val="nil"/>
            </w:tcBorders>
            <w:shd w:val="clear" w:color="000000" w:fill="FFFFFF"/>
            <w:noWrap/>
            <w:vAlign w:val="center"/>
            <w:hideMark/>
          </w:tcPr>
          <w:p w14:paraId="222EB5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168.6</w:t>
            </w:r>
          </w:p>
        </w:tc>
        <w:tc>
          <w:tcPr>
            <w:tcW w:w="626" w:type="dxa"/>
            <w:tcBorders>
              <w:top w:val="nil"/>
              <w:left w:val="nil"/>
              <w:bottom w:val="single" w:sz="8" w:space="0" w:color="DCDDDE"/>
              <w:right w:val="nil"/>
            </w:tcBorders>
            <w:shd w:val="clear" w:color="000000" w:fill="FFFFFF"/>
            <w:noWrap/>
            <w:vAlign w:val="center"/>
            <w:hideMark/>
          </w:tcPr>
          <w:p w14:paraId="74E5B3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184.8</w:t>
            </w:r>
          </w:p>
        </w:tc>
        <w:tc>
          <w:tcPr>
            <w:tcW w:w="626" w:type="dxa"/>
            <w:tcBorders>
              <w:top w:val="nil"/>
              <w:left w:val="nil"/>
              <w:bottom w:val="single" w:sz="8" w:space="0" w:color="DCDDDE"/>
              <w:right w:val="nil"/>
            </w:tcBorders>
            <w:shd w:val="clear" w:color="000000" w:fill="FFFFFF"/>
            <w:noWrap/>
            <w:vAlign w:val="center"/>
            <w:hideMark/>
          </w:tcPr>
          <w:p w14:paraId="2B3582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215.3</w:t>
            </w:r>
          </w:p>
        </w:tc>
        <w:tc>
          <w:tcPr>
            <w:tcW w:w="626" w:type="dxa"/>
            <w:tcBorders>
              <w:top w:val="nil"/>
              <w:left w:val="nil"/>
              <w:bottom w:val="single" w:sz="8" w:space="0" w:color="DCDDDE"/>
              <w:right w:val="nil"/>
            </w:tcBorders>
            <w:shd w:val="clear" w:color="000000" w:fill="FFFFFF"/>
            <w:noWrap/>
            <w:vAlign w:val="center"/>
            <w:hideMark/>
          </w:tcPr>
          <w:p w14:paraId="3EEA2F6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211.6</w:t>
            </w:r>
          </w:p>
        </w:tc>
        <w:tc>
          <w:tcPr>
            <w:tcW w:w="626" w:type="dxa"/>
            <w:tcBorders>
              <w:top w:val="nil"/>
              <w:left w:val="nil"/>
              <w:bottom w:val="single" w:sz="8" w:space="0" w:color="DCDDDE"/>
              <w:right w:val="nil"/>
            </w:tcBorders>
            <w:shd w:val="clear" w:color="000000" w:fill="FFFFFF"/>
            <w:noWrap/>
            <w:vAlign w:val="center"/>
            <w:hideMark/>
          </w:tcPr>
          <w:p w14:paraId="392A4B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249.2</w:t>
            </w:r>
          </w:p>
        </w:tc>
        <w:tc>
          <w:tcPr>
            <w:tcW w:w="626" w:type="dxa"/>
            <w:tcBorders>
              <w:top w:val="nil"/>
              <w:left w:val="nil"/>
              <w:bottom w:val="single" w:sz="8" w:space="0" w:color="DCDDDE"/>
              <w:right w:val="nil"/>
            </w:tcBorders>
            <w:shd w:val="clear" w:color="000000" w:fill="FFFFFF"/>
            <w:noWrap/>
            <w:vAlign w:val="center"/>
            <w:hideMark/>
          </w:tcPr>
          <w:p w14:paraId="26B0A3F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241.1</w:t>
            </w:r>
          </w:p>
        </w:tc>
        <w:tc>
          <w:tcPr>
            <w:tcW w:w="626" w:type="dxa"/>
            <w:tcBorders>
              <w:top w:val="nil"/>
              <w:left w:val="nil"/>
              <w:bottom w:val="single" w:sz="8" w:space="0" w:color="DCDDDE"/>
              <w:right w:val="nil"/>
            </w:tcBorders>
            <w:shd w:val="clear" w:color="000000" w:fill="FFFFFF"/>
            <w:noWrap/>
            <w:vAlign w:val="center"/>
            <w:hideMark/>
          </w:tcPr>
          <w:p w14:paraId="618DEE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235.8</w:t>
            </w:r>
          </w:p>
        </w:tc>
        <w:tc>
          <w:tcPr>
            <w:tcW w:w="626" w:type="dxa"/>
            <w:tcBorders>
              <w:top w:val="nil"/>
              <w:left w:val="nil"/>
              <w:bottom w:val="single" w:sz="8" w:space="0" w:color="DCDDDE"/>
              <w:right w:val="nil"/>
            </w:tcBorders>
            <w:shd w:val="clear" w:color="000000" w:fill="FFFFFF"/>
            <w:noWrap/>
            <w:vAlign w:val="center"/>
            <w:hideMark/>
          </w:tcPr>
          <w:p w14:paraId="1D13D18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229.4</w:t>
            </w:r>
          </w:p>
        </w:tc>
        <w:tc>
          <w:tcPr>
            <w:tcW w:w="626" w:type="dxa"/>
            <w:tcBorders>
              <w:top w:val="nil"/>
              <w:left w:val="nil"/>
              <w:bottom w:val="single" w:sz="8" w:space="0" w:color="DCDDDE"/>
              <w:right w:val="nil"/>
            </w:tcBorders>
            <w:shd w:val="clear" w:color="000000" w:fill="FFFFFF"/>
            <w:noWrap/>
            <w:vAlign w:val="center"/>
            <w:hideMark/>
          </w:tcPr>
          <w:p w14:paraId="1C5A74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226.0</w:t>
            </w:r>
          </w:p>
        </w:tc>
        <w:tc>
          <w:tcPr>
            <w:tcW w:w="626" w:type="dxa"/>
            <w:tcBorders>
              <w:top w:val="nil"/>
              <w:left w:val="nil"/>
              <w:bottom w:val="single" w:sz="8" w:space="0" w:color="DCDDDE"/>
              <w:right w:val="nil"/>
            </w:tcBorders>
            <w:shd w:val="clear" w:color="000000" w:fill="FFFFFF"/>
            <w:noWrap/>
            <w:vAlign w:val="center"/>
            <w:hideMark/>
          </w:tcPr>
          <w:p w14:paraId="5520E7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217.4</w:t>
            </w:r>
          </w:p>
        </w:tc>
        <w:tc>
          <w:tcPr>
            <w:tcW w:w="626" w:type="dxa"/>
            <w:tcBorders>
              <w:top w:val="nil"/>
              <w:left w:val="nil"/>
              <w:bottom w:val="single" w:sz="8" w:space="0" w:color="DCDDDE"/>
              <w:right w:val="nil"/>
            </w:tcBorders>
            <w:shd w:val="clear" w:color="000000" w:fill="FFFFFF"/>
            <w:noWrap/>
            <w:vAlign w:val="center"/>
            <w:hideMark/>
          </w:tcPr>
          <w:p w14:paraId="6A69D8C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203.8</w:t>
            </w:r>
          </w:p>
        </w:tc>
        <w:tc>
          <w:tcPr>
            <w:tcW w:w="626" w:type="dxa"/>
            <w:tcBorders>
              <w:top w:val="nil"/>
              <w:left w:val="nil"/>
              <w:bottom w:val="single" w:sz="8" w:space="0" w:color="DCDDDE"/>
              <w:right w:val="nil"/>
            </w:tcBorders>
            <w:shd w:val="clear" w:color="000000" w:fill="FFFFFF"/>
            <w:noWrap/>
            <w:vAlign w:val="center"/>
            <w:hideMark/>
          </w:tcPr>
          <w:p w14:paraId="79AEF9D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190.8</w:t>
            </w:r>
          </w:p>
        </w:tc>
      </w:tr>
      <w:tr w:rsidR="00181744" w:rsidRPr="00181744" w14:paraId="7306E9F5"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180DB5E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29" w:type="dxa"/>
            <w:tcBorders>
              <w:top w:val="nil"/>
              <w:left w:val="nil"/>
              <w:bottom w:val="single" w:sz="8" w:space="0" w:color="DCDDDE"/>
              <w:right w:val="nil"/>
            </w:tcBorders>
            <w:shd w:val="clear" w:color="000000" w:fill="FFFFFF"/>
            <w:noWrap/>
            <w:vAlign w:val="center"/>
            <w:hideMark/>
          </w:tcPr>
          <w:p w14:paraId="6107C24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13.2</w:t>
            </w:r>
          </w:p>
        </w:tc>
        <w:tc>
          <w:tcPr>
            <w:tcW w:w="629" w:type="dxa"/>
            <w:tcBorders>
              <w:top w:val="nil"/>
              <w:left w:val="nil"/>
              <w:bottom w:val="single" w:sz="8" w:space="0" w:color="DCDDDE"/>
              <w:right w:val="nil"/>
            </w:tcBorders>
            <w:shd w:val="clear" w:color="000000" w:fill="FFFFFF"/>
            <w:noWrap/>
            <w:vAlign w:val="center"/>
            <w:hideMark/>
          </w:tcPr>
          <w:p w14:paraId="01B5A89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16.1</w:t>
            </w:r>
          </w:p>
        </w:tc>
        <w:tc>
          <w:tcPr>
            <w:tcW w:w="626" w:type="dxa"/>
            <w:tcBorders>
              <w:top w:val="nil"/>
              <w:left w:val="nil"/>
              <w:bottom w:val="single" w:sz="8" w:space="0" w:color="DCDDDE"/>
              <w:right w:val="nil"/>
            </w:tcBorders>
            <w:shd w:val="clear" w:color="000000" w:fill="FFFFFF"/>
            <w:noWrap/>
            <w:vAlign w:val="center"/>
            <w:hideMark/>
          </w:tcPr>
          <w:p w14:paraId="3112620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w:t>
            </w:r>
          </w:p>
        </w:tc>
        <w:tc>
          <w:tcPr>
            <w:tcW w:w="626" w:type="dxa"/>
            <w:tcBorders>
              <w:top w:val="nil"/>
              <w:left w:val="nil"/>
              <w:bottom w:val="single" w:sz="8" w:space="0" w:color="DCDDDE"/>
              <w:right w:val="nil"/>
            </w:tcBorders>
            <w:shd w:val="clear" w:color="000000" w:fill="FFFFFF"/>
            <w:noWrap/>
            <w:vAlign w:val="center"/>
            <w:hideMark/>
          </w:tcPr>
          <w:p w14:paraId="294896D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20.0</w:t>
            </w:r>
          </w:p>
        </w:tc>
        <w:tc>
          <w:tcPr>
            <w:tcW w:w="626" w:type="dxa"/>
            <w:tcBorders>
              <w:top w:val="nil"/>
              <w:left w:val="nil"/>
              <w:bottom w:val="single" w:sz="8" w:space="0" w:color="DCDDDE"/>
              <w:right w:val="nil"/>
            </w:tcBorders>
            <w:shd w:val="clear" w:color="000000" w:fill="FFFFFF"/>
            <w:noWrap/>
            <w:vAlign w:val="center"/>
            <w:hideMark/>
          </w:tcPr>
          <w:p w14:paraId="60CEB7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w:t>
            </w:r>
          </w:p>
        </w:tc>
        <w:tc>
          <w:tcPr>
            <w:tcW w:w="626" w:type="dxa"/>
            <w:tcBorders>
              <w:top w:val="nil"/>
              <w:left w:val="nil"/>
              <w:bottom w:val="single" w:sz="8" w:space="0" w:color="DCDDDE"/>
              <w:right w:val="nil"/>
            </w:tcBorders>
            <w:shd w:val="clear" w:color="000000" w:fill="FFFFFF"/>
            <w:noWrap/>
            <w:vAlign w:val="center"/>
            <w:hideMark/>
          </w:tcPr>
          <w:p w14:paraId="756A3D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23.8</w:t>
            </w:r>
          </w:p>
        </w:tc>
        <w:tc>
          <w:tcPr>
            <w:tcW w:w="626" w:type="dxa"/>
            <w:tcBorders>
              <w:top w:val="nil"/>
              <w:left w:val="nil"/>
              <w:bottom w:val="single" w:sz="8" w:space="0" w:color="DCDDDE"/>
              <w:right w:val="nil"/>
            </w:tcBorders>
            <w:shd w:val="clear" w:color="000000" w:fill="FFFFFF"/>
            <w:noWrap/>
            <w:vAlign w:val="center"/>
            <w:hideMark/>
          </w:tcPr>
          <w:p w14:paraId="07D27B6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25.9</w:t>
            </w:r>
          </w:p>
        </w:tc>
        <w:tc>
          <w:tcPr>
            <w:tcW w:w="626" w:type="dxa"/>
            <w:tcBorders>
              <w:top w:val="nil"/>
              <w:left w:val="nil"/>
              <w:bottom w:val="single" w:sz="8" w:space="0" w:color="DCDDDE"/>
              <w:right w:val="nil"/>
            </w:tcBorders>
            <w:shd w:val="clear" w:color="000000" w:fill="FFFFFF"/>
            <w:noWrap/>
            <w:vAlign w:val="center"/>
            <w:hideMark/>
          </w:tcPr>
          <w:p w14:paraId="30D5F2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28.5</w:t>
            </w:r>
          </w:p>
        </w:tc>
        <w:tc>
          <w:tcPr>
            <w:tcW w:w="626" w:type="dxa"/>
            <w:tcBorders>
              <w:top w:val="nil"/>
              <w:left w:val="nil"/>
              <w:bottom w:val="single" w:sz="8" w:space="0" w:color="DCDDDE"/>
              <w:right w:val="nil"/>
            </w:tcBorders>
            <w:shd w:val="clear" w:color="000000" w:fill="FFFFFF"/>
            <w:noWrap/>
            <w:vAlign w:val="center"/>
            <w:hideMark/>
          </w:tcPr>
          <w:p w14:paraId="1ABA1E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30.9</w:t>
            </w:r>
          </w:p>
        </w:tc>
        <w:tc>
          <w:tcPr>
            <w:tcW w:w="626" w:type="dxa"/>
            <w:tcBorders>
              <w:top w:val="nil"/>
              <w:left w:val="nil"/>
              <w:bottom w:val="single" w:sz="8" w:space="0" w:color="DCDDDE"/>
              <w:right w:val="nil"/>
            </w:tcBorders>
            <w:shd w:val="clear" w:color="000000" w:fill="FFFFFF"/>
            <w:noWrap/>
            <w:vAlign w:val="center"/>
            <w:hideMark/>
          </w:tcPr>
          <w:p w14:paraId="712615F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33.3</w:t>
            </w:r>
          </w:p>
        </w:tc>
        <w:tc>
          <w:tcPr>
            <w:tcW w:w="626" w:type="dxa"/>
            <w:tcBorders>
              <w:top w:val="nil"/>
              <w:left w:val="nil"/>
              <w:bottom w:val="single" w:sz="8" w:space="0" w:color="DCDDDE"/>
              <w:right w:val="nil"/>
            </w:tcBorders>
            <w:shd w:val="clear" w:color="000000" w:fill="FFFFFF"/>
            <w:noWrap/>
            <w:vAlign w:val="center"/>
            <w:hideMark/>
          </w:tcPr>
          <w:p w14:paraId="5D24C95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35.8</w:t>
            </w:r>
          </w:p>
        </w:tc>
        <w:tc>
          <w:tcPr>
            <w:tcW w:w="626" w:type="dxa"/>
            <w:tcBorders>
              <w:top w:val="nil"/>
              <w:left w:val="nil"/>
              <w:bottom w:val="single" w:sz="8" w:space="0" w:color="DCDDDE"/>
              <w:right w:val="nil"/>
            </w:tcBorders>
            <w:shd w:val="clear" w:color="000000" w:fill="FFFFFF"/>
            <w:noWrap/>
            <w:vAlign w:val="center"/>
            <w:hideMark/>
          </w:tcPr>
          <w:p w14:paraId="674C11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38.4</w:t>
            </w:r>
          </w:p>
        </w:tc>
        <w:tc>
          <w:tcPr>
            <w:tcW w:w="626" w:type="dxa"/>
            <w:tcBorders>
              <w:top w:val="nil"/>
              <w:left w:val="nil"/>
              <w:bottom w:val="single" w:sz="8" w:space="0" w:color="DCDDDE"/>
              <w:right w:val="nil"/>
            </w:tcBorders>
            <w:shd w:val="clear" w:color="000000" w:fill="FFFFFF"/>
            <w:noWrap/>
            <w:vAlign w:val="center"/>
            <w:hideMark/>
          </w:tcPr>
          <w:p w14:paraId="6C4A21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40.1</w:t>
            </w:r>
          </w:p>
        </w:tc>
      </w:tr>
      <w:tr w:rsidR="00181744" w:rsidRPr="00181744" w14:paraId="0ED73071"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6B4A505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29" w:type="dxa"/>
            <w:tcBorders>
              <w:top w:val="nil"/>
              <w:left w:val="nil"/>
              <w:bottom w:val="single" w:sz="8" w:space="0" w:color="DCDDDE"/>
              <w:right w:val="nil"/>
            </w:tcBorders>
            <w:shd w:val="clear" w:color="000000" w:fill="FFFFFF"/>
            <w:noWrap/>
            <w:vAlign w:val="center"/>
            <w:hideMark/>
          </w:tcPr>
          <w:p w14:paraId="1CFA037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29" w:type="dxa"/>
            <w:tcBorders>
              <w:top w:val="nil"/>
              <w:left w:val="nil"/>
              <w:bottom w:val="single" w:sz="8" w:space="0" w:color="DCDDDE"/>
              <w:right w:val="nil"/>
            </w:tcBorders>
            <w:shd w:val="clear" w:color="000000" w:fill="FFFFFF"/>
            <w:noWrap/>
            <w:vAlign w:val="center"/>
            <w:hideMark/>
          </w:tcPr>
          <w:p w14:paraId="3E6298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67893A5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1690B6C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8C01A6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0CC29B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20CC61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5BD712C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64F8322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20A92EE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5783B5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08A3F8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2B397E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r>
      <w:tr w:rsidR="00181744" w:rsidRPr="00181744" w14:paraId="409D2984"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706A296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29" w:type="dxa"/>
            <w:tcBorders>
              <w:top w:val="nil"/>
              <w:left w:val="nil"/>
              <w:bottom w:val="single" w:sz="8" w:space="0" w:color="DCDDDE"/>
              <w:right w:val="nil"/>
            </w:tcBorders>
            <w:shd w:val="clear" w:color="000000" w:fill="FFFFFF"/>
            <w:noWrap/>
            <w:vAlign w:val="center"/>
            <w:hideMark/>
          </w:tcPr>
          <w:p w14:paraId="33C24F4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252.0</w:t>
            </w:r>
          </w:p>
        </w:tc>
        <w:tc>
          <w:tcPr>
            <w:tcW w:w="629" w:type="dxa"/>
            <w:tcBorders>
              <w:top w:val="nil"/>
              <w:left w:val="nil"/>
              <w:bottom w:val="single" w:sz="8" w:space="0" w:color="DCDDDE"/>
              <w:right w:val="nil"/>
            </w:tcBorders>
            <w:shd w:val="clear" w:color="000000" w:fill="FFFFFF"/>
            <w:noWrap/>
            <w:vAlign w:val="center"/>
            <w:hideMark/>
          </w:tcPr>
          <w:p w14:paraId="4067EC9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262.6</w:t>
            </w:r>
          </w:p>
        </w:tc>
        <w:tc>
          <w:tcPr>
            <w:tcW w:w="626" w:type="dxa"/>
            <w:tcBorders>
              <w:top w:val="nil"/>
              <w:left w:val="nil"/>
              <w:bottom w:val="single" w:sz="8" w:space="0" w:color="DCDDDE"/>
              <w:right w:val="nil"/>
            </w:tcBorders>
            <w:shd w:val="clear" w:color="000000" w:fill="FFFFFF"/>
            <w:noWrap/>
            <w:vAlign w:val="center"/>
            <w:hideMark/>
          </w:tcPr>
          <w:p w14:paraId="6DEC7DF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282.2</w:t>
            </w:r>
          </w:p>
        </w:tc>
        <w:tc>
          <w:tcPr>
            <w:tcW w:w="626" w:type="dxa"/>
            <w:tcBorders>
              <w:top w:val="nil"/>
              <w:left w:val="nil"/>
              <w:bottom w:val="single" w:sz="8" w:space="0" w:color="DCDDDE"/>
              <w:right w:val="nil"/>
            </w:tcBorders>
            <w:shd w:val="clear" w:color="000000" w:fill="FFFFFF"/>
            <w:noWrap/>
            <w:vAlign w:val="center"/>
            <w:hideMark/>
          </w:tcPr>
          <w:p w14:paraId="24A8C15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325.9</w:t>
            </w:r>
          </w:p>
        </w:tc>
        <w:tc>
          <w:tcPr>
            <w:tcW w:w="626" w:type="dxa"/>
            <w:tcBorders>
              <w:top w:val="nil"/>
              <w:left w:val="nil"/>
              <w:bottom w:val="single" w:sz="8" w:space="0" w:color="DCDDDE"/>
              <w:right w:val="nil"/>
            </w:tcBorders>
            <w:shd w:val="clear" w:color="000000" w:fill="FFFFFF"/>
            <w:noWrap/>
            <w:vAlign w:val="center"/>
            <w:hideMark/>
          </w:tcPr>
          <w:p w14:paraId="790E46B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331.2</w:t>
            </w:r>
          </w:p>
        </w:tc>
        <w:tc>
          <w:tcPr>
            <w:tcW w:w="626" w:type="dxa"/>
            <w:tcBorders>
              <w:top w:val="nil"/>
              <w:left w:val="nil"/>
              <w:bottom w:val="single" w:sz="8" w:space="0" w:color="DCDDDE"/>
              <w:right w:val="nil"/>
            </w:tcBorders>
            <w:shd w:val="clear" w:color="000000" w:fill="FFFFFF"/>
            <w:noWrap/>
            <w:vAlign w:val="center"/>
            <w:hideMark/>
          </w:tcPr>
          <w:p w14:paraId="33BC2DC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394.2</w:t>
            </w:r>
          </w:p>
        </w:tc>
        <w:tc>
          <w:tcPr>
            <w:tcW w:w="626" w:type="dxa"/>
            <w:tcBorders>
              <w:top w:val="nil"/>
              <w:left w:val="nil"/>
              <w:bottom w:val="single" w:sz="8" w:space="0" w:color="DCDDDE"/>
              <w:right w:val="nil"/>
            </w:tcBorders>
            <w:shd w:val="clear" w:color="000000" w:fill="FFFFFF"/>
            <w:noWrap/>
            <w:vAlign w:val="center"/>
            <w:hideMark/>
          </w:tcPr>
          <w:p w14:paraId="55350DD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391.8</w:t>
            </w:r>
          </w:p>
        </w:tc>
        <w:tc>
          <w:tcPr>
            <w:tcW w:w="626" w:type="dxa"/>
            <w:tcBorders>
              <w:top w:val="nil"/>
              <w:left w:val="nil"/>
              <w:bottom w:val="single" w:sz="8" w:space="0" w:color="DCDDDE"/>
              <w:right w:val="nil"/>
            </w:tcBorders>
            <w:shd w:val="clear" w:color="000000" w:fill="FFFFFF"/>
            <w:noWrap/>
            <w:vAlign w:val="center"/>
            <w:hideMark/>
          </w:tcPr>
          <w:p w14:paraId="6F602C0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394.0</w:t>
            </w:r>
          </w:p>
        </w:tc>
        <w:tc>
          <w:tcPr>
            <w:tcW w:w="626" w:type="dxa"/>
            <w:tcBorders>
              <w:top w:val="nil"/>
              <w:left w:val="nil"/>
              <w:bottom w:val="single" w:sz="8" w:space="0" w:color="DCDDDE"/>
              <w:right w:val="nil"/>
            </w:tcBorders>
            <w:shd w:val="clear" w:color="000000" w:fill="FFFFFF"/>
            <w:noWrap/>
            <w:vAlign w:val="center"/>
            <w:hideMark/>
          </w:tcPr>
          <w:p w14:paraId="5785A9E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390.6</w:t>
            </w:r>
          </w:p>
        </w:tc>
        <w:tc>
          <w:tcPr>
            <w:tcW w:w="626" w:type="dxa"/>
            <w:tcBorders>
              <w:top w:val="nil"/>
              <w:left w:val="nil"/>
              <w:bottom w:val="single" w:sz="8" w:space="0" w:color="DCDDDE"/>
              <w:right w:val="nil"/>
            </w:tcBorders>
            <w:shd w:val="clear" w:color="000000" w:fill="FFFFFF"/>
            <w:noWrap/>
            <w:vAlign w:val="center"/>
            <w:hideMark/>
          </w:tcPr>
          <w:p w14:paraId="3DD33CD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391.7</w:t>
            </w:r>
          </w:p>
        </w:tc>
        <w:tc>
          <w:tcPr>
            <w:tcW w:w="626" w:type="dxa"/>
            <w:tcBorders>
              <w:top w:val="nil"/>
              <w:left w:val="nil"/>
              <w:bottom w:val="single" w:sz="8" w:space="0" w:color="DCDDDE"/>
              <w:right w:val="nil"/>
            </w:tcBorders>
            <w:shd w:val="clear" w:color="000000" w:fill="FFFFFF"/>
            <w:noWrap/>
            <w:vAlign w:val="center"/>
            <w:hideMark/>
          </w:tcPr>
          <w:p w14:paraId="6BD2A42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387.7</w:t>
            </w:r>
          </w:p>
        </w:tc>
        <w:tc>
          <w:tcPr>
            <w:tcW w:w="626" w:type="dxa"/>
            <w:tcBorders>
              <w:top w:val="nil"/>
              <w:left w:val="nil"/>
              <w:bottom w:val="single" w:sz="8" w:space="0" w:color="DCDDDE"/>
              <w:right w:val="nil"/>
            </w:tcBorders>
            <w:shd w:val="clear" w:color="000000" w:fill="FFFFFF"/>
            <w:noWrap/>
            <w:vAlign w:val="center"/>
            <w:hideMark/>
          </w:tcPr>
          <w:p w14:paraId="0AEF688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377.2</w:t>
            </w:r>
          </w:p>
        </w:tc>
        <w:tc>
          <w:tcPr>
            <w:tcW w:w="626" w:type="dxa"/>
            <w:tcBorders>
              <w:top w:val="nil"/>
              <w:left w:val="nil"/>
              <w:bottom w:val="single" w:sz="8" w:space="0" w:color="DCDDDE"/>
              <w:right w:val="nil"/>
            </w:tcBorders>
            <w:shd w:val="clear" w:color="000000" w:fill="FFFFFF"/>
            <w:noWrap/>
            <w:vAlign w:val="center"/>
            <w:hideMark/>
          </w:tcPr>
          <w:p w14:paraId="1D898AC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365.3</w:t>
            </w:r>
          </w:p>
        </w:tc>
      </w:tr>
      <w:tr w:rsidR="00181744" w:rsidRPr="00181744" w14:paraId="25FDBDC9" w14:textId="77777777" w:rsidTr="00181744">
        <w:trPr>
          <w:trHeight w:val="246"/>
        </w:trPr>
        <w:tc>
          <w:tcPr>
            <w:tcW w:w="9431" w:type="dxa"/>
            <w:gridSpan w:val="15"/>
            <w:tcBorders>
              <w:top w:val="single" w:sz="8" w:space="0" w:color="DCDDDE"/>
              <w:left w:val="nil"/>
              <w:bottom w:val="single" w:sz="8" w:space="0" w:color="DCDDDE"/>
              <w:right w:val="nil"/>
            </w:tcBorders>
            <w:shd w:val="clear" w:color="000000" w:fill="DADADA"/>
            <w:noWrap/>
            <w:vAlign w:val="center"/>
            <w:hideMark/>
          </w:tcPr>
          <w:p w14:paraId="684E7C2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181744" w:rsidRPr="00181744" w14:paraId="36B5FDEF"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126684C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29" w:type="dxa"/>
            <w:tcBorders>
              <w:top w:val="nil"/>
              <w:left w:val="nil"/>
              <w:bottom w:val="single" w:sz="8" w:space="0" w:color="DCDDDE"/>
              <w:right w:val="nil"/>
            </w:tcBorders>
            <w:shd w:val="clear" w:color="000000" w:fill="FFFFFF"/>
            <w:noWrap/>
            <w:vAlign w:val="center"/>
            <w:hideMark/>
          </w:tcPr>
          <w:p w14:paraId="0200F8C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104.2</w:t>
            </w:r>
          </w:p>
        </w:tc>
        <w:tc>
          <w:tcPr>
            <w:tcW w:w="629" w:type="dxa"/>
            <w:tcBorders>
              <w:top w:val="nil"/>
              <w:left w:val="nil"/>
              <w:bottom w:val="single" w:sz="8" w:space="0" w:color="DCDDDE"/>
              <w:right w:val="nil"/>
            </w:tcBorders>
            <w:shd w:val="clear" w:color="000000" w:fill="FFFFFF"/>
            <w:noWrap/>
            <w:vAlign w:val="center"/>
            <w:hideMark/>
          </w:tcPr>
          <w:p w14:paraId="7A5491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113.0</w:t>
            </w:r>
          </w:p>
        </w:tc>
        <w:tc>
          <w:tcPr>
            <w:tcW w:w="626" w:type="dxa"/>
            <w:tcBorders>
              <w:top w:val="nil"/>
              <w:left w:val="nil"/>
              <w:bottom w:val="single" w:sz="8" w:space="0" w:color="DCDDDE"/>
              <w:right w:val="nil"/>
            </w:tcBorders>
            <w:shd w:val="clear" w:color="000000" w:fill="FFFFFF"/>
            <w:noWrap/>
            <w:vAlign w:val="center"/>
            <w:hideMark/>
          </w:tcPr>
          <w:p w14:paraId="194CB63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111.2</w:t>
            </w:r>
          </w:p>
        </w:tc>
        <w:tc>
          <w:tcPr>
            <w:tcW w:w="626" w:type="dxa"/>
            <w:tcBorders>
              <w:top w:val="nil"/>
              <w:left w:val="nil"/>
              <w:bottom w:val="single" w:sz="8" w:space="0" w:color="DCDDDE"/>
              <w:right w:val="nil"/>
            </w:tcBorders>
            <w:shd w:val="clear" w:color="000000" w:fill="FFFFFF"/>
            <w:noWrap/>
            <w:vAlign w:val="center"/>
            <w:hideMark/>
          </w:tcPr>
          <w:p w14:paraId="2EF7A3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127.9</w:t>
            </w:r>
          </w:p>
        </w:tc>
        <w:tc>
          <w:tcPr>
            <w:tcW w:w="626" w:type="dxa"/>
            <w:tcBorders>
              <w:top w:val="nil"/>
              <w:left w:val="nil"/>
              <w:bottom w:val="single" w:sz="8" w:space="0" w:color="DCDDDE"/>
              <w:right w:val="nil"/>
            </w:tcBorders>
            <w:shd w:val="clear" w:color="000000" w:fill="FFFFFF"/>
            <w:noWrap/>
            <w:vAlign w:val="center"/>
            <w:hideMark/>
          </w:tcPr>
          <w:p w14:paraId="6D3D4E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130.0</w:t>
            </w:r>
          </w:p>
        </w:tc>
        <w:tc>
          <w:tcPr>
            <w:tcW w:w="626" w:type="dxa"/>
            <w:tcBorders>
              <w:top w:val="nil"/>
              <w:left w:val="nil"/>
              <w:bottom w:val="single" w:sz="8" w:space="0" w:color="DCDDDE"/>
              <w:right w:val="nil"/>
            </w:tcBorders>
            <w:shd w:val="clear" w:color="000000" w:fill="FFFFFF"/>
            <w:noWrap/>
            <w:vAlign w:val="center"/>
            <w:hideMark/>
          </w:tcPr>
          <w:p w14:paraId="63EBC11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143.7</w:t>
            </w:r>
          </w:p>
        </w:tc>
        <w:tc>
          <w:tcPr>
            <w:tcW w:w="626" w:type="dxa"/>
            <w:tcBorders>
              <w:top w:val="nil"/>
              <w:left w:val="nil"/>
              <w:bottom w:val="single" w:sz="8" w:space="0" w:color="DCDDDE"/>
              <w:right w:val="nil"/>
            </w:tcBorders>
            <w:shd w:val="clear" w:color="000000" w:fill="FFFFFF"/>
            <w:noWrap/>
            <w:vAlign w:val="center"/>
            <w:hideMark/>
          </w:tcPr>
          <w:p w14:paraId="665CC0D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144.7</w:t>
            </w:r>
          </w:p>
        </w:tc>
        <w:tc>
          <w:tcPr>
            <w:tcW w:w="626" w:type="dxa"/>
            <w:tcBorders>
              <w:top w:val="nil"/>
              <w:left w:val="nil"/>
              <w:bottom w:val="single" w:sz="8" w:space="0" w:color="DCDDDE"/>
              <w:right w:val="nil"/>
            </w:tcBorders>
            <w:shd w:val="clear" w:color="000000" w:fill="FFFFFF"/>
            <w:noWrap/>
            <w:vAlign w:val="center"/>
            <w:hideMark/>
          </w:tcPr>
          <w:p w14:paraId="0F5DE3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146.1</w:t>
            </w:r>
          </w:p>
        </w:tc>
        <w:tc>
          <w:tcPr>
            <w:tcW w:w="626" w:type="dxa"/>
            <w:tcBorders>
              <w:top w:val="nil"/>
              <w:left w:val="nil"/>
              <w:bottom w:val="single" w:sz="8" w:space="0" w:color="DCDDDE"/>
              <w:right w:val="nil"/>
            </w:tcBorders>
            <w:shd w:val="clear" w:color="000000" w:fill="FFFFFF"/>
            <w:noWrap/>
            <w:vAlign w:val="center"/>
            <w:hideMark/>
          </w:tcPr>
          <w:p w14:paraId="1FF6FDB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146.0</w:t>
            </w:r>
          </w:p>
        </w:tc>
        <w:tc>
          <w:tcPr>
            <w:tcW w:w="626" w:type="dxa"/>
            <w:tcBorders>
              <w:top w:val="nil"/>
              <w:left w:val="nil"/>
              <w:bottom w:val="single" w:sz="8" w:space="0" w:color="DCDDDE"/>
              <w:right w:val="nil"/>
            </w:tcBorders>
            <w:shd w:val="clear" w:color="000000" w:fill="FFFFFF"/>
            <w:noWrap/>
            <w:vAlign w:val="center"/>
            <w:hideMark/>
          </w:tcPr>
          <w:p w14:paraId="61701B7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146.9</w:t>
            </w:r>
          </w:p>
        </w:tc>
        <w:tc>
          <w:tcPr>
            <w:tcW w:w="626" w:type="dxa"/>
            <w:tcBorders>
              <w:top w:val="nil"/>
              <w:left w:val="nil"/>
              <w:bottom w:val="single" w:sz="8" w:space="0" w:color="DCDDDE"/>
              <w:right w:val="nil"/>
            </w:tcBorders>
            <w:shd w:val="clear" w:color="000000" w:fill="FFFFFF"/>
            <w:noWrap/>
            <w:vAlign w:val="center"/>
            <w:hideMark/>
          </w:tcPr>
          <w:p w14:paraId="24DA70B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148.0</w:t>
            </w:r>
          </w:p>
        </w:tc>
        <w:tc>
          <w:tcPr>
            <w:tcW w:w="626" w:type="dxa"/>
            <w:tcBorders>
              <w:top w:val="nil"/>
              <w:left w:val="nil"/>
              <w:bottom w:val="single" w:sz="8" w:space="0" w:color="DCDDDE"/>
              <w:right w:val="nil"/>
            </w:tcBorders>
            <w:shd w:val="clear" w:color="000000" w:fill="FFFFFF"/>
            <w:noWrap/>
            <w:vAlign w:val="center"/>
            <w:hideMark/>
          </w:tcPr>
          <w:p w14:paraId="6B23A13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149.3</w:t>
            </w:r>
          </w:p>
        </w:tc>
        <w:tc>
          <w:tcPr>
            <w:tcW w:w="626" w:type="dxa"/>
            <w:tcBorders>
              <w:top w:val="nil"/>
              <w:left w:val="nil"/>
              <w:bottom w:val="single" w:sz="8" w:space="0" w:color="DCDDDE"/>
              <w:right w:val="nil"/>
            </w:tcBorders>
            <w:shd w:val="clear" w:color="000000" w:fill="FFFFFF"/>
            <w:noWrap/>
            <w:vAlign w:val="center"/>
            <w:hideMark/>
          </w:tcPr>
          <w:p w14:paraId="50ED327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148.6</w:t>
            </w:r>
          </w:p>
        </w:tc>
      </w:tr>
      <w:tr w:rsidR="00181744" w:rsidRPr="00181744" w14:paraId="77CCFEB8"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7EDB999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29" w:type="dxa"/>
            <w:tcBorders>
              <w:top w:val="nil"/>
              <w:left w:val="nil"/>
              <w:bottom w:val="single" w:sz="8" w:space="0" w:color="DCDDDE"/>
              <w:right w:val="nil"/>
            </w:tcBorders>
            <w:shd w:val="clear" w:color="000000" w:fill="FFFFFF"/>
            <w:noWrap/>
            <w:vAlign w:val="center"/>
            <w:hideMark/>
          </w:tcPr>
          <w:p w14:paraId="499FC83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168.0</w:t>
            </w:r>
          </w:p>
        </w:tc>
        <w:tc>
          <w:tcPr>
            <w:tcW w:w="629" w:type="dxa"/>
            <w:tcBorders>
              <w:top w:val="nil"/>
              <w:left w:val="nil"/>
              <w:bottom w:val="single" w:sz="8" w:space="0" w:color="DCDDDE"/>
              <w:right w:val="nil"/>
            </w:tcBorders>
            <w:shd w:val="clear" w:color="000000" w:fill="FFFFFF"/>
            <w:noWrap/>
            <w:vAlign w:val="center"/>
            <w:hideMark/>
          </w:tcPr>
          <w:p w14:paraId="11D0ACC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168.6</w:t>
            </w:r>
          </w:p>
        </w:tc>
        <w:tc>
          <w:tcPr>
            <w:tcW w:w="626" w:type="dxa"/>
            <w:tcBorders>
              <w:top w:val="nil"/>
              <w:left w:val="nil"/>
              <w:bottom w:val="single" w:sz="8" w:space="0" w:color="DCDDDE"/>
              <w:right w:val="nil"/>
            </w:tcBorders>
            <w:shd w:val="clear" w:color="000000" w:fill="FFFFFF"/>
            <w:noWrap/>
            <w:vAlign w:val="center"/>
            <w:hideMark/>
          </w:tcPr>
          <w:p w14:paraId="0D818DD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184.8</w:t>
            </w:r>
          </w:p>
        </w:tc>
        <w:tc>
          <w:tcPr>
            <w:tcW w:w="626" w:type="dxa"/>
            <w:tcBorders>
              <w:top w:val="nil"/>
              <w:left w:val="nil"/>
              <w:bottom w:val="single" w:sz="8" w:space="0" w:color="DCDDDE"/>
              <w:right w:val="nil"/>
            </w:tcBorders>
            <w:shd w:val="clear" w:color="000000" w:fill="FFFFFF"/>
            <w:noWrap/>
            <w:vAlign w:val="center"/>
            <w:hideMark/>
          </w:tcPr>
          <w:p w14:paraId="3E2A22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215.3</w:t>
            </w:r>
          </w:p>
        </w:tc>
        <w:tc>
          <w:tcPr>
            <w:tcW w:w="626" w:type="dxa"/>
            <w:tcBorders>
              <w:top w:val="nil"/>
              <w:left w:val="nil"/>
              <w:bottom w:val="single" w:sz="8" w:space="0" w:color="DCDDDE"/>
              <w:right w:val="nil"/>
            </w:tcBorders>
            <w:shd w:val="clear" w:color="000000" w:fill="FFFFFF"/>
            <w:noWrap/>
            <w:vAlign w:val="center"/>
            <w:hideMark/>
          </w:tcPr>
          <w:p w14:paraId="717B773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211.6</w:t>
            </w:r>
          </w:p>
        </w:tc>
        <w:tc>
          <w:tcPr>
            <w:tcW w:w="626" w:type="dxa"/>
            <w:tcBorders>
              <w:top w:val="nil"/>
              <w:left w:val="nil"/>
              <w:bottom w:val="single" w:sz="8" w:space="0" w:color="DCDDDE"/>
              <w:right w:val="nil"/>
            </w:tcBorders>
            <w:shd w:val="clear" w:color="000000" w:fill="FFFFFF"/>
            <w:noWrap/>
            <w:vAlign w:val="center"/>
            <w:hideMark/>
          </w:tcPr>
          <w:p w14:paraId="2898B76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249.2</w:t>
            </w:r>
          </w:p>
        </w:tc>
        <w:tc>
          <w:tcPr>
            <w:tcW w:w="626" w:type="dxa"/>
            <w:tcBorders>
              <w:top w:val="nil"/>
              <w:left w:val="nil"/>
              <w:bottom w:val="single" w:sz="8" w:space="0" w:color="DCDDDE"/>
              <w:right w:val="nil"/>
            </w:tcBorders>
            <w:shd w:val="clear" w:color="000000" w:fill="FFFFFF"/>
            <w:noWrap/>
            <w:vAlign w:val="center"/>
            <w:hideMark/>
          </w:tcPr>
          <w:p w14:paraId="05C1604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241.1</w:t>
            </w:r>
          </w:p>
        </w:tc>
        <w:tc>
          <w:tcPr>
            <w:tcW w:w="626" w:type="dxa"/>
            <w:tcBorders>
              <w:top w:val="nil"/>
              <w:left w:val="nil"/>
              <w:bottom w:val="single" w:sz="8" w:space="0" w:color="DCDDDE"/>
              <w:right w:val="nil"/>
            </w:tcBorders>
            <w:shd w:val="clear" w:color="000000" w:fill="FFFFFF"/>
            <w:noWrap/>
            <w:vAlign w:val="center"/>
            <w:hideMark/>
          </w:tcPr>
          <w:p w14:paraId="66969C6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235.8</w:t>
            </w:r>
          </w:p>
        </w:tc>
        <w:tc>
          <w:tcPr>
            <w:tcW w:w="626" w:type="dxa"/>
            <w:tcBorders>
              <w:top w:val="nil"/>
              <w:left w:val="nil"/>
              <w:bottom w:val="single" w:sz="8" w:space="0" w:color="DCDDDE"/>
              <w:right w:val="nil"/>
            </w:tcBorders>
            <w:shd w:val="clear" w:color="000000" w:fill="FFFFFF"/>
            <w:noWrap/>
            <w:vAlign w:val="center"/>
            <w:hideMark/>
          </w:tcPr>
          <w:p w14:paraId="3AFA8F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229.4</w:t>
            </w:r>
          </w:p>
        </w:tc>
        <w:tc>
          <w:tcPr>
            <w:tcW w:w="626" w:type="dxa"/>
            <w:tcBorders>
              <w:top w:val="nil"/>
              <w:left w:val="nil"/>
              <w:bottom w:val="single" w:sz="8" w:space="0" w:color="DCDDDE"/>
              <w:right w:val="nil"/>
            </w:tcBorders>
            <w:shd w:val="clear" w:color="000000" w:fill="FFFFFF"/>
            <w:noWrap/>
            <w:vAlign w:val="center"/>
            <w:hideMark/>
          </w:tcPr>
          <w:p w14:paraId="394EE70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226.0</w:t>
            </w:r>
          </w:p>
        </w:tc>
        <w:tc>
          <w:tcPr>
            <w:tcW w:w="626" w:type="dxa"/>
            <w:tcBorders>
              <w:top w:val="nil"/>
              <w:left w:val="nil"/>
              <w:bottom w:val="single" w:sz="8" w:space="0" w:color="DCDDDE"/>
              <w:right w:val="nil"/>
            </w:tcBorders>
            <w:shd w:val="clear" w:color="000000" w:fill="FFFFFF"/>
            <w:noWrap/>
            <w:vAlign w:val="center"/>
            <w:hideMark/>
          </w:tcPr>
          <w:p w14:paraId="2302A4D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217.4</w:t>
            </w:r>
          </w:p>
        </w:tc>
        <w:tc>
          <w:tcPr>
            <w:tcW w:w="626" w:type="dxa"/>
            <w:tcBorders>
              <w:top w:val="nil"/>
              <w:left w:val="nil"/>
              <w:bottom w:val="single" w:sz="8" w:space="0" w:color="DCDDDE"/>
              <w:right w:val="nil"/>
            </w:tcBorders>
            <w:shd w:val="clear" w:color="000000" w:fill="FFFFFF"/>
            <w:noWrap/>
            <w:vAlign w:val="center"/>
            <w:hideMark/>
          </w:tcPr>
          <w:p w14:paraId="377A415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203.8</w:t>
            </w:r>
          </w:p>
        </w:tc>
        <w:tc>
          <w:tcPr>
            <w:tcW w:w="626" w:type="dxa"/>
            <w:tcBorders>
              <w:top w:val="nil"/>
              <w:left w:val="nil"/>
              <w:bottom w:val="single" w:sz="8" w:space="0" w:color="DCDDDE"/>
              <w:right w:val="nil"/>
            </w:tcBorders>
            <w:shd w:val="clear" w:color="000000" w:fill="FFFFFF"/>
            <w:noWrap/>
            <w:vAlign w:val="center"/>
            <w:hideMark/>
          </w:tcPr>
          <w:p w14:paraId="682894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190.8</w:t>
            </w:r>
          </w:p>
        </w:tc>
      </w:tr>
      <w:tr w:rsidR="00181744" w:rsidRPr="00181744" w14:paraId="2139D336"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0E54C90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29" w:type="dxa"/>
            <w:tcBorders>
              <w:top w:val="nil"/>
              <w:left w:val="nil"/>
              <w:bottom w:val="single" w:sz="8" w:space="0" w:color="DCDDDE"/>
              <w:right w:val="nil"/>
            </w:tcBorders>
            <w:shd w:val="clear" w:color="000000" w:fill="FFFFFF"/>
            <w:noWrap/>
            <w:vAlign w:val="center"/>
            <w:hideMark/>
          </w:tcPr>
          <w:p w14:paraId="65B04EC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13.2</w:t>
            </w:r>
          </w:p>
        </w:tc>
        <w:tc>
          <w:tcPr>
            <w:tcW w:w="629" w:type="dxa"/>
            <w:tcBorders>
              <w:top w:val="nil"/>
              <w:left w:val="nil"/>
              <w:bottom w:val="single" w:sz="8" w:space="0" w:color="DCDDDE"/>
              <w:right w:val="nil"/>
            </w:tcBorders>
            <w:shd w:val="clear" w:color="000000" w:fill="FFFFFF"/>
            <w:noWrap/>
            <w:vAlign w:val="center"/>
            <w:hideMark/>
          </w:tcPr>
          <w:p w14:paraId="37CB2E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16.1</w:t>
            </w:r>
          </w:p>
        </w:tc>
        <w:tc>
          <w:tcPr>
            <w:tcW w:w="626" w:type="dxa"/>
            <w:tcBorders>
              <w:top w:val="nil"/>
              <w:left w:val="nil"/>
              <w:bottom w:val="single" w:sz="8" w:space="0" w:color="DCDDDE"/>
              <w:right w:val="nil"/>
            </w:tcBorders>
            <w:shd w:val="clear" w:color="000000" w:fill="FFFFFF"/>
            <w:noWrap/>
            <w:vAlign w:val="center"/>
            <w:hideMark/>
          </w:tcPr>
          <w:p w14:paraId="08C637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w:t>
            </w:r>
          </w:p>
        </w:tc>
        <w:tc>
          <w:tcPr>
            <w:tcW w:w="626" w:type="dxa"/>
            <w:tcBorders>
              <w:top w:val="nil"/>
              <w:left w:val="nil"/>
              <w:bottom w:val="single" w:sz="8" w:space="0" w:color="DCDDDE"/>
              <w:right w:val="nil"/>
            </w:tcBorders>
            <w:shd w:val="clear" w:color="000000" w:fill="FFFFFF"/>
            <w:noWrap/>
            <w:vAlign w:val="center"/>
            <w:hideMark/>
          </w:tcPr>
          <w:p w14:paraId="37459CB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20.0</w:t>
            </w:r>
          </w:p>
        </w:tc>
        <w:tc>
          <w:tcPr>
            <w:tcW w:w="626" w:type="dxa"/>
            <w:tcBorders>
              <w:top w:val="nil"/>
              <w:left w:val="nil"/>
              <w:bottom w:val="single" w:sz="8" w:space="0" w:color="DCDDDE"/>
              <w:right w:val="nil"/>
            </w:tcBorders>
            <w:shd w:val="clear" w:color="000000" w:fill="FFFFFF"/>
            <w:noWrap/>
            <w:vAlign w:val="center"/>
            <w:hideMark/>
          </w:tcPr>
          <w:p w14:paraId="049A9E8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21.9</w:t>
            </w:r>
          </w:p>
        </w:tc>
        <w:tc>
          <w:tcPr>
            <w:tcW w:w="626" w:type="dxa"/>
            <w:tcBorders>
              <w:top w:val="nil"/>
              <w:left w:val="nil"/>
              <w:bottom w:val="single" w:sz="8" w:space="0" w:color="DCDDDE"/>
              <w:right w:val="nil"/>
            </w:tcBorders>
            <w:shd w:val="clear" w:color="000000" w:fill="FFFFFF"/>
            <w:noWrap/>
            <w:vAlign w:val="center"/>
            <w:hideMark/>
          </w:tcPr>
          <w:p w14:paraId="3ABF9C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23.8</w:t>
            </w:r>
          </w:p>
        </w:tc>
        <w:tc>
          <w:tcPr>
            <w:tcW w:w="626" w:type="dxa"/>
            <w:tcBorders>
              <w:top w:val="nil"/>
              <w:left w:val="nil"/>
              <w:bottom w:val="single" w:sz="8" w:space="0" w:color="DCDDDE"/>
              <w:right w:val="nil"/>
            </w:tcBorders>
            <w:shd w:val="clear" w:color="000000" w:fill="FFFFFF"/>
            <w:noWrap/>
            <w:vAlign w:val="center"/>
            <w:hideMark/>
          </w:tcPr>
          <w:p w14:paraId="63DAE2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25.9</w:t>
            </w:r>
          </w:p>
        </w:tc>
        <w:tc>
          <w:tcPr>
            <w:tcW w:w="626" w:type="dxa"/>
            <w:tcBorders>
              <w:top w:val="nil"/>
              <w:left w:val="nil"/>
              <w:bottom w:val="single" w:sz="8" w:space="0" w:color="DCDDDE"/>
              <w:right w:val="nil"/>
            </w:tcBorders>
            <w:shd w:val="clear" w:color="000000" w:fill="FFFFFF"/>
            <w:noWrap/>
            <w:vAlign w:val="center"/>
            <w:hideMark/>
          </w:tcPr>
          <w:p w14:paraId="5F1CF92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28.5</w:t>
            </w:r>
          </w:p>
        </w:tc>
        <w:tc>
          <w:tcPr>
            <w:tcW w:w="626" w:type="dxa"/>
            <w:tcBorders>
              <w:top w:val="nil"/>
              <w:left w:val="nil"/>
              <w:bottom w:val="single" w:sz="8" w:space="0" w:color="DCDDDE"/>
              <w:right w:val="nil"/>
            </w:tcBorders>
            <w:shd w:val="clear" w:color="000000" w:fill="FFFFFF"/>
            <w:noWrap/>
            <w:vAlign w:val="center"/>
            <w:hideMark/>
          </w:tcPr>
          <w:p w14:paraId="758F679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30.9</w:t>
            </w:r>
          </w:p>
        </w:tc>
        <w:tc>
          <w:tcPr>
            <w:tcW w:w="626" w:type="dxa"/>
            <w:tcBorders>
              <w:top w:val="nil"/>
              <w:left w:val="nil"/>
              <w:bottom w:val="single" w:sz="8" w:space="0" w:color="DCDDDE"/>
              <w:right w:val="nil"/>
            </w:tcBorders>
            <w:shd w:val="clear" w:color="000000" w:fill="FFFFFF"/>
            <w:noWrap/>
            <w:vAlign w:val="center"/>
            <w:hideMark/>
          </w:tcPr>
          <w:p w14:paraId="198619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33.3</w:t>
            </w:r>
          </w:p>
        </w:tc>
        <w:tc>
          <w:tcPr>
            <w:tcW w:w="626" w:type="dxa"/>
            <w:tcBorders>
              <w:top w:val="nil"/>
              <w:left w:val="nil"/>
              <w:bottom w:val="single" w:sz="8" w:space="0" w:color="DCDDDE"/>
              <w:right w:val="nil"/>
            </w:tcBorders>
            <w:shd w:val="clear" w:color="000000" w:fill="FFFFFF"/>
            <w:noWrap/>
            <w:vAlign w:val="center"/>
            <w:hideMark/>
          </w:tcPr>
          <w:p w14:paraId="489D353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35.8</w:t>
            </w:r>
          </w:p>
        </w:tc>
        <w:tc>
          <w:tcPr>
            <w:tcW w:w="626" w:type="dxa"/>
            <w:tcBorders>
              <w:top w:val="nil"/>
              <w:left w:val="nil"/>
              <w:bottom w:val="single" w:sz="8" w:space="0" w:color="DCDDDE"/>
              <w:right w:val="nil"/>
            </w:tcBorders>
            <w:shd w:val="clear" w:color="000000" w:fill="FFFFFF"/>
            <w:noWrap/>
            <w:vAlign w:val="center"/>
            <w:hideMark/>
          </w:tcPr>
          <w:p w14:paraId="520E9D6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38.4</w:t>
            </w:r>
          </w:p>
        </w:tc>
        <w:tc>
          <w:tcPr>
            <w:tcW w:w="626" w:type="dxa"/>
            <w:tcBorders>
              <w:top w:val="nil"/>
              <w:left w:val="nil"/>
              <w:bottom w:val="single" w:sz="8" w:space="0" w:color="DCDDDE"/>
              <w:right w:val="nil"/>
            </w:tcBorders>
            <w:shd w:val="clear" w:color="000000" w:fill="FFFFFF"/>
            <w:noWrap/>
            <w:vAlign w:val="center"/>
            <w:hideMark/>
          </w:tcPr>
          <w:p w14:paraId="15BA256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40.1</w:t>
            </w:r>
          </w:p>
        </w:tc>
      </w:tr>
      <w:tr w:rsidR="00181744" w:rsidRPr="00181744" w14:paraId="39F11526" w14:textId="77777777" w:rsidTr="00181744">
        <w:trPr>
          <w:gridAfter w:val="1"/>
          <w:wAfter w:w="22" w:type="dxa"/>
          <w:trHeight w:val="99"/>
        </w:trPr>
        <w:tc>
          <w:tcPr>
            <w:tcW w:w="1265" w:type="dxa"/>
            <w:tcBorders>
              <w:top w:val="nil"/>
              <w:left w:val="nil"/>
              <w:bottom w:val="single" w:sz="8" w:space="0" w:color="DCDDDE"/>
              <w:right w:val="nil"/>
            </w:tcBorders>
            <w:shd w:val="clear" w:color="000000" w:fill="FFFFFF"/>
            <w:vAlign w:val="center"/>
            <w:hideMark/>
          </w:tcPr>
          <w:p w14:paraId="42687C9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29" w:type="dxa"/>
            <w:tcBorders>
              <w:top w:val="nil"/>
              <w:left w:val="nil"/>
              <w:bottom w:val="single" w:sz="8" w:space="0" w:color="DCDDDE"/>
              <w:right w:val="nil"/>
            </w:tcBorders>
            <w:shd w:val="clear" w:color="000000" w:fill="FFFFFF"/>
            <w:noWrap/>
            <w:vAlign w:val="center"/>
            <w:hideMark/>
          </w:tcPr>
          <w:p w14:paraId="3D8042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29" w:type="dxa"/>
            <w:tcBorders>
              <w:top w:val="nil"/>
              <w:left w:val="nil"/>
              <w:bottom w:val="single" w:sz="8" w:space="0" w:color="DCDDDE"/>
              <w:right w:val="nil"/>
            </w:tcBorders>
            <w:shd w:val="clear" w:color="000000" w:fill="FFFFFF"/>
            <w:noWrap/>
            <w:vAlign w:val="center"/>
            <w:hideMark/>
          </w:tcPr>
          <w:p w14:paraId="7C7BC26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32DE127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0C76E3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813CC2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3A8AC2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84982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372471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0C181D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41E6B6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6E0B7B2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97F6E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38C35D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r>
      <w:tr w:rsidR="00181744" w:rsidRPr="00181744" w14:paraId="693C3DA5"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70C530B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29" w:type="dxa"/>
            <w:tcBorders>
              <w:top w:val="nil"/>
              <w:left w:val="nil"/>
              <w:bottom w:val="single" w:sz="8" w:space="0" w:color="DCDDDE"/>
              <w:right w:val="nil"/>
            </w:tcBorders>
            <w:shd w:val="clear" w:color="000000" w:fill="FFFFFF"/>
            <w:noWrap/>
            <w:vAlign w:val="center"/>
            <w:hideMark/>
          </w:tcPr>
          <w:p w14:paraId="57E9C0A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289.1</w:t>
            </w:r>
          </w:p>
        </w:tc>
        <w:tc>
          <w:tcPr>
            <w:tcW w:w="629" w:type="dxa"/>
            <w:tcBorders>
              <w:top w:val="nil"/>
              <w:left w:val="nil"/>
              <w:bottom w:val="single" w:sz="8" w:space="0" w:color="DCDDDE"/>
              <w:right w:val="nil"/>
            </w:tcBorders>
            <w:shd w:val="clear" w:color="000000" w:fill="FFFFFF"/>
            <w:noWrap/>
            <w:vAlign w:val="center"/>
            <w:hideMark/>
          </w:tcPr>
          <w:p w14:paraId="3D8FC18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301.4</w:t>
            </w:r>
          </w:p>
        </w:tc>
        <w:tc>
          <w:tcPr>
            <w:tcW w:w="626" w:type="dxa"/>
            <w:tcBorders>
              <w:top w:val="nil"/>
              <w:left w:val="nil"/>
              <w:bottom w:val="single" w:sz="8" w:space="0" w:color="DCDDDE"/>
              <w:right w:val="nil"/>
            </w:tcBorders>
            <w:shd w:val="clear" w:color="000000" w:fill="FFFFFF"/>
            <w:noWrap/>
            <w:vAlign w:val="center"/>
            <w:hideMark/>
          </w:tcPr>
          <w:p w14:paraId="4EFFEDC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317.6</w:t>
            </w:r>
          </w:p>
        </w:tc>
        <w:tc>
          <w:tcPr>
            <w:tcW w:w="626" w:type="dxa"/>
            <w:tcBorders>
              <w:top w:val="nil"/>
              <w:left w:val="nil"/>
              <w:bottom w:val="single" w:sz="8" w:space="0" w:color="DCDDDE"/>
              <w:right w:val="nil"/>
            </w:tcBorders>
            <w:shd w:val="clear" w:color="000000" w:fill="FFFFFF"/>
            <w:noWrap/>
            <w:vAlign w:val="center"/>
            <w:hideMark/>
          </w:tcPr>
          <w:p w14:paraId="4B51925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363.9</w:t>
            </w:r>
          </w:p>
        </w:tc>
        <w:tc>
          <w:tcPr>
            <w:tcW w:w="626" w:type="dxa"/>
            <w:tcBorders>
              <w:top w:val="nil"/>
              <w:left w:val="nil"/>
              <w:bottom w:val="single" w:sz="8" w:space="0" w:color="DCDDDE"/>
              <w:right w:val="nil"/>
            </w:tcBorders>
            <w:shd w:val="clear" w:color="000000" w:fill="FFFFFF"/>
            <w:noWrap/>
            <w:vAlign w:val="center"/>
            <w:hideMark/>
          </w:tcPr>
          <w:p w14:paraId="136792B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364.3</w:t>
            </w:r>
          </w:p>
        </w:tc>
        <w:tc>
          <w:tcPr>
            <w:tcW w:w="626" w:type="dxa"/>
            <w:tcBorders>
              <w:top w:val="nil"/>
              <w:left w:val="nil"/>
              <w:bottom w:val="single" w:sz="8" w:space="0" w:color="DCDDDE"/>
              <w:right w:val="nil"/>
            </w:tcBorders>
            <w:shd w:val="clear" w:color="000000" w:fill="FFFFFF"/>
            <w:noWrap/>
            <w:vAlign w:val="center"/>
            <w:hideMark/>
          </w:tcPr>
          <w:p w14:paraId="0773FCB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417.5</w:t>
            </w:r>
          </w:p>
        </w:tc>
        <w:tc>
          <w:tcPr>
            <w:tcW w:w="626" w:type="dxa"/>
            <w:tcBorders>
              <w:top w:val="nil"/>
              <w:left w:val="nil"/>
              <w:bottom w:val="single" w:sz="8" w:space="0" w:color="DCDDDE"/>
              <w:right w:val="nil"/>
            </w:tcBorders>
            <w:shd w:val="clear" w:color="000000" w:fill="FFFFFF"/>
            <w:noWrap/>
            <w:vAlign w:val="center"/>
            <w:hideMark/>
          </w:tcPr>
          <w:p w14:paraId="07B23BC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412.4</w:t>
            </w:r>
          </w:p>
        </w:tc>
        <w:tc>
          <w:tcPr>
            <w:tcW w:w="626" w:type="dxa"/>
            <w:tcBorders>
              <w:top w:val="nil"/>
              <w:left w:val="nil"/>
              <w:bottom w:val="single" w:sz="8" w:space="0" w:color="DCDDDE"/>
              <w:right w:val="nil"/>
            </w:tcBorders>
            <w:shd w:val="clear" w:color="000000" w:fill="FFFFFF"/>
            <w:noWrap/>
            <w:vAlign w:val="center"/>
            <w:hideMark/>
          </w:tcPr>
          <w:p w14:paraId="5BAC894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411.2</w:t>
            </w:r>
          </w:p>
        </w:tc>
        <w:tc>
          <w:tcPr>
            <w:tcW w:w="626" w:type="dxa"/>
            <w:tcBorders>
              <w:top w:val="nil"/>
              <w:left w:val="nil"/>
              <w:bottom w:val="single" w:sz="8" w:space="0" w:color="DCDDDE"/>
              <w:right w:val="nil"/>
            </w:tcBorders>
            <w:shd w:val="clear" w:color="000000" w:fill="FFFFFF"/>
            <w:noWrap/>
            <w:vAlign w:val="center"/>
            <w:hideMark/>
          </w:tcPr>
          <w:p w14:paraId="051B3AE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407.1</w:t>
            </w:r>
          </w:p>
        </w:tc>
        <w:tc>
          <w:tcPr>
            <w:tcW w:w="626" w:type="dxa"/>
            <w:tcBorders>
              <w:top w:val="nil"/>
              <w:left w:val="nil"/>
              <w:bottom w:val="single" w:sz="8" w:space="0" w:color="DCDDDE"/>
              <w:right w:val="nil"/>
            </w:tcBorders>
            <w:shd w:val="clear" w:color="000000" w:fill="FFFFFF"/>
            <w:noWrap/>
            <w:vAlign w:val="center"/>
            <w:hideMark/>
          </w:tcPr>
          <w:p w14:paraId="00AFFFD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407.0</w:t>
            </w:r>
          </w:p>
        </w:tc>
        <w:tc>
          <w:tcPr>
            <w:tcW w:w="626" w:type="dxa"/>
            <w:tcBorders>
              <w:top w:val="nil"/>
              <w:left w:val="nil"/>
              <w:bottom w:val="single" w:sz="8" w:space="0" w:color="DCDDDE"/>
              <w:right w:val="nil"/>
            </w:tcBorders>
            <w:shd w:val="clear" w:color="000000" w:fill="FFFFFF"/>
            <w:noWrap/>
            <w:vAlign w:val="center"/>
            <w:hideMark/>
          </w:tcPr>
          <w:p w14:paraId="7AF6DD5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401.9</w:t>
            </w:r>
          </w:p>
        </w:tc>
        <w:tc>
          <w:tcPr>
            <w:tcW w:w="626" w:type="dxa"/>
            <w:tcBorders>
              <w:top w:val="nil"/>
              <w:left w:val="nil"/>
              <w:bottom w:val="single" w:sz="8" w:space="0" w:color="DCDDDE"/>
              <w:right w:val="nil"/>
            </w:tcBorders>
            <w:shd w:val="clear" w:color="000000" w:fill="FFFFFF"/>
            <w:noWrap/>
            <w:vAlign w:val="center"/>
            <w:hideMark/>
          </w:tcPr>
          <w:p w14:paraId="6B95D3E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392.3</w:t>
            </w:r>
          </w:p>
        </w:tc>
        <w:tc>
          <w:tcPr>
            <w:tcW w:w="626" w:type="dxa"/>
            <w:tcBorders>
              <w:top w:val="nil"/>
              <w:left w:val="nil"/>
              <w:bottom w:val="single" w:sz="8" w:space="0" w:color="DCDDDE"/>
              <w:right w:val="nil"/>
            </w:tcBorders>
            <w:shd w:val="clear" w:color="000000" w:fill="FFFFFF"/>
            <w:noWrap/>
            <w:vAlign w:val="center"/>
            <w:hideMark/>
          </w:tcPr>
          <w:p w14:paraId="6DEE478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380.1</w:t>
            </w:r>
          </w:p>
        </w:tc>
      </w:tr>
      <w:tr w:rsidR="00181744" w:rsidRPr="00181744" w14:paraId="2BEBE8CF" w14:textId="77777777" w:rsidTr="00181744">
        <w:trPr>
          <w:trHeight w:val="246"/>
        </w:trPr>
        <w:tc>
          <w:tcPr>
            <w:tcW w:w="9431" w:type="dxa"/>
            <w:gridSpan w:val="15"/>
            <w:tcBorders>
              <w:top w:val="single" w:sz="8" w:space="0" w:color="DCDDDE"/>
              <w:left w:val="nil"/>
              <w:bottom w:val="single" w:sz="8" w:space="0" w:color="DCDDDE"/>
              <w:right w:val="nil"/>
            </w:tcBorders>
            <w:shd w:val="clear" w:color="000000" w:fill="DADADA"/>
            <w:noWrap/>
            <w:vAlign w:val="center"/>
            <w:hideMark/>
          </w:tcPr>
          <w:p w14:paraId="4715D72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181744" w:rsidRPr="00181744" w14:paraId="4A3B9B92" w14:textId="77777777" w:rsidTr="00181744">
        <w:trPr>
          <w:gridAfter w:val="1"/>
          <w:wAfter w:w="22" w:type="dxa"/>
          <w:trHeight w:val="434"/>
        </w:trPr>
        <w:tc>
          <w:tcPr>
            <w:tcW w:w="1265" w:type="dxa"/>
            <w:tcBorders>
              <w:top w:val="nil"/>
              <w:left w:val="nil"/>
              <w:bottom w:val="single" w:sz="8" w:space="0" w:color="DCDDDE"/>
              <w:right w:val="nil"/>
            </w:tcBorders>
            <w:shd w:val="clear" w:color="000000" w:fill="FFFFFF"/>
            <w:vAlign w:val="center"/>
            <w:hideMark/>
          </w:tcPr>
          <w:p w14:paraId="144F076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29" w:type="dxa"/>
            <w:tcBorders>
              <w:top w:val="nil"/>
              <w:left w:val="nil"/>
              <w:bottom w:val="single" w:sz="8" w:space="0" w:color="DCDDDE"/>
              <w:right w:val="nil"/>
            </w:tcBorders>
            <w:shd w:val="clear" w:color="000000" w:fill="FFFFFF"/>
            <w:noWrap/>
            <w:vAlign w:val="center"/>
            <w:hideMark/>
          </w:tcPr>
          <w:p w14:paraId="36DC72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110.7</w:t>
            </w:r>
          </w:p>
        </w:tc>
        <w:tc>
          <w:tcPr>
            <w:tcW w:w="629" w:type="dxa"/>
            <w:tcBorders>
              <w:top w:val="nil"/>
              <w:left w:val="nil"/>
              <w:bottom w:val="single" w:sz="8" w:space="0" w:color="DCDDDE"/>
              <w:right w:val="nil"/>
            </w:tcBorders>
            <w:shd w:val="clear" w:color="000000" w:fill="FFFFFF"/>
            <w:noWrap/>
            <w:vAlign w:val="center"/>
            <w:hideMark/>
          </w:tcPr>
          <w:p w14:paraId="423007D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121.6</w:t>
            </w:r>
          </w:p>
        </w:tc>
        <w:tc>
          <w:tcPr>
            <w:tcW w:w="626" w:type="dxa"/>
            <w:tcBorders>
              <w:top w:val="nil"/>
              <w:left w:val="nil"/>
              <w:bottom w:val="single" w:sz="8" w:space="0" w:color="DCDDDE"/>
              <w:right w:val="nil"/>
            </w:tcBorders>
            <w:shd w:val="clear" w:color="000000" w:fill="FFFFFF"/>
            <w:noWrap/>
            <w:vAlign w:val="center"/>
            <w:hideMark/>
          </w:tcPr>
          <w:p w14:paraId="47AA993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120.8</w:t>
            </w:r>
          </w:p>
        </w:tc>
        <w:tc>
          <w:tcPr>
            <w:tcW w:w="626" w:type="dxa"/>
            <w:tcBorders>
              <w:top w:val="nil"/>
              <w:left w:val="nil"/>
              <w:bottom w:val="single" w:sz="8" w:space="0" w:color="DCDDDE"/>
              <w:right w:val="nil"/>
            </w:tcBorders>
            <w:shd w:val="clear" w:color="000000" w:fill="FFFFFF"/>
            <w:noWrap/>
            <w:vAlign w:val="center"/>
            <w:hideMark/>
          </w:tcPr>
          <w:p w14:paraId="76C52E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139.1</w:t>
            </w:r>
          </w:p>
        </w:tc>
        <w:tc>
          <w:tcPr>
            <w:tcW w:w="626" w:type="dxa"/>
            <w:tcBorders>
              <w:top w:val="nil"/>
              <w:left w:val="nil"/>
              <w:bottom w:val="single" w:sz="8" w:space="0" w:color="DCDDDE"/>
              <w:right w:val="nil"/>
            </w:tcBorders>
            <w:shd w:val="clear" w:color="000000" w:fill="FFFFFF"/>
            <w:noWrap/>
            <w:vAlign w:val="center"/>
            <w:hideMark/>
          </w:tcPr>
          <w:p w14:paraId="058826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140.7</w:t>
            </w:r>
          </w:p>
        </w:tc>
        <w:tc>
          <w:tcPr>
            <w:tcW w:w="626" w:type="dxa"/>
            <w:tcBorders>
              <w:top w:val="nil"/>
              <w:left w:val="nil"/>
              <w:bottom w:val="single" w:sz="8" w:space="0" w:color="DCDDDE"/>
              <w:right w:val="nil"/>
            </w:tcBorders>
            <w:shd w:val="clear" w:color="000000" w:fill="FFFFFF"/>
            <w:noWrap/>
            <w:vAlign w:val="center"/>
            <w:hideMark/>
          </w:tcPr>
          <w:p w14:paraId="5343370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155.2</w:t>
            </w:r>
          </w:p>
        </w:tc>
        <w:tc>
          <w:tcPr>
            <w:tcW w:w="626" w:type="dxa"/>
            <w:tcBorders>
              <w:top w:val="nil"/>
              <w:left w:val="nil"/>
              <w:bottom w:val="single" w:sz="8" w:space="0" w:color="DCDDDE"/>
              <w:right w:val="nil"/>
            </w:tcBorders>
            <w:shd w:val="clear" w:color="000000" w:fill="FFFFFF"/>
            <w:noWrap/>
            <w:vAlign w:val="center"/>
            <w:hideMark/>
          </w:tcPr>
          <w:p w14:paraId="54A369A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155.4</w:t>
            </w:r>
          </w:p>
        </w:tc>
        <w:tc>
          <w:tcPr>
            <w:tcW w:w="626" w:type="dxa"/>
            <w:tcBorders>
              <w:top w:val="nil"/>
              <w:left w:val="nil"/>
              <w:bottom w:val="single" w:sz="8" w:space="0" w:color="DCDDDE"/>
              <w:right w:val="nil"/>
            </w:tcBorders>
            <w:shd w:val="clear" w:color="000000" w:fill="FFFFFF"/>
            <w:noWrap/>
            <w:vAlign w:val="center"/>
            <w:hideMark/>
          </w:tcPr>
          <w:p w14:paraId="1C19F3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156.1</w:t>
            </w:r>
          </w:p>
        </w:tc>
        <w:tc>
          <w:tcPr>
            <w:tcW w:w="626" w:type="dxa"/>
            <w:tcBorders>
              <w:top w:val="nil"/>
              <w:left w:val="nil"/>
              <w:bottom w:val="single" w:sz="8" w:space="0" w:color="DCDDDE"/>
              <w:right w:val="nil"/>
            </w:tcBorders>
            <w:shd w:val="clear" w:color="000000" w:fill="FFFFFF"/>
            <w:noWrap/>
            <w:vAlign w:val="center"/>
            <w:hideMark/>
          </w:tcPr>
          <w:p w14:paraId="2A8D43F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155.0</w:t>
            </w:r>
          </w:p>
        </w:tc>
        <w:tc>
          <w:tcPr>
            <w:tcW w:w="626" w:type="dxa"/>
            <w:tcBorders>
              <w:top w:val="nil"/>
              <w:left w:val="nil"/>
              <w:bottom w:val="single" w:sz="8" w:space="0" w:color="DCDDDE"/>
              <w:right w:val="nil"/>
            </w:tcBorders>
            <w:shd w:val="clear" w:color="000000" w:fill="FFFFFF"/>
            <w:noWrap/>
            <w:vAlign w:val="center"/>
            <w:hideMark/>
          </w:tcPr>
          <w:p w14:paraId="0874135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156.6</w:t>
            </w:r>
          </w:p>
        </w:tc>
        <w:tc>
          <w:tcPr>
            <w:tcW w:w="626" w:type="dxa"/>
            <w:tcBorders>
              <w:top w:val="nil"/>
              <w:left w:val="nil"/>
              <w:bottom w:val="single" w:sz="8" w:space="0" w:color="DCDDDE"/>
              <w:right w:val="nil"/>
            </w:tcBorders>
            <w:shd w:val="clear" w:color="000000" w:fill="FFFFFF"/>
            <w:noWrap/>
            <w:vAlign w:val="center"/>
            <w:hideMark/>
          </w:tcPr>
          <w:p w14:paraId="681709E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156.9</w:t>
            </w:r>
          </w:p>
        </w:tc>
        <w:tc>
          <w:tcPr>
            <w:tcW w:w="626" w:type="dxa"/>
            <w:tcBorders>
              <w:top w:val="nil"/>
              <w:left w:val="nil"/>
              <w:bottom w:val="single" w:sz="8" w:space="0" w:color="DCDDDE"/>
              <w:right w:val="nil"/>
            </w:tcBorders>
            <w:shd w:val="clear" w:color="000000" w:fill="FFFFFF"/>
            <w:noWrap/>
            <w:vAlign w:val="center"/>
            <w:hideMark/>
          </w:tcPr>
          <w:p w14:paraId="56E3FB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157.9</w:t>
            </w:r>
          </w:p>
        </w:tc>
        <w:tc>
          <w:tcPr>
            <w:tcW w:w="626" w:type="dxa"/>
            <w:tcBorders>
              <w:top w:val="nil"/>
              <w:left w:val="nil"/>
              <w:bottom w:val="single" w:sz="8" w:space="0" w:color="DCDDDE"/>
              <w:right w:val="nil"/>
            </w:tcBorders>
            <w:shd w:val="clear" w:color="000000" w:fill="FFFFFF"/>
            <w:noWrap/>
            <w:vAlign w:val="center"/>
            <w:hideMark/>
          </w:tcPr>
          <w:p w14:paraId="033603C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156.8</w:t>
            </w:r>
          </w:p>
        </w:tc>
      </w:tr>
      <w:tr w:rsidR="00181744" w:rsidRPr="00181744" w14:paraId="123CC464"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6BCC054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29" w:type="dxa"/>
            <w:tcBorders>
              <w:top w:val="nil"/>
              <w:left w:val="nil"/>
              <w:bottom w:val="single" w:sz="8" w:space="0" w:color="DCDDDE"/>
              <w:right w:val="nil"/>
            </w:tcBorders>
            <w:shd w:val="clear" w:color="000000" w:fill="FFFFFF"/>
            <w:noWrap/>
            <w:vAlign w:val="center"/>
            <w:hideMark/>
          </w:tcPr>
          <w:p w14:paraId="0CF48D4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168.0</w:t>
            </w:r>
          </w:p>
        </w:tc>
        <w:tc>
          <w:tcPr>
            <w:tcW w:w="629" w:type="dxa"/>
            <w:tcBorders>
              <w:top w:val="nil"/>
              <w:left w:val="nil"/>
              <w:bottom w:val="single" w:sz="8" w:space="0" w:color="DCDDDE"/>
              <w:right w:val="nil"/>
            </w:tcBorders>
            <w:shd w:val="clear" w:color="000000" w:fill="FFFFFF"/>
            <w:noWrap/>
            <w:vAlign w:val="center"/>
            <w:hideMark/>
          </w:tcPr>
          <w:p w14:paraId="1CDDA8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168.6</w:t>
            </w:r>
          </w:p>
        </w:tc>
        <w:tc>
          <w:tcPr>
            <w:tcW w:w="626" w:type="dxa"/>
            <w:tcBorders>
              <w:top w:val="nil"/>
              <w:left w:val="nil"/>
              <w:bottom w:val="single" w:sz="8" w:space="0" w:color="DCDDDE"/>
              <w:right w:val="nil"/>
            </w:tcBorders>
            <w:shd w:val="clear" w:color="000000" w:fill="FFFFFF"/>
            <w:noWrap/>
            <w:vAlign w:val="center"/>
            <w:hideMark/>
          </w:tcPr>
          <w:p w14:paraId="7E9615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184.8</w:t>
            </w:r>
          </w:p>
        </w:tc>
        <w:tc>
          <w:tcPr>
            <w:tcW w:w="626" w:type="dxa"/>
            <w:tcBorders>
              <w:top w:val="nil"/>
              <w:left w:val="nil"/>
              <w:bottom w:val="single" w:sz="8" w:space="0" w:color="DCDDDE"/>
              <w:right w:val="nil"/>
            </w:tcBorders>
            <w:shd w:val="clear" w:color="000000" w:fill="FFFFFF"/>
            <w:noWrap/>
            <w:vAlign w:val="center"/>
            <w:hideMark/>
          </w:tcPr>
          <w:p w14:paraId="5EB2C32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215.3</w:t>
            </w:r>
          </w:p>
        </w:tc>
        <w:tc>
          <w:tcPr>
            <w:tcW w:w="626" w:type="dxa"/>
            <w:tcBorders>
              <w:top w:val="nil"/>
              <w:left w:val="nil"/>
              <w:bottom w:val="single" w:sz="8" w:space="0" w:color="DCDDDE"/>
              <w:right w:val="nil"/>
            </w:tcBorders>
            <w:shd w:val="clear" w:color="000000" w:fill="FFFFFF"/>
            <w:noWrap/>
            <w:vAlign w:val="center"/>
            <w:hideMark/>
          </w:tcPr>
          <w:p w14:paraId="0AF4AB5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211.6</w:t>
            </w:r>
          </w:p>
        </w:tc>
        <w:tc>
          <w:tcPr>
            <w:tcW w:w="626" w:type="dxa"/>
            <w:tcBorders>
              <w:top w:val="nil"/>
              <w:left w:val="nil"/>
              <w:bottom w:val="single" w:sz="8" w:space="0" w:color="DCDDDE"/>
              <w:right w:val="nil"/>
            </w:tcBorders>
            <w:shd w:val="clear" w:color="000000" w:fill="FFFFFF"/>
            <w:noWrap/>
            <w:vAlign w:val="center"/>
            <w:hideMark/>
          </w:tcPr>
          <w:p w14:paraId="675F21F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249.2</w:t>
            </w:r>
          </w:p>
        </w:tc>
        <w:tc>
          <w:tcPr>
            <w:tcW w:w="626" w:type="dxa"/>
            <w:tcBorders>
              <w:top w:val="nil"/>
              <w:left w:val="nil"/>
              <w:bottom w:val="single" w:sz="8" w:space="0" w:color="DCDDDE"/>
              <w:right w:val="nil"/>
            </w:tcBorders>
            <w:shd w:val="clear" w:color="000000" w:fill="FFFFFF"/>
            <w:noWrap/>
            <w:vAlign w:val="center"/>
            <w:hideMark/>
          </w:tcPr>
          <w:p w14:paraId="47A610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241.1</w:t>
            </w:r>
          </w:p>
        </w:tc>
        <w:tc>
          <w:tcPr>
            <w:tcW w:w="626" w:type="dxa"/>
            <w:tcBorders>
              <w:top w:val="nil"/>
              <w:left w:val="nil"/>
              <w:bottom w:val="single" w:sz="8" w:space="0" w:color="DCDDDE"/>
              <w:right w:val="nil"/>
            </w:tcBorders>
            <w:shd w:val="clear" w:color="000000" w:fill="FFFFFF"/>
            <w:noWrap/>
            <w:vAlign w:val="center"/>
            <w:hideMark/>
          </w:tcPr>
          <w:p w14:paraId="48E1C0D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235.8</w:t>
            </w:r>
          </w:p>
        </w:tc>
        <w:tc>
          <w:tcPr>
            <w:tcW w:w="626" w:type="dxa"/>
            <w:tcBorders>
              <w:top w:val="nil"/>
              <w:left w:val="nil"/>
              <w:bottom w:val="single" w:sz="8" w:space="0" w:color="DCDDDE"/>
              <w:right w:val="nil"/>
            </w:tcBorders>
            <w:shd w:val="clear" w:color="000000" w:fill="FFFFFF"/>
            <w:noWrap/>
            <w:vAlign w:val="center"/>
            <w:hideMark/>
          </w:tcPr>
          <w:p w14:paraId="17B071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229.4</w:t>
            </w:r>
          </w:p>
        </w:tc>
        <w:tc>
          <w:tcPr>
            <w:tcW w:w="626" w:type="dxa"/>
            <w:tcBorders>
              <w:top w:val="nil"/>
              <w:left w:val="nil"/>
              <w:bottom w:val="single" w:sz="8" w:space="0" w:color="DCDDDE"/>
              <w:right w:val="nil"/>
            </w:tcBorders>
            <w:shd w:val="clear" w:color="000000" w:fill="FFFFFF"/>
            <w:noWrap/>
            <w:vAlign w:val="center"/>
            <w:hideMark/>
          </w:tcPr>
          <w:p w14:paraId="670C2E9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226.0</w:t>
            </w:r>
          </w:p>
        </w:tc>
        <w:tc>
          <w:tcPr>
            <w:tcW w:w="626" w:type="dxa"/>
            <w:tcBorders>
              <w:top w:val="nil"/>
              <w:left w:val="nil"/>
              <w:bottom w:val="single" w:sz="8" w:space="0" w:color="DCDDDE"/>
              <w:right w:val="nil"/>
            </w:tcBorders>
            <w:shd w:val="clear" w:color="000000" w:fill="FFFFFF"/>
            <w:noWrap/>
            <w:vAlign w:val="center"/>
            <w:hideMark/>
          </w:tcPr>
          <w:p w14:paraId="5964C0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217.4</w:t>
            </w:r>
          </w:p>
        </w:tc>
        <w:tc>
          <w:tcPr>
            <w:tcW w:w="626" w:type="dxa"/>
            <w:tcBorders>
              <w:top w:val="nil"/>
              <w:left w:val="nil"/>
              <w:bottom w:val="single" w:sz="8" w:space="0" w:color="DCDDDE"/>
              <w:right w:val="nil"/>
            </w:tcBorders>
            <w:shd w:val="clear" w:color="000000" w:fill="FFFFFF"/>
            <w:noWrap/>
            <w:vAlign w:val="center"/>
            <w:hideMark/>
          </w:tcPr>
          <w:p w14:paraId="093BF60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203.8</w:t>
            </w:r>
          </w:p>
        </w:tc>
        <w:tc>
          <w:tcPr>
            <w:tcW w:w="626" w:type="dxa"/>
            <w:tcBorders>
              <w:top w:val="nil"/>
              <w:left w:val="nil"/>
              <w:bottom w:val="single" w:sz="8" w:space="0" w:color="DCDDDE"/>
              <w:right w:val="nil"/>
            </w:tcBorders>
            <w:shd w:val="clear" w:color="000000" w:fill="FFFFFF"/>
            <w:noWrap/>
            <w:vAlign w:val="center"/>
            <w:hideMark/>
          </w:tcPr>
          <w:p w14:paraId="5C5A60B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190.8</w:t>
            </w:r>
          </w:p>
        </w:tc>
      </w:tr>
      <w:tr w:rsidR="00181744" w:rsidRPr="00181744" w14:paraId="059CB0A5"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4046F27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29" w:type="dxa"/>
            <w:tcBorders>
              <w:top w:val="nil"/>
              <w:left w:val="nil"/>
              <w:bottom w:val="single" w:sz="8" w:space="0" w:color="DCDDDE"/>
              <w:right w:val="nil"/>
            </w:tcBorders>
            <w:shd w:val="clear" w:color="000000" w:fill="FFFFFF"/>
            <w:noWrap/>
            <w:vAlign w:val="center"/>
            <w:hideMark/>
          </w:tcPr>
          <w:p w14:paraId="7CD18E2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15.0</w:t>
            </w:r>
          </w:p>
        </w:tc>
        <w:tc>
          <w:tcPr>
            <w:tcW w:w="629" w:type="dxa"/>
            <w:tcBorders>
              <w:top w:val="nil"/>
              <w:left w:val="nil"/>
              <w:bottom w:val="single" w:sz="8" w:space="0" w:color="DCDDDE"/>
              <w:right w:val="nil"/>
            </w:tcBorders>
            <w:shd w:val="clear" w:color="000000" w:fill="FFFFFF"/>
            <w:noWrap/>
            <w:vAlign w:val="center"/>
            <w:hideMark/>
          </w:tcPr>
          <w:p w14:paraId="0E47923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22.1</w:t>
            </w:r>
          </w:p>
        </w:tc>
        <w:tc>
          <w:tcPr>
            <w:tcW w:w="626" w:type="dxa"/>
            <w:tcBorders>
              <w:top w:val="nil"/>
              <w:left w:val="nil"/>
              <w:bottom w:val="single" w:sz="8" w:space="0" w:color="DCDDDE"/>
              <w:right w:val="nil"/>
            </w:tcBorders>
            <w:shd w:val="clear" w:color="000000" w:fill="FFFFFF"/>
            <w:noWrap/>
            <w:vAlign w:val="center"/>
            <w:hideMark/>
          </w:tcPr>
          <w:p w14:paraId="6AC0067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25.4</w:t>
            </w:r>
          </w:p>
        </w:tc>
        <w:tc>
          <w:tcPr>
            <w:tcW w:w="626" w:type="dxa"/>
            <w:tcBorders>
              <w:top w:val="nil"/>
              <w:left w:val="nil"/>
              <w:bottom w:val="single" w:sz="8" w:space="0" w:color="DCDDDE"/>
              <w:right w:val="nil"/>
            </w:tcBorders>
            <w:shd w:val="clear" w:color="000000" w:fill="FFFFFF"/>
            <w:noWrap/>
            <w:vAlign w:val="center"/>
            <w:hideMark/>
          </w:tcPr>
          <w:p w14:paraId="63C3F01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29.0</w:t>
            </w:r>
          </w:p>
        </w:tc>
        <w:tc>
          <w:tcPr>
            <w:tcW w:w="626" w:type="dxa"/>
            <w:tcBorders>
              <w:top w:val="nil"/>
              <w:left w:val="nil"/>
              <w:bottom w:val="single" w:sz="8" w:space="0" w:color="DCDDDE"/>
              <w:right w:val="nil"/>
            </w:tcBorders>
            <w:shd w:val="clear" w:color="000000" w:fill="FFFFFF"/>
            <w:noWrap/>
            <w:vAlign w:val="center"/>
            <w:hideMark/>
          </w:tcPr>
          <w:p w14:paraId="6EDDC64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33.0</w:t>
            </w:r>
          </w:p>
        </w:tc>
        <w:tc>
          <w:tcPr>
            <w:tcW w:w="626" w:type="dxa"/>
            <w:tcBorders>
              <w:top w:val="nil"/>
              <w:left w:val="nil"/>
              <w:bottom w:val="single" w:sz="8" w:space="0" w:color="DCDDDE"/>
              <w:right w:val="nil"/>
            </w:tcBorders>
            <w:shd w:val="clear" w:color="000000" w:fill="FFFFFF"/>
            <w:noWrap/>
            <w:vAlign w:val="center"/>
            <w:hideMark/>
          </w:tcPr>
          <w:p w14:paraId="4D0C15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36.1</w:t>
            </w:r>
          </w:p>
        </w:tc>
        <w:tc>
          <w:tcPr>
            <w:tcW w:w="626" w:type="dxa"/>
            <w:tcBorders>
              <w:top w:val="nil"/>
              <w:left w:val="nil"/>
              <w:bottom w:val="single" w:sz="8" w:space="0" w:color="DCDDDE"/>
              <w:right w:val="nil"/>
            </w:tcBorders>
            <w:shd w:val="clear" w:color="000000" w:fill="FFFFFF"/>
            <w:noWrap/>
            <w:vAlign w:val="center"/>
            <w:hideMark/>
          </w:tcPr>
          <w:p w14:paraId="63AEAB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41.5</w:t>
            </w:r>
          </w:p>
        </w:tc>
        <w:tc>
          <w:tcPr>
            <w:tcW w:w="626" w:type="dxa"/>
            <w:tcBorders>
              <w:top w:val="nil"/>
              <w:left w:val="nil"/>
              <w:bottom w:val="single" w:sz="8" w:space="0" w:color="DCDDDE"/>
              <w:right w:val="nil"/>
            </w:tcBorders>
            <w:shd w:val="clear" w:color="000000" w:fill="FFFFFF"/>
            <w:noWrap/>
            <w:vAlign w:val="center"/>
            <w:hideMark/>
          </w:tcPr>
          <w:p w14:paraId="3EFFCC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45.4</w:t>
            </w:r>
          </w:p>
        </w:tc>
        <w:tc>
          <w:tcPr>
            <w:tcW w:w="626" w:type="dxa"/>
            <w:tcBorders>
              <w:top w:val="nil"/>
              <w:left w:val="nil"/>
              <w:bottom w:val="single" w:sz="8" w:space="0" w:color="DCDDDE"/>
              <w:right w:val="nil"/>
            </w:tcBorders>
            <w:shd w:val="clear" w:color="000000" w:fill="FFFFFF"/>
            <w:noWrap/>
            <w:vAlign w:val="center"/>
            <w:hideMark/>
          </w:tcPr>
          <w:p w14:paraId="764201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48.8</w:t>
            </w:r>
          </w:p>
        </w:tc>
        <w:tc>
          <w:tcPr>
            <w:tcW w:w="626" w:type="dxa"/>
            <w:tcBorders>
              <w:top w:val="nil"/>
              <w:left w:val="nil"/>
              <w:bottom w:val="single" w:sz="8" w:space="0" w:color="DCDDDE"/>
              <w:right w:val="nil"/>
            </w:tcBorders>
            <w:shd w:val="clear" w:color="000000" w:fill="FFFFFF"/>
            <w:noWrap/>
            <w:vAlign w:val="center"/>
            <w:hideMark/>
          </w:tcPr>
          <w:p w14:paraId="5D3BB6D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52.8</w:t>
            </w:r>
          </w:p>
        </w:tc>
        <w:tc>
          <w:tcPr>
            <w:tcW w:w="626" w:type="dxa"/>
            <w:tcBorders>
              <w:top w:val="nil"/>
              <w:left w:val="nil"/>
              <w:bottom w:val="single" w:sz="8" w:space="0" w:color="DCDDDE"/>
              <w:right w:val="nil"/>
            </w:tcBorders>
            <w:shd w:val="clear" w:color="000000" w:fill="FFFFFF"/>
            <w:noWrap/>
            <w:vAlign w:val="center"/>
            <w:hideMark/>
          </w:tcPr>
          <w:p w14:paraId="56E300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57.4</w:t>
            </w:r>
          </w:p>
        </w:tc>
        <w:tc>
          <w:tcPr>
            <w:tcW w:w="626" w:type="dxa"/>
            <w:tcBorders>
              <w:top w:val="nil"/>
              <w:left w:val="nil"/>
              <w:bottom w:val="single" w:sz="8" w:space="0" w:color="DCDDDE"/>
              <w:right w:val="nil"/>
            </w:tcBorders>
            <w:shd w:val="clear" w:color="000000" w:fill="FFFFFF"/>
            <w:noWrap/>
            <w:vAlign w:val="center"/>
            <w:hideMark/>
          </w:tcPr>
          <w:p w14:paraId="5DA4400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62.7</w:t>
            </w:r>
          </w:p>
        </w:tc>
        <w:tc>
          <w:tcPr>
            <w:tcW w:w="626" w:type="dxa"/>
            <w:tcBorders>
              <w:top w:val="nil"/>
              <w:left w:val="nil"/>
              <w:bottom w:val="single" w:sz="8" w:space="0" w:color="DCDDDE"/>
              <w:right w:val="nil"/>
            </w:tcBorders>
            <w:shd w:val="clear" w:color="000000" w:fill="FFFFFF"/>
            <w:noWrap/>
            <w:vAlign w:val="center"/>
            <w:hideMark/>
          </w:tcPr>
          <w:p w14:paraId="013913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69.0</w:t>
            </w:r>
          </w:p>
        </w:tc>
      </w:tr>
      <w:tr w:rsidR="00181744" w:rsidRPr="00181744" w14:paraId="33120497" w14:textId="77777777" w:rsidTr="00181744">
        <w:trPr>
          <w:gridAfter w:val="1"/>
          <w:wAfter w:w="22" w:type="dxa"/>
          <w:trHeight w:val="75"/>
        </w:trPr>
        <w:tc>
          <w:tcPr>
            <w:tcW w:w="1265" w:type="dxa"/>
            <w:tcBorders>
              <w:top w:val="nil"/>
              <w:left w:val="nil"/>
              <w:bottom w:val="single" w:sz="8" w:space="0" w:color="DCDDDE"/>
              <w:right w:val="nil"/>
            </w:tcBorders>
            <w:shd w:val="clear" w:color="000000" w:fill="FFFFFF"/>
            <w:vAlign w:val="center"/>
            <w:hideMark/>
          </w:tcPr>
          <w:p w14:paraId="6731520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29" w:type="dxa"/>
            <w:tcBorders>
              <w:top w:val="nil"/>
              <w:left w:val="nil"/>
              <w:bottom w:val="single" w:sz="8" w:space="0" w:color="DCDDDE"/>
              <w:right w:val="nil"/>
            </w:tcBorders>
            <w:shd w:val="clear" w:color="000000" w:fill="FFFFFF"/>
            <w:noWrap/>
            <w:vAlign w:val="center"/>
            <w:hideMark/>
          </w:tcPr>
          <w:p w14:paraId="6A24C2B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629" w:type="dxa"/>
            <w:tcBorders>
              <w:top w:val="nil"/>
              <w:left w:val="nil"/>
              <w:bottom w:val="single" w:sz="8" w:space="0" w:color="DCDDDE"/>
              <w:right w:val="nil"/>
            </w:tcBorders>
            <w:shd w:val="clear" w:color="000000" w:fill="FFFFFF"/>
            <w:noWrap/>
            <w:vAlign w:val="center"/>
            <w:hideMark/>
          </w:tcPr>
          <w:p w14:paraId="1F4E13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1156056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26" w:type="dxa"/>
            <w:tcBorders>
              <w:top w:val="nil"/>
              <w:left w:val="nil"/>
              <w:bottom w:val="single" w:sz="8" w:space="0" w:color="DCDDDE"/>
              <w:right w:val="nil"/>
            </w:tcBorders>
            <w:shd w:val="clear" w:color="000000" w:fill="FFFFFF"/>
            <w:noWrap/>
            <w:vAlign w:val="center"/>
            <w:hideMark/>
          </w:tcPr>
          <w:p w14:paraId="2C1B132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25BB3A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AADFD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FE210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3E9F0C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6AAF34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1744B9C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4298A5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50FD43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26" w:type="dxa"/>
            <w:tcBorders>
              <w:top w:val="nil"/>
              <w:left w:val="nil"/>
              <w:bottom w:val="single" w:sz="8" w:space="0" w:color="DCDDDE"/>
              <w:right w:val="nil"/>
            </w:tcBorders>
            <w:shd w:val="clear" w:color="000000" w:fill="FFFFFF"/>
            <w:noWrap/>
            <w:vAlign w:val="center"/>
            <w:hideMark/>
          </w:tcPr>
          <w:p w14:paraId="7B4C24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r>
      <w:tr w:rsidR="00181744" w:rsidRPr="00181744" w14:paraId="75312DAE" w14:textId="77777777" w:rsidTr="00181744">
        <w:trPr>
          <w:gridAfter w:val="1"/>
          <w:wAfter w:w="22" w:type="dxa"/>
          <w:trHeight w:val="246"/>
        </w:trPr>
        <w:tc>
          <w:tcPr>
            <w:tcW w:w="1265" w:type="dxa"/>
            <w:tcBorders>
              <w:top w:val="nil"/>
              <w:left w:val="nil"/>
              <w:bottom w:val="single" w:sz="8" w:space="0" w:color="DCDDDE"/>
              <w:right w:val="nil"/>
            </w:tcBorders>
            <w:shd w:val="clear" w:color="000000" w:fill="FFFFFF"/>
            <w:vAlign w:val="center"/>
            <w:hideMark/>
          </w:tcPr>
          <w:p w14:paraId="5546D42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29" w:type="dxa"/>
            <w:tcBorders>
              <w:top w:val="nil"/>
              <w:left w:val="nil"/>
              <w:bottom w:val="single" w:sz="8" w:space="0" w:color="DCDDDE"/>
              <w:right w:val="nil"/>
            </w:tcBorders>
            <w:shd w:val="clear" w:color="000000" w:fill="FFFFFF"/>
            <w:noWrap/>
            <w:vAlign w:val="center"/>
            <w:hideMark/>
          </w:tcPr>
          <w:p w14:paraId="1946621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297.5</w:t>
            </w:r>
          </w:p>
        </w:tc>
        <w:tc>
          <w:tcPr>
            <w:tcW w:w="629" w:type="dxa"/>
            <w:tcBorders>
              <w:top w:val="nil"/>
              <w:left w:val="nil"/>
              <w:bottom w:val="single" w:sz="8" w:space="0" w:color="DCDDDE"/>
              <w:right w:val="nil"/>
            </w:tcBorders>
            <w:shd w:val="clear" w:color="000000" w:fill="FFFFFF"/>
            <w:noWrap/>
            <w:vAlign w:val="center"/>
            <w:hideMark/>
          </w:tcPr>
          <w:p w14:paraId="3C2EF35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316.0</w:t>
            </w:r>
          </w:p>
        </w:tc>
        <w:tc>
          <w:tcPr>
            <w:tcW w:w="626" w:type="dxa"/>
            <w:tcBorders>
              <w:top w:val="nil"/>
              <w:left w:val="nil"/>
              <w:bottom w:val="single" w:sz="8" w:space="0" w:color="DCDDDE"/>
              <w:right w:val="nil"/>
            </w:tcBorders>
            <w:shd w:val="clear" w:color="000000" w:fill="FFFFFF"/>
            <w:noWrap/>
            <w:vAlign w:val="center"/>
            <w:hideMark/>
          </w:tcPr>
          <w:p w14:paraId="703A0D4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334.6</w:t>
            </w:r>
          </w:p>
        </w:tc>
        <w:tc>
          <w:tcPr>
            <w:tcW w:w="626" w:type="dxa"/>
            <w:tcBorders>
              <w:top w:val="nil"/>
              <w:left w:val="nil"/>
              <w:bottom w:val="single" w:sz="8" w:space="0" w:color="DCDDDE"/>
              <w:right w:val="nil"/>
            </w:tcBorders>
            <w:shd w:val="clear" w:color="000000" w:fill="FFFFFF"/>
            <w:noWrap/>
            <w:vAlign w:val="center"/>
            <w:hideMark/>
          </w:tcPr>
          <w:p w14:paraId="7E1CFB6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384.1</w:t>
            </w:r>
          </w:p>
        </w:tc>
        <w:tc>
          <w:tcPr>
            <w:tcW w:w="626" w:type="dxa"/>
            <w:tcBorders>
              <w:top w:val="nil"/>
              <w:left w:val="nil"/>
              <w:bottom w:val="single" w:sz="8" w:space="0" w:color="DCDDDE"/>
              <w:right w:val="nil"/>
            </w:tcBorders>
            <w:shd w:val="clear" w:color="000000" w:fill="FFFFFF"/>
            <w:noWrap/>
            <w:vAlign w:val="center"/>
            <w:hideMark/>
          </w:tcPr>
          <w:p w14:paraId="38E522F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386.1</w:t>
            </w:r>
          </w:p>
        </w:tc>
        <w:tc>
          <w:tcPr>
            <w:tcW w:w="626" w:type="dxa"/>
            <w:tcBorders>
              <w:top w:val="nil"/>
              <w:left w:val="nil"/>
              <w:bottom w:val="single" w:sz="8" w:space="0" w:color="DCDDDE"/>
              <w:right w:val="nil"/>
            </w:tcBorders>
            <w:shd w:val="clear" w:color="000000" w:fill="FFFFFF"/>
            <w:noWrap/>
            <w:vAlign w:val="center"/>
            <w:hideMark/>
          </w:tcPr>
          <w:p w14:paraId="497C20E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441.2</w:t>
            </w:r>
          </w:p>
        </w:tc>
        <w:tc>
          <w:tcPr>
            <w:tcW w:w="626" w:type="dxa"/>
            <w:tcBorders>
              <w:top w:val="nil"/>
              <w:left w:val="nil"/>
              <w:bottom w:val="single" w:sz="8" w:space="0" w:color="DCDDDE"/>
              <w:right w:val="nil"/>
            </w:tcBorders>
            <w:shd w:val="clear" w:color="000000" w:fill="FFFFFF"/>
            <w:noWrap/>
            <w:vAlign w:val="center"/>
            <w:hideMark/>
          </w:tcPr>
          <w:p w14:paraId="3A06DAF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438.7</w:t>
            </w:r>
          </w:p>
        </w:tc>
        <w:tc>
          <w:tcPr>
            <w:tcW w:w="626" w:type="dxa"/>
            <w:tcBorders>
              <w:top w:val="nil"/>
              <w:left w:val="nil"/>
              <w:bottom w:val="single" w:sz="8" w:space="0" w:color="DCDDDE"/>
              <w:right w:val="nil"/>
            </w:tcBorders>
            <w:shd w:val="clear" w:color="000000" w:fill="FFFFFF"/>
            <w:noWrap/>
            <w:vAlign w:val="center"/>
            <w:hideMark/>
          </w:tcPr>
          <w:p w14:paraId="340C080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437.9</w:t>
            </w:r>
          </w:p>
        </w:tc>
        <w:tc>
          <w:tcPr>
            <w:tcW w:w="626" w:type="dxa"/>
            <w:tcBorders>
              <w:top w:val="nil"/>
              <w:left w:val="nil"/>
              <w:bottom w:val="single" w:sz="8" w:space="0" w:color="DCDDDE"/>
              <w:right w:val="nil"/>
            </w:tcBorders>
            <w:shd w:val="clear" w:color="000000" w:fill="FFFFFF"/>
            <w:noWrap/>
            <w:vAlign w:val="center"/>
            <w:hideMark/>
          </w:tcPr>
          <w:p w14:paraId="4C9CF8D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434.0</w:t>
            </w:r>
          </w:p>
        </w:tc>
        <w:tc>
          <w:tcPr>
            <w:tcW w:w="626" w:type="dxa"/>
            <w:tcBorders>
              <w:top w:val="nil"/>
              <w:left w:val="nil"/>
              <w:bottom w:val="single" w:sz="8" w:space="0" w:color="DCDDDE"/>
              <w:right w:val="nil"/>
            </w:tcBorders>
            <w:shd w:val="clear" w:color="000000" w:fill="FFFFFF"/>
            <w:noWrap/>
            <w:vAlign w:val="center"/>
            <w:hideMark/>
          </w:tcPr>
          <w:p w14:paraId="3D042DF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436.1</w:t>
            </w:r>
          </w:p>
        </w:tc>
        <w:tc>
          <w:tcPr>
            <w:tcW w:w="626" w:type="dxa"/>
            <w:tcBorders>
              <w:top w:val="nil"/>
              <w:left w:val="nil"/>
              <w:bottom w:val="single" w:sz="8" w:space="0" w:color="DCDDDE"/>
              <w:right w:val="nil"/>
            </w:tcBorders>
            <w:shd w:val="clear" w:color="000000" w:fill="FFFFFF"/>
            <w:noWrap/>
            <w:vAlign w:val="center"/>
            <w:hideMark/>
          </w:tcPr>
          <w:p w14:paraId="646379D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432.5</w:t>
            </w:r>
          </w:p>
        </w:tc>
        <w:tc>
          <w:tcPr>
            <w:tcW w:w="626" w:type="dxa"/>
            <w:tcBorders>
              <w:top w:val="nil"/>
              <w:left w:val="nil"/>
              <w:bottom w:val="single" w:sz="8" w:space="0" w:color="DCDDDE"/>
              <w:right w:val="nil"/>
            </w:tcBorders>
            <w:shd w:val="clear" w:color="000000" w:fill="FFFFFF"/>
            <w:noWrap/>
            <w:vAlign w:val="center"/>
            <w:hideMark/>
          </w:tcPr>
          <w:p w14:paraId="5745767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425.1</w:t>
            </w:r>
          </w:p>
        </w:tc>
        <w:tc>
          <w:tcPr>
            <w:tcW w:w="626" w:type="dxa"/>
            <w:tcBorders>
              <w:top w:val="nil"/>
              <w:left w:val="nil"/>
              <w:bottom w:val="single" w:sz="8" w:space="0" w:color="DCDDDE"/>
              <w:right w:val="nil"/>
            </w:tcBorders>
            <w:shd w:val="clear" w:color="000000" w:fill="FFFFFF"/>
            <w:noWrap/>
            <w:vAlign w:val="center"/>
            <w:hideMark/>
          </w:tcPr>
          <w:p w14:paraId="1EDF3CE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417.3</w:t>
            </w:r>
          </w:p>
        </w:tc>
      </w:tr>
    </w:tbl>
    <w:p w14:paraId="7AB26764" w14:textId="77777777" w:rsidR="00181744" w:rsidRDefault="00181744" w:rsidP="00D823AE"/>
    <w:p w14:paraId="293558D9" w14:textId="77777777" w:rsidR="00181744" w:rsidRDefault="00181744">
      <w:pPr>
        <w:spacing w:line="240" w:lineRule="auto"/>
      </w:pPr>
      <w:r>
        <w:lastRenderedPageBreak/>
        <w:br w:type="page"/>
      </w:r>
    </w:p>
    <w:p w14:paraId="7E9E377F" w14:textId="77777777" w:rsidR="00D823AE" w:rsidRDefault="00D823AE" w:rsidP="00D823AE">
      <w:pPr>
        <w:pStyle w:val="Heading6"/>
      </w:pPr>
      <w:bookmarkStart w:id="1118" w:name="_Toc485126612"/>
      <w:r>
        <w:lastRenderedPageBreak/>
        <w:t>SCG</w:t>
      </w:r>
      <w:bookmarkEnd w:id="1118"/>
    </w:p>
    <w:p w14:paraId="16C40BF5" w14:textId="77777777" w:rsidR="00D823AE" w:rsidRDefault="00D823AE" w:rsidP="00D823AE">
      <w:pPr>
        <w:pStyle w:val="Caption"/>
      </w:pPr>
      <w:bookmarkStart w:id="1119" w:name="_Toc485125635"/>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6</w:t>
      </w:r>
      <w:r w:rsidR="00272F76">
        <w:rPr>
          <w:noProof/>
        </w:rPr>
        <w:fldChar w:fldCharType="end"/>
      </w:r>
      <w:r w:rsidRPr="006F2DA9">
        <w:t xml:space="preserve">. </w:t>
      </w:r>
      <w:r>
        <w:t>SCG Gas Savings</w:t>
      </w:r>
      <w:bookmarkEnd w:id="1119"/>
    </w:p>
    <w:tbl>
      <w:tblPr>
        <w:tblW w:w="9061" w:type="dxa"/>
        <w:tblLook w:val="04A0" w:firstRow="1" w:lastRow="0" w:firstColumn="1" w:lastColumn="0" w:noHBand="0" w:noVBand="1"/>
      </w:tblPr>
      <w:tblGrid>
        <w:gridCol w:w="1342"/>
        <w:gridCol w:w="593"/>
        <w:gridCol w:w="593"/>
        <w:gridCol w:w="593"/>
        <w:gridCol w:w="593"/>
        <w:gridCol w:w="593"/>
        <w:gridCol w:w="593"/>
        <w:gridCol w:w="593"/>
        <w:gridCol w:w="593"/>
        <w:gridCol w:w="593"/>
        <w:gridCol w:w="593"/>
        <w:gridCol w:w="593"/>
        <w:gridCol w:w="593"/>
        <w:gridCol w:w="595"/>
        <w:gridCol w:w="8"/>
      </w:tblGrid>
      <w:tr w:rsidR="00181744" w:rsidRPr="00181744" w14:paraId="26C2B85A" w14:textId="77777777" w:rsidTr="00181744">
        <w:trPr>
          <w:trHeight w:val="244"/>
        </w:trPr>
        <w:tc>
          <w:tcPr>
            <w:tcW w:w="9061" w:type="dxa"/>
            <w:gridSpan w:val="15"/>
            <w:tcBorders>
              <w:top w:val="nil"/>
              <w:left w:val="nil"/>
              <w:bottom w:val="single" w:sz="12" w:space="0" w:color="95D600"/>
              <w:right w:val="nil"/>
            </w:tcBorders>
            <w:shd w:val="clear" w:color="000000" w:fill="555759"/>
            <w:noWrap/>
            <w:vAlign w:val="center"/>
            <w:hideMark/>
          </w:tcPr>
          <w:p w14:paraId="7A0B838D" w14:textId="77777777" w:rsidR="00181744" w:rsidRPr="00181744" w:rsidRDefault="00181744" w:rsidP="00181744">
            <w:pPr>
              <w:spacing w:line="240" w:lineRule="auto"/>
              <w:jc w:val="center"/>
              <w:rPr>
                <w:rFonts w:ascii="Arial Narrow" w:hAnsi="Arial Narrow"/>
                <w:b/>
                <w:bCs/>
                <w:color w:val="FFFFFF"/>
                <w:sz w:val="18"/>
                <w:szCs w:val="18"/>
              </w:rPr>
            </w:pPr>
            <w:r w:rsidRPr="00181744">
              <w:rPr>
                <w:rFonts w:ascii="Arial Narrow" w:hAnsi="Arial Narrow"/>
                <w:b/>
                <w:bCs/>
                <w:color w:val="FFFFFF"/>
                <w:sz w:val="18"/>
                <w:szCs w:val="18"/>
              </w:rPr>
              <w:t>Gas Energy (MMTherm/year)</w:t>
            </w:r>
          </w:p>
        </w:tc>
      </w:tr>
      <w:tr w:rsidR="00181744" w:rsidRPr="00181744" w14:paraId="7F73CA97" w14:textId="77777777" w:rsidTr="00181744">
        <w:trPr>
          <w:gridAfter w:val="1"/>
          <w:wAfter w:w="8" w:type="dxa"/>
          <w:trHeight w:val="256"/>
        </w:trPr>
        <w:tc>
          <w:tcPr>
            <w:tcW w:w="1342" w:type="dxa"/>
            <w:tcBorders>
              <w:top w:val="nil"/>
              <w:left w:val="nil"/>
              <w:bottom w:val="single" w:sz="8" w:space="0" w:color="DCDDDE"/>
              <w:right w:val="nil"/>
            </w:tcBorders>
            <w:shd w:val="clear" w:color="auto" w:fill="auto"/>
            <w:vAlign w:val="center"/>
            <w:hideMark/>
          </w:tcPr>
          <w:p w14:paraId="17271F8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593" w:type="dxa"/>
            <w:tcBorders>
              <w:top w:val="nil"/>
              <w:left w:val="nil"/>
              <w:bottom w:val="single" w:sz="8" w:space="0" w:color="DCDDDE"/>
              <w:right w:val="nil"/>
            </w:tcBorders>
            <w:shd w:val="clear" w:color="auto" w:fill="auto"/>
            <w:noWrap/>
            <w:vAlign w:val="center"/>
            <w:hideMark/>
          </w:tcPr>
          <w:p w14:paraId="52F2294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593" w:type="dxa"/>
            <w:tcBorders>
              <w:top w:val="nil"/>
              <w:left w:val="nil"/>
              <w:bottom w:val="single" w:sz="8" w:space="0" w:color="DCDDDE"/>
              <w:right w:val="nil"/>
            </w:tcBorders>
            <w:shd w:val="clear" w:color="auto" w:fill="auto"/>
            <w:noWrap/>
            <w:vAlign w:val="center"/>
            <w:hideMark/>
          </w:tcPr>
          <w:p w14:paraId="2F27814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593" w:type="dxa"/>
            <w:tcBorders>
              <w:top w:val="nil"/>
              <w:left w:val="nil"/>
              <w:bottom w:val="single" w:sz="8" w:space="0" w:color="DCDDDE"/>
              <w:right w:val="nil"/>
            </w:tcBorders>
            <w:shd w:val="clear" w:color="auto" w:fill="auto"/>
            <w:noWrap/>
            <w:vAlign w:val="center"/>
            <w:hideMark/>
          </w:tcPr>
          <w:p w14:paraId="199883B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593" w:type="dxa"/>
            <w:tcBorders>
              <w:top w:val="nil"/>
              <w:left w:val="nil"/>
              <w:bottom w:val="single" w:sz="8" w:space="0" w:color="DCDDDE"/>
              <w:right w:val="nil"/>
            </w:tcBorders>
            <w:shd w:val="clear" w:color="auto" w:fill="auto"/>
            <w:noWrap/>
            <w:vAlign w:val="center"/>
            <w:hideMark/>
          </w:tcPr>
          <w:p w14:paraId="0B0229C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593" w:type="dxa"/>
            <w:tcBorders>
              <w:top w:val="nil"/>
              <w:left w:val="nil"/>
              <w:bottom w:val="single" w:sz="8" w:space="0" w:color="DCDDDE"/>
              <w:right w:val="nil"/>
            </w:tcBorders>
            <w:shd w:val="clear" w:color="auto" w:fill="auto"/>
            <w:noWrap/>
            <w:vAlign w:val="center"/>
            <w:hideMark/>
          </w:tcPr>
          <w:p w14:paraId="6D08608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593" w:type="dxa"/>
            <w:tcBorders>
              <w:top w:val="nil"/>
              <w:left w:val="nil"/>
              <w:bottom w:val="single" w:sz="8" w:space="0" w:color="DCDDDE"/>
              <w:right w:val="nil"/>
            </w:tcBorders>
            <w:shd w:val="clear" w:color="auto" w:fill="auto"/>
            <w:noWrap/>
            <w:vAlign w:val="center"/>
            <w:hideMark/>
          </w:tcPr>
          <w:p w14:paraId="756CC4B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593" w:type="dxa"/>
            <w:tcBorders>
              <w:top w:val="nil"/>
              <w:left w:val="nil"/>
              <w:bottom w:val="single" w:sz="8" w:space="0" w:color="DCDDDE"/>
              <w:right w:val="nil"/>
            </w:tcBorders>
            <w:shd w:val="clear" w:color="auto" w:fill="auto"/>
            <w:noWrap/>
            <w:vAlign w:val="center"/>
            <w:hideMark/>
          </w:tcPr>
          <w:p w14:paraId="68C42D1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593" w:type="dxa"/>
            <w:tcBorders>
              <w:top w:val="nil"/>
              <w:left w:val="nil"/>
              <w:bottom w:val="single" w:sz="8" w:space="0" w:color="DCDDDE"/>
              <w:right w:val="nil"/>
            </w:tcBorders>
            <w:shd w:val="clear" w:color="auto" w:fill="auto"/>
            <w:noWrap/>
            <w:vAlign w:val="center"/>
            <w:hideMark/>
          </w:tcPr>
          <w:p w14:paraId="4902F8F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593" w:type="dxa"/>
            <w:tcBorders>
              <w:top w:val="nil"/>
              <w:left w:val="nil"/>
              <w:bottom w:val="single" w:sz="8" w:space="0" w:color="DCDDDE"/>
              <w:right w:val="nil"/>
            </w:tcBorders>
            <w:shd w:val="clear" w:color="auto" w:fill="auto"/>
            <w:noWrap/>
            <w:vAlign w:val="center"/>
            <w:hideMark/>
          </w:tcPr>
          <w:p w14:paraId="1215F04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593" w:type="dxa"/>
            <w:tcBorders>
              <w:top w:val="nil"/>
              <w:left w:val="nil"/>
              <w:bottom w:val="single" w:sz="8" w:space="0" w:color="DCDDDE"/>
              <w:right w:val="nil"/>
            </w:tcBorders>
            <w:shd w:val="clear" w:color="auto" w:fill="auto"/>
            <w:noWrap/>
            <w:vAlign w:val="center"/>
            <w:hideMark/>
          </w:tcPr>
          <w:p w14:paraId="6EAE9CE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593" w:type="dxa"/>
            <w:tcBorders>
              <w:top w:val="nil"/>
              <w:left w:val="nil"/>
              <w:bottom w:val="single" w:sz="8" w:space="0" w:color="DCDDDE"/>
              <w:right w:val="nil"/>
            </w:tcBorders>
            <w:shd w:val="clear" w:color="auto" w:fill="auto"/>
            <w:noWrap/>
            <w:vAlign w:val="center"/>
            <w:hideMark/>
          </w:tcPr>
          <w:p w14:paraId="3BC5C84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593" w:type="dxa"/>
            <w:tcBorders>
              <w:top w:val="nil"/>
              <w:left w:val="nil"/>
              <w:bottom w:val="single" w:sz="8" w:space="0" w:color="DCDDDE"/>
              <w:right w:val="nil"/>
            </w:tcBorders>
            <w:shd w:val="clear" w:color="auto" w:fill="auto"/>
            <w:noWrap/>
            <w:vAlign w:val="center"/>
            <w:hideMark/>
          </w:tcPr>
          <w:p w14:paraId="2DA0D93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595" w:type="dxa"/>
            <w:tcBorders>
              <w:top w:val="nil"/>
              <w:left w:val="nil"/>
              <w:bottom w:val="single" w:sz="8" w:space="0" w:color="DCDDDE"/>
              <w:right w:val="nil"/>
            </w:tcBorders>
            <w:shd w:val="clear" w:color="auto" w:fill="auto"/>
            <w:noWrap/>
            <w:vAlign w:val="center"/>
            <w:hideMark/>
          </w:tcPr>
          <w:p w14:paraId="0EB98D7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181744" w:rsidRPr="00181744" w14:paraId="036E1996" w14:textId="77777777" w:rsidTr="00181744">
        <w:trPr>
          <w:trHeight w:val="244"/>
        </w:trPr>
        <w:tc>
          <w:tcPr>
            <w:tcW w:w="9061" w:type="dxa"/>
            <w:gridSpan w:val="15"/>
            <w:tcBorders>
              <w:top w:val="single" w:sz="8" w:space="0" w:color="DCDDDE"/>
              <w:left w:val="nil"/>
              <w:bottom w:val="single" w:sz="8" w:space="0" w:color="DCDDDE"/>
              <w:right w:val="nil"/>
            </w:tcBorders>
            <w:shd w:val="clear" w:color="000000" w:fill="DADADA"/>
            <w:noWrap/>
            <w:vAlign w:val="center"/>
            <w:hideMark/>
          </w:tcPr>
          <w:p w14:paraId="182FF8F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181744" w:rsidRPr="00181744" w14:paraId="2C6CBF2B"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31D82F6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3" w:type="dxa"/>
            <w:tcBorders>
              <w:top w:val="nil"/>
              <w:left w:val="nil"/>
              <w:bottom w:val="single" w:sz="8" w:space="0" w:color="DCDDDE"/>
              <w:right w:val="nil"/>
            </w:tcBorders>
            <w:shd w:val="clear" w:color="000000" w:fill="FFFFFF"/>
            <w:noWrap/>
            <w:vAlign w:val="center"/>
            <w:hideMark/>
          </w:tcPr>
          <w:p w14:paraId="4D9FB78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12.5</w:t>
            </w:r>
          </w:p>
        </w:tc>
        <w:tc>
          <w:tcPr>
            <w:tcW w:w="593" w:type="dxa"/>
            <w:tcBorders>
              <w:top w:val="nil"/>
              <w:left w:val="nil"/>
              <w:bottom w:val="single" w:sz="8" w:space="0" w:color="DCDDDE"/>
              <w:right w:val="nil"/>
            </w:tcBorders>
            <w:shd w:val="clear" w:color="000000" w:fill="FFFFFF"/>
            <w:noWrap/>
            <w:vAlign w:val="center"/>
            <w:hideMark/>
          </w:tcPr>
          <w:p w14:paraId="035044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11.8</w:t>
            </w:r>
          </w:p>
        </w:tc>
        <w:tc>
          <w:tcPr>
            <w:tcW w:w="593" w:type="dxa"/>
            <w:tcBorders>
              <w:top w:val="nil"/>
              <w:left w:val="nil"/>
              <w:bottom w:val="single" w:sz="8" w:space="0" w:color="DCDDDE"/>
              <w:right w:val="nil"/>
            </w:tcBorders>
            <w:shd w:val="clear" w:color="000000" w:fill="FFFFFF"/>
            <w:noWrap/>
            <w:vAlign w:val="center"/>
            <w:hideMark/>
          </w:tcPr>
          <w:p w14:paraId="395285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10.5</w:t>
            </w:r>
          </w:p>
        </w:tc>
        <w:tc>
          <w:tcPr>
            <w:tcW w:w="593" w:type="dxa"/>
            <w:tcBorders>
              <w:top w:val="nil"/>
              <w:left w:val="nil"/>
              <w:bottom w:val="single" w:sz="8" w:space="0" w:color="DCDDDE"/>
              <w:right w:val="nil"/>
            </w:tcBorders>
            <w:shd w:val="clear" w:color="000000" w:fill="FFFFFF"/>
            <w:noWrap/>
            <w:vAlign w:val="center"/>
            <w:hideMark/>
          </w:tcPr>
          <w:p w14:paraId="2DD92F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13.0</w:t>
            </w:r>
          </w:p>
        </w:tc>
        <w:tc>
          <w:tcPr>
            <w:tcW w:w="593" w:type="dxa"/>
            <w:tcBorders>
              <w:top w:val="nil"/>
              <w:left w:val="nil"/>
              <w:bottom w:val="single" w:sz="8" w:space="0" w:color="DCDDDE"/>
              <w:right w:val="nil"/>
            </w:tcBorders>
            <w:shd w:val="clear" w:color="000000" w:fill="FFFFFF"/>
            <w:noWrap/>
            <w:vAlign w:val="center"/>
            <w:hideMark/>
          </w:tcPr>
          <w:p w14:paraId="000DF50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12.9</w:t>
            </w:r>
          </w:p>
        </w:tc>
        <w:tc>
          <w:tcPr>
            <w:tcW w:w="593" w:type="dxa"/>
            <w:tcBorders>
              <w:top w:val="nil"/>
              <w:left w:val="nil"/>
              <w:bottom w:val="single" w:sz="8" w:space="0" w:color="DCDDDE"/>
              <w:right w:val="nil"/>
            </w:tcBorders>
            <w:shd w:val="clear" w:color="000000" w:fill="FFFFFF"/>
            <w:noWrap/>
            <w:vAlign w:val="center"/>
            <w:hideMark/>
          </w:tcPr>
          <w:p w14:paraId="327DA2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12.9</w:t>
            </w:r>
          </w:p>
        </w:tc>
        <w:tc>
          <w:tcPr>
            <w:tcW w:w="593" w:type="dxa"/>
            <w:tcBorders>
              <w:top w:val="nil"/>
              <w:left w:val="nil"/>
              <w:bottom w:val="single" w:sz="8" w:space="0" w:color="DCDDDE"/>
              <w:right w:val="nil"/>
            </w:tcBorders>
            <w:shd w:val="clear" w:color="000000" w:fill="FFFFFF"/>
            <w:noWrap/>
            <w:vAlign w:val="center"/>
            <w:hideMark/>
          </w:tcPr>
          <w:p w14:paraId="18CDE34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12.4</w:t>
            </w:r>
          </w:p>
        </w:tc>
        <w:tc>
          <w:tcPr>
            <w:tcW w:w="593" w:type="dxa"/>
            <w:tcBorders>
              <w:top w:val="nil"/>
              <w:left w:val="nil"/>
              <w:bottom w:val="single" w:sz="8" w:space="0" w:color="DCDDDE"/>
              <w:right w:val="nil"/>
            </w:tcBorders>
            <w:shd w:val="clear" w:color="000000" w:fill="FFFFFF"/>
            <w:noWrap/>
            <w:vAlign w:val="center"/>
            <w:hideMark/>
          </w:tcPr>
          <w:p w14:paraId="2D94150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12.5</w:t>
            </w:r>
          </w:p>
        </w:tc>
        <w:tc>
          <w:tcPr>
            <w:tcW w:w="593" w:type="dxa"/>
            <w:tcBorders>
              <w:top w:val="nil"/>
              <w:left w:val="nil"/>
              <w:bottom w:val="single" w:sz="8" w:space="0" w:color="DCDDDE"/>
              <w:right w:val="nil"/>
            </w:tcBorders>
            <w:shd w:val="clear" w:color="000000" w:fill="FFFFFF"/>
            <w:noWrap/>
            <w:vAlign w:val="center"/>
            <w:hideMark/>
          </w:tcPr>
          <w:p w14:paraId="24F83E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12.1</w:t>
            </w:r>
          </w:p>
        </w:tc>
        <w:tc>
          <w:tcPr>
            <w:tcW w:w="593" w:type="dxa"/>
            <w:tcBorders>
              <w:top w:val="nil"/>
              <w:left w:val="nil"/>
              <w:bottom w:val="single" w:sz="8" w:space="0" w:color="DCDDDE"/>
              <w:right w:val="nil"/>
            </w:tcBorders>
            <w:shd w:val="clear" w:color="000000" w:fill="FFFFFF"/>
            <w:noWrap/>
            <w:vAlign w:val="center"/>
            <w:hideMark/>
          </w:tcPr>
          <w:p w14:paraId="627FF05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11.8</w:t>
            </w:r>
          </w:p>
        </w:tc>
        <w:tc>
          <w:tcPr>
            <w:tcW w:w="593" w:type="dxa"/>
            <w:tcBorders>
              <w:top w:val="nil"/>
              <w:left w:val="nil"/>
              <w:bottom w:val="single" w:sz="8" w:space="0" w:color="DCDDDE"/>
              <w:right w:val="nil"/>
            </w:tcBorders>
            <w:shd w:val="clear" w:color="000000" w:fill="FFFFFF"/>
            <w:noWrap/>
            <w:vAlign w:val="center"/>
            <w:hideMark/>
          </w:tcPr>
          <w:p w14:paraId="6133B5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11.9</w:t>
            </w:r>
          </w:p>
        </w:tc>
        <w:tc>
          <w:tcPr>
            <w:tcW w:w="593" w:type="dxa"/>
            <w:tcBorders>
              <w:top w:val="nil"/>
              <w:left w:val="nil"/>
              <w:bottom w:val="single" w:sz="8" w:space="0" w:color="DCDDDE"/>
              <w:right w:val="nil"/>
            </w:tcBorders>
            <w:shd w:val="clear" w:color="000000" w:fill="FFFFFF"/>
            <w:noWrap/>
            <w:vAlign w:val="center"/>
            <w:hideMark/>
          </w:tcPr>
          <w:p w14:paraId="17CECFE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11.8</w:t>
            </w:r>
          </w:p>
        </w:tc>
        <w:tc>
          <w:tcPr>
            <w:tcW w:w="595" w:type="dxa"/>
            <w:tcBorders>
              <w:top w:val="nil"/>
              <w:left w:val="nil"/>
              <w:bottom w:val="single" w:sz="8" w:space="0" w:color="DCDDDE"/>
              <w:right w:val="nil"/>
            </w:tcBorders>
            <w:shd w:val="clear" w:color="000000" w:fill="FFFFFF"/>
            <w:noWrap/>
            <w:vAlign w:val="center"/>
            <w:hideMark/>
          </w:tcPr>
          <w:p w14:paraId="7409862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12.1</w:t>
            </w:r>
          </w:p>
        </w:tc>
      </w:tr>
      <w:tr w:rsidR="00181744" w:rsidRPr="00181744" w14:paraId="2B3A006F"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62EE9A3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3" w:type="dxa"/>
            <w:tcBorders>
              <w:top w:val="nil"/>
              <w:left w:val="nil"/>
              <w:bottom w:val="single" w:sz="8" w:space="0" w:color="DCDDDE"/>
              <w:right w:val="nil"/>
            </w:tcBorders>
            <w:shd w:val="clear" w:color="000000" w:fill="FFFFFF"/>
            <w:noWrap/>
            <w:vAlign w:val="center"/>
            <w:hideMark/>
          </w:tcPr>
          <w:p w14:paraId="769F997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63CEF70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15E83D3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26.9</w:t>
            </w:r>
          </w:p>
        </w:tc>
        <w:tc>
          <w:tcPr>
            <w:tcW w:w="593" w:type="dxa"/>
            <w:tcBorders>
              <w:top w:val="nil"/>
              <w:left w:val="nil"/>
              <w:bottom w:val="single" w:sz="8" w:space="0" w:color="DCDDDE"/>
              <w:right w:val="nil"/>
            </w:tcBorders>
            <w:shd w:val="clear" w:color="000000" w:fill="FFFFFF"/>
            <w:noWrap/>
            <w:vAlign w:val="center"/>
            <w:hideMark/>
          </w:tcPr>
          <w:p w14:paraId="0981F1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31.1</w:t>
            </w:r>
          </w:p>
        </w:tc>
        <w:tc>
          <w:tcPr>
            <w:tcW w:w="593" w:type="dxa"/>
            <w:tcBorders>
              <w:top w:val="nil"/>
              <w:left w:val="nil"/>
              <w:bottom w:val="single" w:sz="8" w:space="0" w:color="DCDDDE"/>
              <w:right w:val="nil"/>
            </w:tcBorders>
            <w:shd w:val="clear" w:color="000000" w:fill="FFFFFF"/>
            <w:noWrap/>
            <w:vAlign w:val="center"/>
            <w:hideMark/>
          </w:tcPr>
          <w:p w14:paraId="5911F96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31.3</w:t>
            </w:r>
          </w:p>
        </w:tc>
        <w:tc>
          <w:tcPr>
            <w:tcW w:w="593" w:type="dxa"/>
            <w:tcBorders>
              <w:top w:val="nil"/>
              <w:left w:val="nil"/>
              <w:bottom w:val="single" w:sz="8" w:space="0" w:color="DCDDDE"/>
              <w:right w:val="nil"/>
            </w:tcBorders>
            <w:shd w:val="clear" w:color="000000" w:fill="FFFFFF"/>
            <w:noWrap/>
            <w:vAlign w:val="center"/>
            <w:hideMark/>
          </w:tcPr>
          <w:p w14:paraId="219998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31.6</w:t>
            </w:r>
          </w:p>
        </w:tc>
        <w:tc>
          <w:tcPr>
            <w:tcW w:w="593" w:type="dxa"/>
            <w:tcBorders>
              <w:top w:val="nil"/>
              <w:left w:val="nil"/>
              <w:bottom w:val="single" w:sz="8" w:space="0" w:color="DCDDDE"/>
              <w:right w:val="nil"/>
            </w:tcBorders>
            <w:shd w:val="clear" w:color="000000" w:fill="FFFFFF"/>
            <w:noWrap/>
            <w:vAlign w:val="center"/>
            <w:hideMark/>
          </w:tcPr>
          <w:p w14:paraId="1C735D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31.5</w:t>
            </w:r>
          </w:p>
        </w:tc>
        <w:tc>
          <w:tcPr>
            <w:tcW w:w="593" w:type="dxa"/>
            <w:tcBorders>
              <w:top w:val="nil"/>
              <w:left w:val="nil"/>
              <w:bottom w:val="single" w:sz="8" w:space="0" w:color="DCDDDE"/>
              <w:right w:val="nil"/>
            </w:tcBorders>
            <w:shd w:val="clear" w:color="000000" w:fill="FFFFFF"/>
            <w:noWrap/>
            <w:vAlign w:val="center"/>
            <w:hideMark/>
          </w:tcPr>
          <w:p w14:paraId="10CBF2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31.4</w:t>
            </w:r>
          </w:p>
        </w:tc>
        <w:tc>
          <w:tcPr>
            <w:tcW w:w="593" w:type="dxa"/>
            <w:tcBorders>
              <w:top w:val="nil"/>
              <w:left w:val="nil"/>
              <w:bottom w:val="single" w:sz="8" w:space="0" w:color="DCDDDE"/>
              <w:right w:val="nil"/>
            </w:tcBorders>
            <w:shd w:val="clear" w:color="000000" w:fill="FFFFFF"/>
            <w:noWrap/>
            <w:vAlign w:val="center"/>
            <w:hideMark/>
          </w:tcPr>
          <w:p w14:paraId="7B14AC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23.7</w:t>
            </w:r>
          </w:p>
        </w:tc>
        <w:tc>
          <w:tcPr>
            <w:tcW w:w="593" w:type="dxa"/>
            <w:tcBorders>
              <w:top w:val="nil"/>
              <w:left w:val="nil"/>
              <w:bottom w:val="single" w:sz="8" w:space="0" w:color="DCDDDE"/>
              <w:right w:val="nil"/>
            </w:tcBorders>
            <w:shd w:val="clear" w:color="000000" w:fill="FFFFFF"/>
            <w:noWrap/>
            <w:vAlign w:val="center"/>
            <w:hideMark/>
          </w:tcPr>
          <w:p w14:paraId="631AA87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w:t>
            </w:r>
          </w:p>
        </w:tc>
        <w:tc>
          <w:tcPr>
            <w:tcW w:w="593" w:type="dxa"/>
            <w:tcBorders>
              <w:top w:val="nil"/>
              <w:left w:val="nil"/>
              <w:bottom w:val="single" w:sz="8" w:space="0" w:color="DCDDDE"/>
              <w:right w:val="nil"/>
            </w:tcBorders>
            <w:shd w:val="clear" w:color="000000" w:fill="FFFFFF"/>
            <w:noWrap/>
            <w:vAlign w:val="center"/>
            <w:hideMark/>
          </w:tcPr>
          <w:p w14:paraId="10BF0E8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3" w:type="dxa"/>
            <w:tcBorders>
              <w:top w:val="nil"/>
              <w:left w:val="nil"/>
              <w:bottom w:val="single" w:sz="8" w:space="0" w:color="DCDDDE"/>
              <w:right w:val="nil"/>
            </w:tcBorders>
            <w:shd w:val="clear" w:color="000000" w:fill="FFFFFF"/>
            <w:noWrap/>
            <w:vAlign w:val="center"/>
            <w:hideMark/>
          </w:tcPr>
          <w:p w14:paraId="0C9DAE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22.1</w:t>
            </w:r>
          </w:p>
        </w:tc>
        <w:tc>
          <w:tcPr>
            <w:tcW w:w="595" w:type="dxa"/>
            <w:tcBorders>
              <w:top w:val="nil"/>
              <w:left w:val="nil"/>
              <w:bottom w:val="single" w:sz="8" w:space="0" w:color="DCDDDE"/>
              <w:right w:val="nil"/>
            </w:tcBorders>
            <w:shd w:val="clear" w:color="000000" w:fill="FFFFFF"/>
            <w:noWrap/>
            <w:vAlign w:val="center"/>
            <w:hideMark/>
          </w:tcPr>
          <w:p w14:paraId="1837AE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22.4</w:t>
            </w:r>
          </w:p>
        </w:tc>
      </w:tr>
      <w:tr w:rsidR="00181744" w:rsidRPr="00181744" w14:paraId="7BF129EB"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6B2F75D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3" w:type="dxa"/>
            <w:tcBorders>
              <w:top w:val="nil"/>
              <w:left w:val="nil"/>
              <w:bottom w:val="single" w:sz="8" w:space="0" w:color="DCDDDE"/>
              <w:right w:val="nil"/>
            </w:tcBorders>
            <w:shd w:val="clear" w:color="000000" w:fill="FFFFFF"/>
            <w:noWrap/>
            <w:vAlign w:val="center"/>
            <w:hideMark/>
          </w:tcPr>
          <w:p w14:paraId="16C9B3C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3" w:type="dxa"/>
            <w:tcBorders>
              <w:top w:val="nil"/>
              <w:left w:val="nil"/>
              <w:bottom w:val="single" w:sz="8" w:space="0" w:color="DCDDDE"/>
              <w:right w:val="nil"/>
            </w:tcBorders>
            <w:shd w:val="clear" w:color="000000" w:fill="FFFFFF"/>
            <w:noWrap/>
            <w:vAlign w:val="center"/>
            <w:hideMark/>
          </w:tcPr>
          <w:p w14:paraId="53034D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3" w:type="dxa"/>
            <w:tcBorders>
              <w:top w:val="nil"/>
              <w:left w:val="nil"/>
              <w:bottom w:val="single" w:sz="8" w:space="0" w:color="DCDDDE"/>
              <w:right w:val="nil"/>
            </w:tcBorders>
            <w:shd w:val="clear" w:color="000000" w:fill="FFFFFF"/>
            <w:noWrap/>
            <w:vAlign w:val="center"/>
            <w:hideMark/>
          </w:tcPr>
          <w:p w14:paraId="40B4E72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w:t>
            </w:r>
          </w:p>
        </w:tc>
        <w:tc>
          <w:tcPr>
            <w:tcW w:w="593" w:type="dxa"/>
            <w:tcBorders>
              <w:top w:val="nil"/>
              <w:left w:val="nil"/>
              <w:bottom w:val="single" w:sz="8" w:space="0" w:color="DCDDDE"/>
              <w:right w:val="nil"/>
            </w:tcBorders>
            <w:shd w:val="clear" w:color="000000" w:fill="FFFFFF"/>
            <w:noWrap/>
            <w:vAlign w:val="center"/>
            <w:hideMark/>
          </w:tcPr>
          <w:p w14:paraId="7713BB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8.0</w:t>
            </w:r>
          </w:p>
        </w:tc>
        <w:tc>
          <w:tcPr>
            <w:tcW w:w="593" w:type="dxa"/>
            <w:tcBorders>
              <w:top w:val="nil"/>
              <w:left w:val="nil"/>
              <w:bottom w:val="single" w:sz="8" w:space="0" w:color="DCDDDE"/>
              <w:right w:val="nil"/>
            </w:tcBorders>
            <w:shd w:val="clear" w:color="000000" w:fill="FFFFFF"/>
            <w:noWrap/>
            <w:vAlign w:val="center"/>
            <w:hideMark/>
          </w:tcPr>
          <w:p w14:paraId="4B176C2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8.3</w:t>
            </w:r>
          </w:p>
        </w:tc>
        <w:tc>
          <w:tcPr>
            <w:tcW w:w="593" w:type="dxa"/>
            <w:tcBorders>
              <w:top w:val="nil"/>
              <w:left w:val="nil"/>
              <w:bottom w:val="single" w:sz="8" w:space="0" w:color="DCDDDE"/>
              <w:right w:val="nil"/>
            </w:tcBorders>
            <w:shd w:val="clear" w:color="000000" w:fill="FFFFFF"/>
            <w:noWrap/>
            <w:vAlign w:val="center"/>
            <w:hideMark/>
          </w:tcPr>
          <w:p w14:paraId="5C9CEA1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w:t>
            </w:r>
          </w:p>
        </w:tc>
        <w:tc>
          <w:tcPr>
            <w:tcW w:w="593" w:type="dxa"/>
            <w:tcBorders>
              <w:top w:val="nil"/>
              <w:left w:val="nil"/>
              <w:bottom w:val="single" w:sz="8" w:space="0" w:color="DCDDDE"/>
              <w:right w:val="nil"/>
            </w:tcBorders>
            <w:shd w:val="clear" w:color="000000" w:fill="FFFFFF"/>
            <w:noWrap/>
            <w:vAlign w:val="center"/>
            <w:hideMark/>
          </w:tcPr>
          <w:p w14:paraId="0ACE1B2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8.9</w:t>
            </w:r>
          </w:p>
        </w:tc>
        <w:tc>
          <w:tcPr>
            <w:tcW w:w="593" w:type="dxa"/>
            <w:tcBorders>
              <w:top w:val="nil"/>
              <w:left w:val="nil"/>
              <w:bottom w:val="single" w:sz="8" w:space="0" w:color="DCDDDE"/>
              <w:right w:val="nil"/>
            </w:tcBorders>
            <w:shd w:val="clear" w:color="000000" w:fill="FFFFFF"/>
            <w:noWrap/>
            <w:vAlign w:val="center"/>
            <w:hideMark/>
          </w:tcPr>
          <w:p w14:paraId="1FF364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9.2</w:t>
            </w:r>
          </w:p>
        </w:tc>
        <w:tc>
          <w:tcPr>
            <w:tcW w:w="593" w:type="dxa"/>
            <w:tcBorders>
              <w:top w:val="nil"/>
              <w:left w:val="nil"/>
              <w:bottom w:val="single" w:sz="8" w:space="0" w:color="DCDDDE"/>
              <w:right w:val="nil"/>
            </w:tcBorders>
            <w:shd w:val="clear" w:color="000000" w:fill="FFFFFF"/>
            <w:noWrap/>
            <w:vAlign w:val="center"/>
            <w:hideMark/>
          </w:tcPr>
          <w:p w14:paraId="5755271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9.6</w:t>
            </w:r>
          </w:p>
        </w:tc>
        <w:tc>
          <w:tcPr>
            <w:tcW w:w="593" w:type="dxa"/>
            <w:tcBorders>
              <w:top w:val="nil"/>
              <w:left w:val="nil"/>
              <w:bottom w:val="single" w:sz="8" w:space="0" w:color="DCDDDE"/>
              <w:right w:val="nil"/>
            </w:tcBorders>
            <w:shd w:val="clear" w:color="000000" w:fill="FFFFFF"/>
            <w:noWrap/>
            <w:vAlign w:val="center"/>
            <w:hideMark/>
          </w:tcPr>
          <w:p w14:paraId="78C9AD2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w:t>
            </w:r>
          </w:p>
        </w:tc>
        <w:tc>
          <w:tcPr>
            <w:tcW w:w="593" w:type="dxa"/>
            <w:tcBorders>
              <w:top w:val="nil"/>
              <w:left w:val="nil"/>
              <w:bottom w:val="single" w:sz="8" w:space="0" w:color="DCDDDE"/>
              <w:right w:val="nil"/>
            </w:tcBorders>
            <w:shd w:val="clear" w:color="000000" w:fill="FFFFFF"/>
            <w:noWrap/>
            <w:vAlign w:val="center"/>
            <w:hideMark/>
          </w:tcPr>
          <w:p w14:paraId="6C042DB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10.4</w:t>
            </w:r>
          </w:p>
        </w:tc>
        <w:tc>
          <w:tcPr>
            <w:tcW w:w="593" w:type="dxa"/>
            <w:tcBorders>
              <w:top w:val="nil"/>
              <w:left w:val="nil"/>
              <w:bottom w:val="single" w:sz="8" w:space="0" w:color="DCDDDE"/>
              <w:right w:val="nil"/>
            </w:tcBorders>
            <w:shd w:val="clear" w:color="000000" w:fill="FFFFFF"/>
            <w:noWrap/>
            <w:vAlign w:val="center"/>
            <w:hideMark/>
          </w:tcPr>
          <w:p w14:paraId="775ADE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10.8</w:t>
            </w:r>
          </w:p>
        </w:tc>
        <w:tc>
          <w:tcPr>
            <w:tcW w:w="595" w:type="dxa"/>
            <w:tcBorders>
              <w:top w:val="nil"/>
              <w:left w:val="nil"/>
              <w:bottom w:val="single" w:sz="8" w:space="0" w:color="DCDDDE"/>
              <w:right w:val="nil"/>
            </w:tcBorders>
            <w:shd w:val="clear" w:color="000000" w:fill="FFFFFF"/>
            <w:noWrap/>
            <w:vAlign w:val="center"/>
            <w:hideMark/>
          </w:tcPr>
          <w:p w14:paraId="7418F1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w:t>
            </w:r>
          </w:p>
        </w:tc>
      </w:tr>
      <w:tr w:rsidR="00181744" w:rsidRPr="00181744" w14:paraId="7A690452"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6DE21D2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3" w:type="dxa"/>
            <w:tcBorders>
              <w:top w:val="nil"/>
              <w:left w:val="nil"/>
              <w:bottom w:val="single" w:sz="8" w:space="0" w:color="DCDDDE"/>
              <w:right w:val="nil"/>
            </w:tcBorders>
            <w:shd w:val="clear" w:color="000000" w:fill="FFFFFF"/>
            <w:noWrap/>
            <w:vAlign w:val="center"/>
            <w:hideMark/>
          </w:tcPr>
          <w:p w14:paraId="1686041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w:t>
            </w:r>
          </w:p>
        </w:tc>
        <w:tc>
          <w:tcPr>
            <w:tcW w:w="593" w:type="dxa"/>
            <w:tcBorders>
              <w:top w:val="nil"/>
              <w:left w:val="nil"/>
              <w:bottom w:val="single" w:sz="8" w:space="0" w:color="DCDDDE"/>
              <w:right w:val="nil"/>
            </w:tcBorders>
            <w:shd w:val="clear" w:color="000000" w:fill="FFFFFF"/>
            <w:noWrap/>
            <w:vAlign w:val="center"/>
            <w:hideMark/>
          </w:tcPr>
          <w:p w14:paraId="2E58B2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593" w:type="dxa"/>
            <w:tcBorders>
              <w:top w:val="nil"/>
              <w:left w:val="nil"/>
              <w:bottom w:val="single" w:sz="8" w:space="0" w:color="DCDDDE"/>
              <w:right w:val="nil"/>
            </w:tcBorders>
            <w:shd w:val="clear" w:color="000000" w:fill="FFFFFF"/>
            <w:noWrap/>
            <w:vAlign w:val="center"/>
            <w:hideMark/>
          </w:tcPr>
          <w:p w14:paraId="1BBF6DD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3.6</w:t>
            </w:r>
          </w:p>
        </w:tc>
        <w:tc>
          <w:tcPr>
            <w:tcW w:w="593" w:type="dxa"/>
            <w:tcBorders>
              <w:top w:val="nil"/>
              <w:left w:val="nil"/>
              <w:bottom w:val="single" w:sz="8" w:space="0" w:color="DCDDDE"/>
              <w:right w:val="nil"/>
            </w:tcBorders>
            <w:shd w:val="clear" w:color="000000" w:fill="FFFFFF"/>
            <w:noWrap/>
            <w:vAlign w:val="center"/>
            <w:hideMark/>
          </w:tcPr>
          <w:p w14:paraId="19E63CC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30B59BE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422B5E1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4C64CE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68160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C5986F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19C067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29B05DB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6E0729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5" w:type="dxa"/>
            <w:tcBorders>
              <w:top w:val="nil"/>
              <w:left w:val="nil"/>
              <w:bottom w:val="single" w:sz="8" w:space="0" w:color="DCDDDE"/>
              <w:right w:val="nil"/>
            </w:tcBorders>
            <w:shd w:val="clear" w:color="000000" w:fill="FFFFFF"/>
            <w:noWrap/>
            <w:vAlign w:val="center"/>
            <w:hideMark/>
          </w:tcPr>
          <w:p w14:paraId="23BF3B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r>
      <w:tr w:rsidR="00181744" w:rsidRPr="00181744" w14:paraId="009642A1"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29D7B8F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3" w:type="dxa"/>
            <w:tcBorders>
              <w:top w:val="nil"/>
              <w:left w:val="nil"/>
              <w:bottom w:val="single" w:sz="8" w:space="0" w:color="DCDDDE"/>
              <w:right w:val="nil"/>
            </w:tcBorders>
            <w:shd w:val="clear" w:color="000000" w:fill="FFFFFF"/>
            <w:noWrap/>
            <w:vAlign w:val="center"/>
            <w:hideMark/>
          </w:tcPr>
          <w:p w14:paraId="53DFF39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44.1</w:t>
            </w:r>
          </w:p>
        </w:tc>
        <w:tc>
          <w:tcPr>
            <w:tcW w:w="593" w:type="dxa"/>
            <w:tcBorders>
              <w:top w:val="nil"/>
              <w:left w:val="nil"/>
              <w:bottom w:val="single" w:sz="8" w:space="0" w:color="DCDDDE"/>
              <w:right w:val="nil"/>
            </w:tcBorders>
            <w:shd w:val="clear" w:color="000000" w:fill="FFFFFF"/>
            <w:noWrap/>
            <w:vAlign w:val="center"/>
            <w:hideMark/>
          </w:tcPr>
          <w:p w14:paraId="519188A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43.8</w:t>
            </w:r>
          </w:p>
        </w:tc>
        <w:tc>
          <w:tcPr>
            <w:tcW w:w="593" w:type="dxa"/>
            <w:tcBorders>
              <w:top w:val="nil"/>
              <w:left w:val="nil"/>
              <w:bottom w:val="single" w:sz="8" w:space="0" w:color="DCDDDE"/>
              <w:right w:val="nil"/>
            </w:tcBorders>
            <w:shd w:val="clear" w:color="000000" w:fill="FFFFFF"/>
            <w:noWrap/>
            <w:vAlign w:val="center"/>
            <w:hideMark/>
          </w:tcPr>
          <w:p w14:paraId="573363F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48.6</w:t>
            </w:r>
          </w:p>
        </w:tc>
        <w:tc>
          <w:tcPr>
            <w:tcW w:w="593" w:type="dxa"/>
            <w:tcBorders>
              <w:top w:val="nil"/>
              <w:left w:val="nil"/>
              <w:bottom w:val="single" w:sz="8" w:space="0" w:color="DCDDDE"/>
              <w:right w:val="nil"/>
            </w:tcBorders>
            <w:shd w:val="clear" w:color="000000" w:fill="FFFFFF"/>
            <w:noWrap/>
            <w:vAlign w:val="center"/>
            <w:hideMark/>
          </w:tcPr>
          <w:p w14:paraId="698F3F5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55.2</w:t>
            </w:r>
          </w:p>
        </w:tc>
        <w:tc>
          <w:tcPr>
            <w:tcW w:w="593" w:type="dxa"/>
            <w:tcBorders>
              <w:top w:val="nil"/>
              <w:left w:val="nil"/>
              <w:bottom w:val="single" w:sz="8" w:space="0" w:color="DCDDDE"/>
              <w:right w:val="nil"/>
            </w:tcBorders>
            <w:shd w:val="clear" w:color="000000" w:fill="FFFFFF"/>
            <w:noWrap/>
            <w:vAlign w:val="center"/>
            <w:hideMark/>
          </w:tcPr>
          <w:p w14:paraId="377DDE6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55.6</w:t>
            </w:r>
          </w:p>
        </w:tc>
        <w:tc>
          <w:tcPr>
            <w:tcW w:w="593" w:type="dxa"/>
            <w:tcBorders>
              <w:top w:val="nil"/>
              <w:left w:val="nil"/>
              <w:bottom w:val="single" w:sz="8" w:space="0" w:color="DCDDDE"/>
              <w:right w:val="nil"/>
            </w:tcBorders>
            <w:shd w:val="clear" w:color="000000" w:fill="FFFFFF"/>
            <w:noWrap/>
            <w:vAlign w:val="center"/>
            <w:hideMark/>
          </w:tcPr>
          <w:p w14:paraId="72CAABB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56.1</w:t>
            </w:r>
          </w:p>
        </w:tc>
        <w:tc>
          <w:tcPr>
            <w:tcW w:w="593" w:type="dxa"/>
            <w:tcBorders>
              <w:top w:val="nil"/>
              <w:left w:val="nil"/>
              <w:bottom w:val="single" w:sz="8" w:space="0" w:color="DCDDDE"/>
              <w:right w:val="nil"/>
            </w:tcBorders>
            <w:shd w:val="clear" w:color="000000" w:fill="FFFFFF"/>
            <w:noWrap/>
            <w:vAlign w:val="center"/>
            <w:hideMark/>
          </w:tcPr>
          <w:p w14:paraId="6429E36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55.9</w:t>
            </w:r>
          </w:p>
        </w:tc>
        <w:tc>
          <w:tcPr>
            <w:tcW w:w="593" w:type="dxa"/>
            <w:tcBorders>
              <w:top w:val="nil"/>
              <w:left w:val="nil"/>
              <w:bottom w:val="single" w:sz="8" w:space="0" w:color="DCDDDE"/>
              <w:right w:val="nil"/>
            </w:tcBorders>
            <w:shd w:val="clear" w:color="000000" w:fill="FFFFFF"/>
            <w:noWrap/>
            <w:vAlign w:val="center"/>
            <w:hideMark/>
          </w:tcPr>
          <w:p w14:paraId="36056CC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56.3</w:t>
            </w:r>
          </w:p>
        </w:tc>
        <w:tc>
          <w:tcPr>
            <w:tcW w:w="593" w:type="dxa"/>
            <w:tcBorders>
              <w:top w:val="nil"/>
              <w:left w:val="nil"/>
              <w:bottom w:val="single" w:sz="8" w:space="0" w:color="DCDDDE"/>
              <w:right w:val="nil"/>
            </w:tcBorders>
            <w:shd w:val="clear" w:color="000000" w:fill="FFFFFF"/>
            <w:noWrap/>
            <w:vAlign w:val="center"/>
            <w:hideMark/>
          </w:tcPr>
          <w:p w14:paraId="092B45B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48.6</w:t>
            </w:r>
          </w:p>
        </w:tc>
        <w:tc>
          <w:tcPr>
            <w:tcW w:w="593" w:type="dxa"/>
            <w:tcBorders>
              <w:top w:val="nil"/>
              <w:left w:val="nil"/>
              <w:bottom w:val="single" w:sz="8" w:space="0" w:color="DCDDDE"/>
              <w:right w:val="nil"/>
            </w:tcBorders>
            <w:shd w:val="clear" w:color="000000" w:fill="FFFFFF"/>
            <w:noWrap/>
            <w:vAlign w:val="center"/>
            <w:hideMark/>
          </w:tcPr>
          <w:p w14:paraId="5C1E707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46.6</w:t>
            </w:r>
          </w:p>
        </w:tc>
        <w:tc>
          <w:tcPr>
            <w:tcW w:w="593" w:type="dxa"/>
            <w:tcBorders>
              <w:top w:val="nil"/>
              <w:left w:val="nil"/>
              <w:bottom w:val="single" w:sz="8" w:space="0" w:color="DCDDDE"/>
              <w:right w:val="nil"/>
            </w:tcBorders>
            <w:shd w:val="clear" w:color="000000" w:fill="FFFFFF"/>
            <w:noWrap/>
            <w:vAlign w:val="center"/>
            <w:hideMark/>
          </w:tcPr>
          <w:p w14:paraId="16CE8B0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47.2</w:t>
            </w:r>
          </w:p>
        </w:tc>
        <w:tc>
          <w:tcPr>
            <w:tcW w:w="593" w:type="dxa"/>
            <w:tcBorders>
              <w:top w:val="nil"/>
              <w:left w:val="nil"/>
              <w:bottom w:val="single" w:sz="8" w:space="0" w:color="DCDDDE"/>
              <w:right w:val="nil"/>
            </w:tcBorders>
            <w:shd w:val="clear" w:color="000000" w:fill="FFFFFF"/>
            <w:noWrap/>
            <w:vAlign w:val="center"/>
            <w:hideMark/>
          </w:tcPr>
          <w:p w14:paraId="0CB7A18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47.9</w:t>
            </w:r>
          </w:p>
        </w:tc>
        <w:tc>
          <w:tcPr>
            <w:tcW w:w="595" w:type="dxa"/>
            <w:tcBorders>
              <w:top w:val="nil"/>
              <w:left w:val="nil"/>
              <w:bottom w:val="single" w:sz="8" w:space="0" w:color="DCDDDE"/>
              <w:right w:val="nil"/>
            </w:tcBorders>
            <w:shd w:val="clear" w:color="000000" w:fill="FFFFFF"/>
            <w:noWrap/>
            <w:vAlign w:val="center"/>
            <w:hideMark/>
          </w:tcPr>
          <w:p w14:paraId="7BBC445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48.9</w:t>
            </w:r>
          </w:p>
        </w:tc>
      </w:tr>
      <w:tr w:rsidR="00181744" w:rsidRPr="00181744" w14:paraId="12954307" w14:textId="77777777" w:rsidTr="00181744">
        <w:trPr>
          <w:trHeight w:val="244"/>
        </w:trPr>
        <w:tc>
          <w:tcPr>
            <w:tcW w:w="9061" w:type="dxa"/>
            <w:gridSpan w:val="15"/>
            <w:tcBorders>
              <w:top w:val="single" w:sz="8" w:space="0" w:color="DCDDDE"/>
              <w:left w:val="nil"/>
              <w:bottom w:val="single" w:sz="8" w:space="0" w:color="DCDDDE"/>
              <w:right w:val="nil"/>
            </w:tcBorders>
            <w:shd w:val="clear" w:color="000000" w:fill="DADADA"/>
            <w:noWrap/>
            <w:vAlign w:val="center"/>
            <w:hideMark/>
          </w:tcPr>
          <w:p w14:paraId="1F86D48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181744" w:rsidRPr="00181744" w14:paraId="322E4A35"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033910B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3" w:type="dxa"/>
            <w:tcBorders>
              <w:top w:val="nil"/>
              <w:left w:val="nil"/>
              <w:bottom w:val="single" w:sz="8" w:space="0" w:color="DCDDDE"/>
              <w:right w:val="nil"/>
            </w:tcBorders>
            <w:shd w:val="clear" w:color="000000" w:fill="FFFFFF"/>
            <w:noWrap/>
            <w:vAlign w:val="center"/>
            <w:hideMark/>
          </w:tcPr>
          <w:p w14:paraId="3F42076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14.4</w:t>
            </w:r>
          </w:p>
        </w:tc>
        <w:tc>
          <w:tcPr>
            <w:tcW w:w="593" w:type="dxa"/>
            <w:tcBorders>
              <w:top w:val="nil"/>
              <w:left w:val="nil"/>
              <w:bottom w:val="single" w:sz="8" w:space="0" w:color="DCDDDE"/>
              <w:right w:val="nil"/>
            </w:tcBorders>
            <w:shd w:val="clear" w:color="000000" w:fill="FFFFFF"/>
            <w:noWrap/>
            <w:vAlign w:val="center"/>
            <w:hideMark/>
          </w:tcPr>
          <w:p w14:paraId="63235D0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13.9</w:t>
            </w:r>
          </w:p>
        </w:tc>
        <w:tc>
          <w:tcPr>
            <w:tcW w:w="593" w:type="dxa"/>
            <w:tcBorders>
              <w:top w:val="nil"/>
              <w:left w:val="nil"/>
              <w:bottom w:val="single" w:sz="8" w:space="0" w:color="DCDDDE"/>
              <w:right w:val="nil"/>
            </w:tcBorders>
            <w:shd w:val="clear" w:color="000000" w:fill="FFFFFF"/>
            <w:noWrap/>
            <w:vAlign w:val="center"/>
            <w:hideMark/>
          </w:tcPr>
          <w:p w14:paraId="5EB534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12.9</w:t>
            </w:r>
          </w:p>
        </w:tc>
        <w:tc>
          <w:tcPr>
            <w:tcW w:w="593" w:type="dxa"/>
            <w:tcBorders>
              <w:top w:val="nil"/>
              <w:left w:val="nil"/>
              <w:bottom w:val="single" w:sz="8" w:space="0" w:color="DCDDDE"/>
              <w:right w:val="nil"/>
            </w:tcBorders>
            <w:shd w:val="clear" w:color="000000" w:fill="FFFFFF"/>
            <w:noWrap/>
            <w:vAlign w:val="center"/>
            <w:hideMark/>
          </w:tcPr>
          <w:p w14:paraId="68AD0E7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14.7</w:t>
            </w:r>
          </w:p>
        </w:tc>
        <w:tc>
          <w:tcPr>
            <w:tcW w:w="593" w:type="dxa"/>
            <w:tcBorders>
              <w:top w:val="nil"/>
              <w:left w:val="nil"/>
              <w:bottom w:val="single" w:sz="8" w:space="0" w:color="DCDDDE"/>
              <w:right w:val="nil"/>
            </w:tcBorders>
            <w:shd w:val="clear" w:color="000000" w:fill="FFFFFF"/>
            <w:noWrap/>
            <w:vAlign w:val="center"/>
            <w:hideMark/>
          </w:tcPr>
          <w:p w14:paraId="5210A2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w:t>
            </w:r>
          </w:p>
        </w:tc>
        <w:tc>
          <w:tcPr>
            <w:tcW w:w="593" w:type="dxa"/>
            <w:tcBorders>
              <w:top w:val="nil"/>
              <w:left w:val="nil"/>
              <w:bottom w:val="single" w:sz="8" w:space="0" w:color="DCDDDE"/>
              <w:right w:val="nil"/>
            </w:tcBorders>
            <w:shd w:val="clear" w:color="000000" w:fill="FFFFFF"/>
            <w:noWrap/>
            <w:vAlign w:val="center"/>
            <w:hideMark/>
          </w:tcPr>
          <w:p w14:paraId="6337F0D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18.2</w:t>
            </w:r>
          </w:p>
        </w:tc>
        <w:tc>
          <w:tcPr>
            <w:tcW w:w="593" w:type="dxa"/>
            <w:tcBorders>
              <w:top w:val="nil"/>
              <w:left w:val="nil"/>
              <w:bottom w:val="single" w:sz="8" w:space="0" w:color="DCDDDE"/>
              <w:right w:val="nil"/>
            </w:tcBorders>
            <w:shd w:val="clear" w:color="000000" w:fill="FFFFFF"/>
            <w:noWrap/>
            <w:vAlign w:val="center"/>
            <w:hideMark/>
          </w:tcPr>
          <w:p w14:paraId="741EE26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17.2</w:t>
            </w:r>
          </w:p>
        </w:tc>
        <w:tc>
          <w:tcPr>
            <w:tcW w:w="593" w:type="dxa"/>
            <w:tcBorders>
              <w:top w:val="nil"/>
              <w:left w:val="nil"/>
              <w:bottom w:val="single" w:sz="8" w:space="0" w:color="DCDDDE"/>
              <w:right w:val="nil"/>
            </w:tcBorders>
            <w:shd w:val="clear" w:color="000000" w:fill="FFFFFF"/>
            <w:noWrap/>
            <w:vAlign w:val="center"/>
            <w:hideMark/>
          </w:tcPr>
          <w:p w14:paraId="5FE0B77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16.3</w:t>
            </w:r>
          </w:p>
        </w:tc>
        <w:tc>
          <w:tcPr>
            <w:tcW w:w="593" w:type="dxa"/>
            <w:tcBorders>
              <w:top w:val="nil"/>
              <w:left w:val="nil"/>
              <w:bottom w:val="single" w:sz="8" w:space="0" w:color="DCDDDE"/>
              <w:right w:val="nil"/>
            </w:tcBorders>
            <w:shd w:val="clear" w:color="000000" w:fill="FFFFFF"/>
            <w:noWrap/>
            <w:vAlign w:val="center"/>
            <w:hideMark/>
          </w:tcPr>
          <w:p w14:paraId="4AEB9B5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15.3</w:t>
            </w:r>
          </w:p>
        </w:tc>
        <w:tc>
          <w:tcPr>
            <w:tcW w:w="593" w:type="dxa"/>
            <w:tcBorders>
              <w:top w:val="nil"/>
              <w:left w:val="nil"/>
              <w:bottom w:val="single" w:sz="8" w:space="0" w:color="DCDDDE"/>
              <w:right w:val="nil"/>
            </w:tcBorders>
            <w:shd w:val="clear" w:color="000000" w:fill="FFFFFF"/>
            <w:noWrap/>
            <w:vAlign w:val="center"/>
            <w:hideMark/>
          </w:tcPr>
          <w:p w14:paraId="4BB402A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14.3</w:t>
            </w:r>
          </w:p>
        </w:tc>
        <w:tc>
          <w:tcPr>
            <w:tcW w:w="593" w:type="dxa"/>
            <w:tcBorders>
              <w:top w:val="nil"/>
              <w:left w:val="nil"/>
              <w:bottom w:val="single" w:sz="8" w:space="0" w:color="DCDDDE"/>
              <w:right w:val="nil"/>
            </w:tcBorders>
            <w:shd w:val="clear" w:color="000000" w:fill="FFFFFF"/>
            <w:noWrap/>
            <w:vAlign w:val="center"/>
            <w:hideMark/>
          </w:tcPr>
          <w:p w14:paraId="53D749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13.8</w:t>
            </w:r>
          </w:p>
        </w:tc>
        <w:tc>
          <w:tcPr>
            <w:tcW w:w="593" w:type="dxa"/>
            <w:tcBorders>
              <w:top w:val="nil"/>
              <w:left w:val="nil"/>
              <w:bottom w:val="single" w:sz="8" w:space="0" w:color="DCDDDE"/>
              <w:right w:val="nil"/>
            </w:tcBorders>
            <w:shd w:val="clear" w:color="000000" w:fill="FFFFFF"/>
            <w:noWrap/>
            <w:vAlign w:val="center"/>
            <w:hideMark/>
          </w:tcPr>
          <w:p w14:paraId="0532D08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w:t>
            </w:r>
          </w:p>
        </w:tc>
        <w:tc>
          <w:tcPr>
            <w:tcW w:w="595" w:type="dxa"/>
            <w:tcBorders>
              <w:top w:val="nil"/>
              <w:left w:val="nil"/>
              <w:bottom w:val="single" w:sz="8" w:space="0" w:color="DCDDDE"/>
              <w:right w:val="nil"/>
            </w:tcBorders>
            <w:shd w:val="clear" w:color="000000" w:fill="FFFFFF"/>
            <w:noWrap/>
            <w:vAlign w:val="center"/>
            <w:hideMark/>
          </w:tcPr>
          <w:p w14:paraId="0976EB5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13.8</w:t>
            </w:r>
          </w:p>
        </w:tc>
      </w:tr>
      <w:tr w:rsidR="00181744" w:rsidRPr="00181744" w14:paraId="50506190"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34E1AD8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3" w:type="dxa"/>
            <w:tcBorders>
              <w:top w:val="nil"/>
              <w:left w:val="nil"/>
              <w:bottom w:val="single" w:sz="8" w:space="0" w:color="DCDDDE"/>
              <w:right w:val="nil"/>
            </w:tcBorders>
            <w:shd w:val="clear" w:color="000000" w:fill="FFFFFF"/>
            <w:noWrap/>
            <w:vAlign w:val="center"/>
            <w:hideMark/>
          </w:tcPr>
          <w:p w14:paraId="50CB82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2A5EA8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0C623E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26.9</w:t>
            </w:r>
          </w:p>
        </w:tc>
        <w:tc>
          <w:tcPr>
            <w:tcW w:w="593" w:type="dxa"/>
            <w:tcBorders>
              <w:top w:val="nil"/>
              <w:left w:val="nil"/>
              <w:bottom w:val="single" w:sz="8" w:space="0" w:color="DCDDDE"/>
              <w:right w:val="nil"/>
            </w:tcBorders>
            <w:shd w:val="clear" w:color="000000" w:fill="FFFFFF"/>
            <w:noWrap/>
            <w:vAlign w:val="center"/>
            <w:hideMark/>
          </w:tcPr>
          <w:p w14:paraId="2FFC538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31.1</w:t>
            </w:r>
          </w:p>
        </w:tc>
        <w:tc>
          <w:tcPr>
            <w:tcW w:w="593" w:type="dxa"/>
            <w:tcBorders>
              <w:top w:val="nil"/>
              <w:left w:val="nil"/>
              <w:bottom w:val="single" w:sz="8" w:space="0" w:color="DCDDDE"/>
              <w:right w:val="nil"/>
            </w:tcBorders>
            <w:shd w:val="clear" w:color="000000" w:fill="FFFFFF"/>
            <w:noWrap/>
            <w:vAlign w:val="center"/>
            <w:hideMark/>
          </w:tcPr>
          <w:p w14:paraId="7E1C65A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31.3</w:t>
            </w:r>
          </w:p>
        </w:tc>
        <w:tc>
          <w:tcPr>
            <w:tcW w:w="593" w:type="dxa"/>
            <w:tcBorders>
              <w:top w:val="nil"/>
              <w:left w:val="nil"/>
              <w:bottom w:val="single" w:sz="8" w:space="0" w:color="DCDDDE"/>
              <w:right w:val="nil"/>
            </w:tcBorders>
            <w:shd w:val="clear" w:color="000000" w:fill="FFFFFF"/>
            <w:noWrap/>
            <w:vAlign w:val="center"/>
            <w:hideMark/>
          </w:tcPr>
          <w:p w14:paraId="2274F08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31.6</w:t>
            </w:r>
          </w:p>
        </w:tc>
        <w:tc>
          <w:tcPr>
            <w:tcW w:w="593" w:type="dxa"/>
            <w:tcBorders>
              <w:top w:val="nil"/>
              <w:left w:val="nil"/>
              <w:bottom w:val="single" w:sz="8" w:space="0" w:color="DCDDDE"/>
              <w:right w:val="nil"/>
            </w:tcBorders>
            <w:shd w:val="clear" w:color="000000" w:fill="FFFFFF"/>
            <w:noWrap/>
            <w:vAlign w:val="center"/>
            <w:hideMark/>
          </w:tcPr>
          <w:p w14:paraId="7B3BD5F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31.5</w:t>
            </w:r>
          </w:p>
        </w:tc>
        <w:tc>
          <w:tcPr>
            <w:tcW w:w="593" w:type="dxa"/>
            <w:tcBorders>
              <w:top w:val="nil"/>
              <w:left w:val="nil"/>
              <w:bottom w:val="single" w:sz="8" w:space="0" w:color="DCDDDE"/>
              <w:right w:val="nil"/>
            </w:tcBorders>
            <w:shd w:val="clear" w:color="000000" w:fill="FFFFFF"/>
            <w:noWrap/>
            <w:vAlign w:val="center"/>
            <w:hideMark/>
          </w:tcPr>
          <w:p w14:paraId="418D23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31.4</w:t>
            </w:r>
          </w:p>
        </w:tc>
        <w:tc>
          <w:tcPr>
            <w:tcW w:w="593" w:type="dxa"/>
            <w:tcBorders>
              <w:top w:val="nil"/>
              <w:left w:val="nil"/>
              <w:bottom w:val="single" w:sz="8" w:space="0" w:color="DCDDDE"/>
              <w:right w:val="nil"/>
            </w:tcBorders>
            <w:shd w:val="clear" w:color="000000" w:fill="FFFFFF"/>
            <w:noWrap/>
            <w:vAlign w:val="center"/>
            <w:hideMark/>
          </w:tcPr>
          <w:p w14:paraId="5E8B4E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23.7</w:t>
            </w:r>
          </w:p>
        </w:tc>
        <w:tc>
          <w:tcPr>
            <w:tcW w:w="593" w:type="dxa"/>
            <w:tcBorders>
              <w:top w:val="nil"/>
              <w:left w:val="nil"/>
              <w:bottom w:val="single" w:sz="8" w:space="0" w:color="DCDDDE"/>
              <w:right w:val="nil"/>
            </w:tcBorders>
            <w:shd w:val="clear" w:color="000000" w:fill="FFFFFF"/>
            <w:noWrap/>
            <w:vAlign w:val="center"/>
            <w:hideMark/>
          </w:tcPr>
          <w:p w14:paraId="214737A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w:t>
            </w:r>
          </w:p>
        </w:tc>
        <w:tc>
          <w:tcPr>
            <w:tcW w:w="593" w:type="dxa"/>
            <w:tcBorders>
              <w:top w:val="nil"/>
              <w:left w:val="nil"/>
              <w:bottom w:val="single" w:sz="8" w:space="0" w:color="DCDDDE"/>
              <w:right w:val="nil"/>
            </w:tcBorders>
            <w:shd w:val="clear" w:color="000000" w:fill="FFFFFF"/>
            <w:noWrap/>
            <w:vAlign w:val="center"/>
            <w:hideMark/>
          </w:tcPr>
          <w:p w14:paraId="442F32E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3" w:type="dxa"/>
            <w:tcBorders>
              <w:top w:val="nil"/>
              <w:left w:val="nil"/>
              <w:bottom w:val="single" w:sz="8" w:space="0" w:color="DCDDDE"/>
              <w:right w:val="nil"/>
            </w:tcBorders>
            <w:shd w:val="clear" w:color="000000" w:fill="FFFFFF"/>
            <w:noWrap/>
            <w:vAlign w:val="center"/>
            <w:hideMark/>
          </w:tcPr>
          <w:p w14:paraId="61BF85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22.1</w:t>
            </w:r>
          </w:p>
        </w:tc>
        <w:tc>
          <w:tcPr>
            <w:tcW w:w="595" w:type="dxa"/>
            <w:tcBorders>
              <w:top w:val="nil"/>
              <w:left w:val="nil"/>
              <w:bottom w:val="single" w:sz="8" w:space="0" w:color="DCDDDE"/>
              <w:right w:val="nil"/>
            </w:tcBorders>
            <w:shd w:val="clear" w:color="000000" w:fill="FFFFFF"/>
            <w:noWrap/>
            <w:vAlign w:val="center"/>
            <w:hideMark/>
          </w:tcPr>
          <w:p w14:paraId="0B622C7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22.4</w:t>
            </w:r>
          </w:p>
        </w:tc>
      </w:tr>
      <w:tr w:rsidR="00181744" w:rsidRPr="00181744" w14:paraId="061A54C3"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36BBC21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3" w:type="dxa"/>
            <w:tcBorders>
              <w:top w:val="nil"/>
              <w:left w:val="nil"/>
              <w:bottom w:val="single" w:sz="8" w:space="0" w:color="DCDDDE"/>
              <w:right w:val="nil"/>
            </w:tcBorders>
            <w:shd w:val="clear" w:color="000000" w:fill="FFFFFF"/>
            <w:noWrap/>
            <w:vAlign w:val="center"/>
            <w:hideMark/>
          </w:tcPr>
          <w:p w14:paraId="5C11614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3" w:type="dxa"/>
            <w:tcBorders>
              <w:top w:val="nil"/>
              <w:left w:val="nil"/>
              <w:bottom w:val="single" w:sz="8" w:space="0" w:color="DCDDDE"/>
              <w:right w:val="nil"/>
            </w:tcBorders>
            <w:shd w:val="clear" w:color="000000" w:fill="FFFFFF"/>
            <w:noWrap/>
            <w:vAlign w:val="center"/>
            <w:hideMark/>
          </w:tcPr>
          <w:p w14:paraId="21CD4C0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3" w:type="dxa"/>
            <w:tcBorders>
              <w:top w:val="nil"/>
              <w:left w:val="nil"/>
              <w:bottom w:val="single" w:sz="8" w:space="0" w:color="DCDDDE"/>
              <w:right w:val="nil"/>
            </w:tcBorders>
            <w:shd w:val="clear" w:color="000000" w:fill="FFFFFF"/>
            <w:noWrap/>
            <w:vAlign w:val="center"/>
            <w:hideMark/>
          </w:tcPr>
          <w:p w14:paraId="5BEAE96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w:t>
            </w:r>
          </w:p>
        </w:tc>
        <w:tc>
          <w:tcPr>
            <w:tcW w:w="593" w:type="dxa"/>
            <w:tcBorders>
              <w:top w:val="nil"/>
              <w:left w:val="nil"/>
              <w:bottom w:val="single" w:sz="8" w:space="0" w:color="DCDDDE"/>
              <w:right w:val="nil"/>
            </w:tcBorders>
            <w:shd w:val="clear" w:color="000000" w:fill="FFFFFF"/>
            <w:noWrap/>
            <w:vAlign w:val="center"/>
            <w:hideMark/>
          </w:tcPr>
          <w:p w14:paraId="5E0929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8.0</w:t>
            </w:r>
          </w:p>
        </w:tc>
        <w:tc>
          <w:tcPr>
            <w:tcW w:w="593" w:type="dxa"/>
            <w:tcBorders>
              <w:top w:val="nil"/>
              <w:left w:val="nil"/>
              <w:bottom w:val="single" w:sz="8" w:space="0" w:color="DCDDDE"/>
              <w:right w:val="nil"/>
            </w:tcBorders>
            <w:shd w:val="clear" w:color="000000" w:fill="FFFFFF"/>
            <w:noWrap/>
            <w:vAlign w:val="center"/>
            <w:hideMark/>
          </w:tcPr>
          <w:p w14:paraId="208805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8.3</w:t>
            </w:r>
          </w:p>
        </w:tc>
        <w:tc>
          <w:tcPr>
            <w:tcW w:w="593" w:type="dxa"/>
            <w:tcBorders>
              <w:top w:val="nil"/>
              <w:left w:val="nil"/>
              <w:bottom w:val="single" w:sz="8" w:space="0" w:color="DCDDDE"/>
              <w:right w:val="nil"/>
            </w:tcBorders>
            <w:shd w:val="clear" w:color="000000" w:fill="FFFFFF"/>
            <w:noWrap/>
            <w:vAlign w:val="center"/>
            <w:hideMark/>
          </w:tcPr>
          <w:p w14:paraId="1D471E5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w:t>
            </w:r>
          </w:p>
        </w:tc>
        <w:tc>
          <w:tcPr>
            <w:tcW w:w="593" w:type="dxa"/>
            <w:tcBorders>
              <w:top w:val="nil"/>
              <w:left w:val="nil"/>
              <w:bottom w:val="single" w:sz="8" w:space="0" w:color="DCDDDE"/>
              <w:right w:val="nil"/>
            </w:tcBorders>
            <w:shd w:val="clear" w:color="000000" w:fill="FFFFFF"/>
            <w:noWrap/>
            <w:vAlign w:val="center"/>
            <w:hideMark/>
          </w:tcPr>
          <w:p w14:paraId="4C62F31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8.9</w:t>
            </w:r>
          </w:p>
        </w:tc>
        <w:tc>
          <w:tcPr>
            <w:tcW w:w="593" w:type="dxa"/>
            <w:tcBorders>
              <w:top w:val="nil"/>
              <w:left w:val="nil"/>
              <w:bottom w:val="single" w:sz="8" w:space="0" w:color="DCDDDE"/>
              <w:right w:val="nil"/>
            </w:tcBorders>
            <w:shd w:val="clear" w:color="000000" w:fill="FFFFFF"/>
            <w:noWrap/>
            <w:vAlign w:val="center"/>
            <w:hideMark/>
          </w:tcPr>
          <w:p w14:paraId="0B13FE1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9.2</w:t>
            </w:r>
          </w:p>
        </w:tc>
        <w:tc>
          <w:tcPr>
            <w:tcW w:w="593" w:type="dxa"/>
            <w:tcBorders>
              <w:top w:val="nil"/>
              <w:left w:val="nil"/>
              <w:bottom w:val="single" w:sz="8" w:space="0" w:color="DCDDDE"/>
              <w:right w:val="nil"/>
            </w:tcBorders>
            <w:shd w:val="clear" w:color="000000" w:fill="FFFFFF"/>
            <w:noWrap/>
            <w:vAlign w:val="center"/>
            <w:hideMark/>
          </w:tcPr>
          <w:p w14:paraId="1907783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9.6</w:t>
            </w:r>
          </w:p>
        </w:tc>
        <w:tc>
          <w:tcPr>
            <w:tcW w:w="593" w:type="dxa"/>
            <w:tcBorders>
              <w:top w:val="nil"/>
              <w:left w:val="nil"/>
              <w:bottom w:val="single" w:sz="8" w:space="0" w:color="DCDDDE"/>
              <w:right w:val="nil"/>
            </w:tcBorders>
            <w:shd w:val="clear" w:color="000000" w:fill="FFFFFF"/>
            <w:noWrap/>
            <w:vAlign w:val="center"/>
            <w:hideMark/>
          </w:tcPr>
          <w:p w14:paraId="4E9AE6B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w:t>
            </w:r>
          </w:p>
        </w:tc>
        <w:tc>
          <w:tcPr>
            <w:tcW w:w="593" w:type="dxa"/>
            <w:tcBorders>
              <w:top w:val="nil"/>
              <w:left w:val="nil"/>
              <w:bottom w:val="single" w:sz="8" w:space="0" w:color="DCDDDE"/>
              <w:right w:val="nil"/>
            </w:tcBorders>
            <w:shd w:val="clear" w:color="000000" w:fill="FFFFFF"/>
            <w:noWrap/>
            <w:vAlign w:val="center"/>
            <w:hideMark/>
          </w:tcPr>
          <w:p w14:paraId="2791B81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10.4</w:t>
            </w:r>
          </w:p>
        </w:tc>
        <w:tc>
          <w:tcPr>
            <w:tcW w:w="593" w:type="dxa"/>
            <w:tcBorders>
              <w:top w:val="nil"/>
              <w:left w:val="nil"/>
              <w:bottom w:val="single" w:sz="8" w:space="0" w:color="DCDDDE"/>
              <w:right w:val="nil"/>
            </w:tcBorders>
            <w:shd w:val="clear" w:color="000000" w:fill="FFFFFF"/>
            <w:noWrap/>
            <w:vAlign w:val="center"/>
            <w:hideMark/>
          </w:tcPr>
          <w:p w14:paraId="1C4F70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10.8</w:t>
            </w:r>
          </w:p>
        </w:tc>
        <w:tc>
          <w:tcPr>
            <w:tcW w:w="595" w:type="dxa"/>
            <w:tcBorders>
              <w:top w:val="nil"/>
              <w:left w:val="nil"/>
              <w:bottom w:val="single" w:sz="8" w:space="0" w:color="DCDDDE"/>
              <w:right w:val="nil"/>
            </w:tcBorders>
            <w:shd w:val="clear" w:color="000000" w:fill="FFFFFF"/>
            <w:noWrap/>
            <w:vAlign w:val="center"/>
            <w:hideMark/>
          </w:tcPr>
          <w:p w14:paraId="2E90DA7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w:t>
            </w:r>
          </w:p>
        </w:tc>
      </w:tr>
      <w:tr w:rsidR="00181744" w:rsidRPr="00181744" w14:paraId="5CABEBA3"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3B32798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3" w:type="dxa"/>
            <w:tcBorders>
              <w:top w:val="nil"/>
              <w:left w:val="nil"/>
              <w:bottom w:val="single" w:sz="8" w:space="0" w:color="DCDDDE"/>
              <w:right w:val="nil"/>
            </w:tcBorders>
            <w:shd w:val="clear" w:color="000000" w:fill="FFFFFF"/>
            <w:noWrap/>
            <w:vAlign w:val="center"/>
            <w:hideMark/>
          </w:tcPr>
          <w:p w14:paraId="1A6D353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w:t>
            </w:r>
          </w:p>
        </w:tc>
        <w:tc>
          <w:tcPr>
            <w:tcW w:w="593" w:type="dxa"/>
            <w:tcBorders>
              <w:top w:val="nil"/>
              <w:left w:val="nil"/>
              <w:bottom w:val="single" w:sz="8" w:space="0" w:color="DCDDDE"/>
              <w:right w:val="nil"/>
            </w:tcBorders>
            <w:shd w:val="clear" w:color="000000" w:fill="FFFFFF"/>
            <w:noWrap/>
            <w:vAlign w:val="center"/>
            <w:hideMark/>
          </w:tcPr>
          <w:p w14:paraId="6A9E6A0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593" w:type="dxa"/>
            <w:tcBorders>
              <w:top w:val="nil"/>
              <w:left w:val="nil"/>
              <w:bottom w:val="single" w:sz="8" w:space="0" w:color="DCDDDE"/>
              <w:right w:val="nil"/>
            </w:tcBorders>
            <w:shd w:val="clear" w:color="000000" w:fill="FFFFFF"/>
            <w:noWrap/>
            <w:vAlign w:val="center"/>
            <w:hideMark/>
          </w:tcPr>
          <w:p w14:paraId="5A563E1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3.6</w:t>
            </w:r>
          </w:p>
        </w:tc>
        <w:tc>
          <w:tcPr>
            <w:tcW w:w="593" w:type="dxa"/>
            <w:tcBorders>
              <w:top w:val="nil"/>
              <w:left w:val="nil"/>
              <w:bottom w:val="single" w:sz="8" w:space="0" w:color="DCDDDE"/>
              <w:right w:val="nil"/>
            </w:tcBorders>
            <w:shd w:val="clear" w:color="000000" w:fill="FFFFFF"/>
            <w:noWrap/>
            <w:vAlign w:val="center"/>
            <w:hideMark/>
          </w:tcPr>
          <w:p w14:paraId="399A12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66B991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80F232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7C4789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475328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5C4862A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5FFD4C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36F8E2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39AE27F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5" w:type="dxa"/>
            <w:tcBorders>
              <w:top w:val="nil"/>
              <w:left w:val="nil"/>
              <w:bottom w:val="single" w:sz="8" w:space="0" w:color="DCDDDE"/>
              <w:right w:val="nil"/>
            </w:tcBorders>
            <w:shd w:val="clear" w:color="000000" w:fill="FFFFFF"/>
            <w:noWrap/>
            <w:vAlign w:val="center"/>
            <w:hideMark/>
          </w:tcPr>
          <w:p w14:paraId="694023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r>
      <w:tr w:rsidR="00181744" w:rsidRPr="00181744" w14:paraId="58A312A2"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4A7BA1B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3" w:type="dxa"/>
            <w:tcBorders>
              <w:top w:val="nil"/>
              <w:left w:val="nil"/>
              <w:bottom w:val="single" w:sz="8" w:space="0" w:color="DCDDDE"/>
              <w:right w:val="nil"/>
            </w:tcBorders>
            <w:shd w:val="clear" w:color="000000" w:fill="FFFFFF"/>
            <w:noWrap/>
            <w:vAlign w:val="center"/>
            <w:hideMark/>
          </w:tcPr>
          <w:p w14:paraId="03F7804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46.0</w:t>
            </w:r>
          </w:p>
        </w:tc>
        <w:tc>
          <w:tcPr>
            <w:tcW w:w="593" w:type="dxa"/>
            <w:tcBorders>
              <w:top w:val="nil"/>
              <w:left w:val="nil"/>
              <w:bottom w:val="single" w:sz="8" w:space="0" w:color="DCDDDE"/>
              <w:right w:val="nil"/>
            </w:tcBorders>
            <w:shd w:val="clear" w:color="000000" w:fill="FFFFFF"/>
            <w:noWrap/>
            <w:vAlign w:val="center"/>
            <w:hideMark/>
          </w:tcPr>
          <w:p w14:paraId="4900463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45.9</w:t>
            </w:r>
          </w:p>
        </w:tc>
        <w:tc>
          <w:tcPr>
            <w:tcW w:w="593" w:type="dxa"/>
            <w:tcBorders>
              <w:top w:val="nil"/>
              <w:left w:val="nil"/>
              <w:bottom w:val="single" w:sz="8" w:space="0" w:color="DCDDDE"/>
              <w:right w:val="nil"/>
            </w:tcBorders>
            <w:shd w:val="clear" w:color="000000" w:fill="FFFFFF"/>
            <w:noWrap/>
            <w:vAlign w:val="center"/>
            <w:hideMark/>
          </w:tcPr>
          <w:p w14:paraId="2A923E1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51.1</w:t>
            </w:r>
          </w:p>
        </w:tc>
        <w:tc>
          <w:tcPr>
            <w:tcW w:w="593" w:type="dxa"/>
            <w:tcBorders>
              <w:top w:val="nil"/>
              <w:left w:val="nil"/>
              <w:bottom w:val="single" w:sz="8" w:space="0" w:color="DCDDDE"/>
              <w:right w:val="nil"/>
            </w:tcBorders>
            <w:shd w:val="clear" w:color="000000" w:fill="FFFFFF"/>
            <w:noWrap/>
            <w:vAlign w:val="center"/>
            <w:hideMark/>
          </w:tcPr>
          <w:p w14:paraId="4765B6B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56.9</w:t>
            </w:r>
          </w:p>
        </w:tc>
        <w:tc>
          <w:tcPr>
            <w:tcW w:w="593" w:type="dxa"/>
            <w:tcBorders>
              <w:top w:val="nil"/>
              <w:left w:val="nil"/>
              <w:bottom w:val="single" w:sz="8" w:space="0" w:color="DCDDDE"/>
              <w:right w:val="nil"/>
            </w:tcBorders>
            <w:shd w:val="clear" w:color="000000" w:fill="FFFFFF"/>
            <w:noWrap/>
            <w:vAlign w:val="center"/>
            <w:hideMark/>
          </w:tcPr>
          <w:p w14:paraId="241FCF6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57.2</w:t>
            </w:r>
          </w:p>
        </w:tc>
        <w:tc>
          <w:tcPr>
            <w:tcW w:w="593" w:type="dxa"/>
            <w:tcBorders>
              <w:top w:val="nil"/>
              <w:left w:val="nil"/>
              <w:bottom w:val="single" w:sz="8" w:space="0" w:color="DCDDDE"/>
              <w:right w:val="nil"/>
            </w:tcBorders>
            <w:shd w:val="clear" w:color="000000" w:fill="FFFFFF"/>
            <w:noWrap/>
            <w:vAlign w:val="center"/>
            <w:hideMark/>
          </w:tcPr>
          <w:p w14:paraId="736416A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61.5</w:t>
            </w:r>
          </w:p>
        </w:tc>
        <w:tc>
          <w:tcPr>
            <w:tcW w:w="593" w:type="dxa"/>
            <w:tcBorders>
              <w:top w:val="nil"/>
              <w:left w:val="nil"/>
              <w:bottom w:val="single" w:sz="8" w:space="0" w:color="DCDDDE"/>
              <w:right w:val="nil"/>
            </w:tcBorders>
            <w:shd w:val="clear" w:color="000000" w:fill="FFFFFF"/>
            <w:noWrap/>
            <w:vAlign w:val="center"/>
            <w:hideMark/>
          </w:tcPr>
          <w:p w14:paraId="61C5F10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60.8</w:t>
            </w:r>
          </w:p>
        </w:tc>
        <w:tc>
          <w:tcPr>
            <w:tcW w:w="593" w:type="dxa"/>
            <w:tcBorders>
              <w:top w:val="nil"/>
              <w:left w:val="nil"/>
              <w:bottom w:val="single" w:sz="8" w:space="0" w:color="DCDDDE"/>
              <w:right w:val="nil"/>
            </w:tcBorders>
            <w:shd w:val="clear" w:color="000000" w:fill="FFFFFF"/>
            <w:noWrap/>
            <w:vAlign w:val="center"/>
            <w:hideMark/>
          </w:tcPr>
          <w:p w14:paraId="01BBF31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60.1</w:t>
            </w:r>
          </w:p>
        </w:tc>
        <w:tc>
          <w:tcPr>
            <w:tcW w:w="593" w:type="dxa"/>
            <w:tcBorders>
              <w:top w:val="nil"/>
              <w:left w:val="nil"/>
              <w:bottom w:val="single" w:sz="8" w:space="0" w:color="DCDDDE"/>
              <w:right w:val="nil"/>
            </w:tcBorders>
            <w:shd w:val="clear" w:color="000000" w:fill="FFFFFF"/>
            <w:noWrap/>
            <w:vAlign w:val="center"/>
            <w:hideMark/>
          </w:tcPr>
          <w:p w14:paraId="226A25A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51.8</w:t>
            </w:r>
          </w:p>
        </w:tc>
        <w:tc>
          <w:tcPr>
            <w:tcW w:w="593" w:type="dxa"/>
            <w:tcBorders>
              <w:top w:val="nil"/>
              <w:left w:val="nil"/>
              <w:bottom w:val="single" w:sz="8" w:space="0" w:color="DCDDDE"/>
              <w:right w:val="nil"/>
            </w:tcBorders>
            <w:shd w:val="clear" w:color="000000" w:fill="FFFFFF"/>
            <w:noWrap/>
            <w:vAlign w:val="center"/>
            <w:hideMark/>
          </w:tcPr>
          <w:p w14:paraId="5D345A0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49.1</w:t>
            </w:r>
          </w:p>
        </w:tc>
        <w:tc>
          <w:tcPr>
            <w:tcW w:w="593" w:type="dxa"/>
            <w:tcBorders>
              <w:top w:val="nil"/>
              <w:left w:val="nil"/>
              <w:bottom w:val="single" w:sz="8" w:space="0" w:color="DCDDDE"/>
              <w:right w:val="nil"/>
            </w:tcBorders>
            <w:shd w:val="clear" w:color="000000" w:fill="FFFFFF"/>
            <w:noWrap/>
            <w:vAlign w:val="center"/>
            <w:hideMark/>
          </w:tcPr>
          <w:p w14:paraId="3C6DC86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49.2</w:t>
            </w:r>
          </w:p>
        </w:tc>
        <w:tc>
          <w:tcPr>
            <w:tcW w:w="593" w:type="dxa"/>
            <w:tcBorders>
              <w:top w:val="nil"/>
              <w:left w:val="nil"/>
              <w:bottom w:val="single" w:sz="8" w:space="0" w:color="DCDDDE"/>
              <w:right w:val="nil"/>
            </w:tcBorders>
            <w:shd w:val="clear" w:color="000000" w:fill="FFFFFF"/>
            <w:noWrap/>
            <w:vAlign w:val="center"/>
            <w:hideMark/>
          </w:tcPr>
          <w:p w14:paraId="5AAD204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49.4</w:t>
            </w:r>
          </w:p>
        </w:tc>
        <w:tc>
          <w:tcPr>
            <w:tcW w:w="595" w:type="dxa"/>
            <w:tcBorders>
              <w:top w:val="nil"/>
              <w:left w:val="nil"/>
              <w:bottom w:val="single" w:sz="8" w:space="0" w:color="DCDDDE"/>
              <w:right w:val="nil"/>
            </w:tcBorders>
            <w:shd w:val="clear" w:color="000000" w:fill="FFFFFF"/>
            <w:noWrap/>
            <w:vAlign w:val="center"/>
            <w:hideMark/>
          </w:tcPr>
          <w:p w14:paraId="3EBC4B5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50.7</w:t>
            </w:r>
          </w:p>
        </w:tc>
      </w:tr>
      <w:tr w:rsidR="00181744" w:rsidRPr="00181744" w14:paraId="675D7B73" w14:textId="77777777" w:rsidTr="00181744">
        <w:trPr>
          <w:trHeight w:val="244"/>
        </w:trPr>
        <w:tc>
          <w:tcPr>
            <w:tcW w:w="9061" w:type="dxa"/>
            <w:gridSpan w:val="15"/>
            <w:tcBorders>
              <w:top w:val="single" w:sz="8" w:space="0" w:color="DCDDDE"/>
              <w:left w:val="nil"/>
              <w:bottom w:val="single" w:sz="8" w:space="0" w:color="DCDDDE"/>
              <w:right w:val="nil"/>
            </w:tcBorders>
            <w:shd w:val="clear" w:color="000000" w:fill="DADADA"/>
            <w:noWrap/>
            <w:vAlign w:val="center"/>
            <w:hideMark/>
          </w:tcPr>
          <w:p w14:paraId="030EBC6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181744" w:rsidRPr="00181744" w14:paraId="7739F700"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0855DD0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3" w:type="dxa"/>
            <w:tcBorders>
              <w:top w:val="nil"/>
              <w:left w:val="nil"/>
              <w:bottom w:val="single" w:sz="8" w:space="0" w:color="DCDDDE"/>
              <w:right w:val="nil"/>
            </w:tcBorders>
            <w:shd w:val="clear" w:color="000000" w:fill="FFFFFF"/>
            <w:noWrap/>
            <w:vAlign w:val="center"/>
            <w:hideMark/>
          </w:tcPr>
          <w:p w14:paraId="610DDFE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15.8</w:t>
            </w:r>
          </w:p>
        </w:tc>
        <w:tc>
          <w:tcPr>
            <w:tcW w:w="593" w:type="dxa"/>
            <w:tcBorders>
              <w:top w:val="nil"/>
              <w:left w:val="nil"/>
              <w:bottom w:val="single" w:sz="8" w:space="0" w:color="DCDDDE"/>
              <w:right w:val="nil"/>
            </w:tcBorders>
            <w:shd w:val="clear" w:color="000000" w:fill="FFFFFF"/>
            <w:noWrap/>
            <w:vAlign w:val="center"/>
            <w:hideMark/>
          </w:tcPr>
          <w:p w14:paraId="6C53E3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17.2</w:t>
            </w:r>
          </w:p>
        </w:tc>
        <w:tc>
          <w:tcPr>
            <w:tcW w:w="593" w:type="dxa"/>
            <w:tcBorders>
              <w:top w:val="nil"/>
              <w:left w:val="nil"/>
              <w:bottom w:val="single" w:sz="8" w:space="0" w:color="DCDDDE"/>
              <w:right w:val="nil"/>
            </w:tcBorders>
            <w:shd w:val="clear" w:color="000000" w:fill="FFFFFF"/>
            <w:noWrap/>
            <w:vAlign w:val="center"/>
            <w:hideMark/>
          </w:tcPr>
          <w:p w14:paraId="694EA1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19.6</w:t>
            </w:r>
          </w:p>
        </w:tc>
        <w:tc>
          <w:tcPr>
            <w:tcW w:w="593" w:type="dxa"/>
            <w:tcBorders>
              <w:top w:val="nil"/>
              <w:left w:val="nil"/>
              <w:bottom w:val="single" w:sz="8" w:space="0" w:color="DCDDDE"/>
              <w:right w:val="nil"/>
            </w:tcBorders>
            <w:shd w:val="clear" w:color="000000" w:fill="FFFFFF"/>
            <w:noWrap/>
            <w:vAlign w:val="center"/>
            <w:hideMark/>
          </w:tcPr>
          <w:p w14:paraId="088BD64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20.9</w:t>
            </w:r>
          </w:p>
        </w:tc>
        <w:tc>
          <w:tcPr>
            <w:tcW w:w="593" w:type="dxa"/>
            <w:tcBorders>
              <w:top w:val="nil"/>
              <w:left w:val="nil"/>
              <w:bottom w:val="single" w:sz="8" w:space="0" w:color="DCDDDE"/>
              <w:right w:val="nil"/>
            </w:tcBorders>
            <w:shd w:val="clear" w:color="000000" w:fill="FFFFFF"/>
            <w:noWrap/>
            <w:vAlign w:val="center"/>
            <w:hideMark/>
          </w:tcPr>
          <w:p w14:paraId="77A95C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20.9</w:t>
            </w:r>
          </w:p>
        </w:tc>
        <w:tc>
          <w:tcPr>
            <w:tcW w:w="593" w:type="dxa"/>
            <w:tcBorders>
              <w:top w:val="nil"/>
              <w:left w:val="nil"/>
              <w:bottom w:val="single" w:sz="8" w:space="0" w:color="DCDDDE"/>
              <w:right w:val="nil"/>
            </w:tcBorders>
            <w:shd w:val="clear" w:color="000000" w:fill="FFFFFF"/>
            <w:noWrap/>
            <w:vAlign w:val="center"/>
            <w:hideMark/>
          </w:tcPr>
          <w:p w14:paraId="375EF43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3" w:type="dxa"/>
            <w:tcBorders>
              <w:top w:val="nil"/>
              <w:left w:val="nil"/>
              <w:bottom w:val="single" w:sz="8" w:space="0" w:color="DCDDDE"/>
              <w:right w:val="nil"/>
            </w:tcBorders>
            <w:shd w:val="clear" w:color="000000" w:fill="FFFFFF"/>
            <w:noWrap/>
            <w:vAlign w:val="center"/>
            <w:hideMark/>
          </w:tcPr>
          <w:p w14:paraId="50CB04F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21.0</w:t>
            </w:r>
          </w:p>
        </w:tc>
        <w:tc>
          <w:tcPr>
            <w:tcW w:w="593" w:type="dxa"/>
            <w:tcBorders>
              <w:top w:val="nil"/>
              <w:left w:val="nil"/>
              <w:bottom w:val="single" w:sz="8" w:space="0" w:color="DCDDDE"/>
              <w:right w:val="nil"/>
            </w:tcBorders>
            <w:shd w:val="clear" w:color="000000" w:fill="FFFFFF"/>
            <w:noWrap/>
            <w:vAlign w:val="center"/>
            <w:hideMark/>
          </w:tcPr>
          <w:p w14:paraId="178B748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20.1</w:t>
            </w:r>
          </w:p>
        </w:tc>
        <w:tc>
          <w:tcPr>
            <w:tcW w:w="593" w:type="dxa"/>
            <w:tcBorders>
              <w:top w:val="nil"/>
              <w:left w:val="nil"/>
              <w:bottom w:val="single" w:sz="8" w:space="0" w:color="DCDDDE"/>
              <w:right w:val="nil"/>
            </w:tcBorders>
            <w:shd w:val="clear" w:color="000000" w:fill="FFFFFF"/>
            <w:noWrap/>
            <w:vAlign w:val="center"/>
            <w:hideMark/>
          </w:tcPr>
          <w:p w14:paraId="5C01C98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19.0</w:t>
            </w:r>
          </w:p>
        </w:tc>
        <w:tc>
          <w:tcPr>
            <w:tcW w:w="593" w:type="dxa"/>
            <w:tcBorders>
              <w:top w:val="nil"/>
              <w:left w:val="nil"/>
              <w:bottom w:val="single" w:sz="8" w:space="0" w:color="DCDDDE"/>
              <w:right w:val="nil"/>
            </w:tcBorders>
            <w:shd w:val="clear" w:color="000000" w:fill="FFFFFF"/>
            <w:noWrap/>
            <w:vAlign w:val="center"/>
            <w:hideMark/>
          </w:tcPr>
          <w:p w14:paraId="4B9D87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w:t>
            </w:r>
          </w:p>
        </w:tc>
        <w:tc>
          <w:tcPr>
            <w:tcW w:w="593" w:type="dxa"/>
            <w:tcBorders>
              <w:top w:val="nil"/>
              <w:left w:val="nil"/>
              <w:bottom w:val="single" w:sz="8" w:space="0" w:color="DCDDDE"/>
              <w:right w:val="nil"/>
            </w:tcBorders>
            <w:shd w:val="clear" w:color="000000" w:fill="FFFFFF"/>
            <w:noWrap/>
            <w:vAlign w:val="center"/>
            <w:hideMark/>
          </w:tcPr>
          <w:p w14:paraId="757566C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17.4</w:t>
            </w:r>
          </w:p>
        </w:tc>
        <w:tc>
          <w:tcPr>
            <w:tcW w:w="593" w:type="dxa"/>
            <w:tcBorders>
              <w:top w:val="nil"/>
              <w:left w:val="nil"/>
              <w:bottom w:val="single" w:sz="8" w:space="0" w:color="DCDDDE"/>
              <w:right w:val="nil"/>
            </w:tcBorders>
            <w:shd w:val="clear" w:color="000000" w:fill="FFFFFF"/>
            <w:noWrap/>
            <w:vAlign w:val="center"/>
            <w:hideMark/>
          </w:tcPr>
          <w:p w14:paraId="33F55AB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w:t>
            </w:r>
          </w:p>
        </w:tc>
        <w:tc>
          <w:tcPr>
            <w:tcW w:w="595" w:type="dxa"/>
            <w:tcBorders>
              <w:top w:val="nil"/>
              <w:left w:val="nil"/>
              <w:bottom w:val="single" w:sz="8" w:space="0" w:color="DCDDDE"/>
              <w:right w:val="nil"/>
            </w:tcBorders>
            <w:shd w:val="clear" w:color="000000" w:fill="FFFFFF"/>
            <w:noWrap/>
            <w:vAlign w:val="center"/>
            <w:hideMark/>
          </w:tcPr>
          <w:p w14:paraId="66A587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w:t>
            </w:r>
          </w:p>
        </w:tc>
      </w:tr>
      <w:tr w:rsidR="00181744" w:rsidRPr="00181744" w14:paraId="648AF7AA"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05C5A49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3" w:type="dxa"/>
            <w:tcBorders>
              <w:top w:val="nil"/>
              <w:left w:val="nil"/>
              <w:bottom w:val="single" w:sz="8" w:space="0" w:color="DCDDDE"/>
              <w:right w:val="nil"/>
            </w:tcBorders>
            <w:shd w:val="clear" w:color="000000" w:fill="FFFFFF"/>
            <w:noWrap/>
            <w:vAlign w:val="center"/>
            <w:hideMark/>
          </w:tcPr>
          <w:p w14:paraId="0A4772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7207E19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3366504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26.9</w:t>
            </w:r>
          </w:p>
        </w:tc>
        <w:tc>
          <w:tcPr>
            <w:tcW w:w="593" w:type="dxa"/>
            <w:tcBorders>
              <w:top w:val="nil"/>
              <w:left w:val="nil"/>
              <w:bottom w:val="single" w:sz="8" w:space="0" w:color="DCDDDE"/>
              <w:right w:val="nil"/>
            </w:tcBorders>
            <w:shd w:val="clear" w:color="000000" w:fill="FFFFFF"/>
            <w:noWrap/>
            <w:vAlign w:val="center"/>
            <w:hideMark/>
          </w:tcPr>
          <w:p w14:paraId="77224E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31.1</w:t>
            </w:r>
          </w:p>
        </w:tc>
        <w:tc>
          <w:tcPr>
            <w:tcW w:w="593" w:type="dxa"/>
            <w:tcBorders>
              <w:top w:val="nil"/>
              <w:left w:val="nil"/>
              <w:bottom w:val="single" w:sz="8" w:space="0" w:color="DCDDDE"/>
              <w:right w:val="nil"/>
            </w:tcBorders>
            <w:shd w:val="clear" w:color="000000" w:fill="FFFFFF"/>
            <w:noWrap/>
            <w:vAlign w:val="center"/>
            <w:hideMark/>
          </w:tcPr>
          <w:p w14:paraId="7A3D3DA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31.3</w:t>
            </w:r>
          </w:p>
        </w:tc>
        <w:tc>
          <w:tcPr>
            <w:tcW w:w="593" w:type="dxa"/>
            <w:tcBorders>
              <w:top w:val="nil"/>
              <w:left w:val="nil"/>
              <w:bottom w:val="single" w:sz="8" w:space="0" w:color="DCDDDE"/>
              <w:right w:val="nil"/>
            </w:tcBorders>
            <w:shd w:val="clear" w:color="000000" w:fill="FFFFFF"/>
            <w:noWrap/>
            <w:vAlign w:val="center"/>
            <w:hideMark/>
          </w:tcPr>
          <w:p w14:paraId="1A728EA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31.6</w:t>
            </w:r>
          </w:p>
        </w:tc>
        <w:tc>
          <w:tcPr>
            <w:tcW w:w="593" w:type="dxa"/>
            <w:tcBorders>
              <w:top w:val="nil"/>
              <w:left w:val="nil"/>
              <w:bottom w:val="single" w:sz="8" w:space="0" w:color="DCDDDE"/>
              <w:right w:val="nil"/>
            </w:tcBorders>
            <w:shd w:val="clear" w:color="000000" w:fill="FFFFFF"/>
            <w:noWrap/>
            <w:vAlign w:val="center"/>
            <w:hideMark/>
          </w:tcPr>
          <w:p w14:paraId="37D6661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31.5</w:t>
            </w:r>
          </w:p>
        </w:tc>
        <w:tc>
          <w:tcPr>
            <w:tcW w:w="593" w:type="dxa"/>
            <w:tcBorders>
              <w:top w:val="nil"/>
              <w:left w:val="nil"/>
              <w:bottom w:val="single" w:sz="8" w:space="0" w:color="DCDDDE"/>
              <w:right w:val="nil"/>
            </w:tcBorders>
            <w:shd w:val="clear" w:color="000000" w:fill="FFFFFF"/>
            <w:noWrap/>
            <w:vAlign w:val="center"/>
            <w:hideMark/>
          </w:tcPr>
          <w:p w14:paraId="3716812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31.4</w:t>
            </w:r>
          </w:p>
        </w:tc>
        <w:tc>
          <w:tcPr>
            <w:tcW w:w="593" w:type="dxa"/>
            <w:tcBorders>
              <w:top w:val="nil"/>
              <w:left w:val="nil"/>
              <w:bottom w:val="single" w:sz="8" w:space="0" w:color="DCDDDE"/>
              <w:right w:val="nil"/>
            </w:tcBorders>
            <w:shd w:val="clear" w:color="000000" w:fill="FFFFFF"/>
            <w:noWrap/>
            <w:vAlign w:val="center"/>
            <w:hideMark/>
          </w:tcPr>
          <w:p w14:paraId="7564987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23.7</w:t>
            </w:r>
          </w:p>
        </w:tc>
        <w:tc>
          <w:tcPr>
            <w:tcW w:w="593" w:type="dxa"/>
            <w:tcBorders>
              <w:top w:val="nil"/>
              <w:left w:val="nil"/>
              <w:bottom w:val="single" w:sz="8" w:space="0" w:color="DCDDDE"/>
              <w:right w:val="nil"/>
            </w:tcBorders>
            <w:shd w:val="clear" w:color="000000" w:fill="FFFFFF"/>
            <w:noWrap/>
            <w:vAlign w:val="center"/>
            <w:hideMark/>
          </w:tcPr>
          <w:p w14:paraId="2F3AFA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w:t>
            </w:r>
          </w:p>
        </w:tc>
        <w:tc>
          <w:tcPr>
            <w:tcW w:w="593" w:type="dxa"/>
            <w:tcBorders>
              <w:top w:val="nil"/>
              <w:left w:val="nil"/>
              <w:bottom w:val="single" w:sz="8" w:space="0" w:color="DCDDDE"/>
              <w:right w:val="nil"/>
            </w:tcBorders>
            <w:shd w:val="clear" w:color="000000" w:fill="FFFFFF"/>
            <w:noWrap/>
            <w:vAlign w:val="center"/>
            <w:hideMark/>
          </w:tcPr>
          <w:p w14:paraId="04B7732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3" w:type="dxa"/>
            <w:tcBorders>
              <w:top w:val="nil"/>
              <w:left w:val="nil"/>
              <w:bottom w:val="single" w:sz="8" w:space="0" w:color="DCDDDE"/>
              <w:right w:val="nil"/>
            </w:tcBorders>
            <w:shd w:val="clear" w:color="000000" w:fill="FFFFFF"/>
            <w:noWrap/>
            <w:vAlign w:val="center"/>
            <w:hideMark/>
          </w:tcPr>
          <w:p w14:paraId="0CC9DB8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22.1</w:t>
            </w:r>
          </w:p>
        </w:tc>
        <w:tc>
          <w:tcPr>
            <w:tcW w:w="595" w:type="dxa"/>
            <w:tcBorders>
              <w:top w:val="nil"/>
              <w:left w:val="nil"/>
              <w:bottom w:val="single" w:sz="8" w:space="0" w:color="DCDDDE"/>
              <w:right w:val="nil"/>
            </w:tcBorders>
            <w:shd w:val="clear" w:color="000000" w:fill="FFFFFF"/>
            <w:noWrap/>
            <w:vAlign w:val="center"/>
            <w:hideMark/>
          </w:tcPr>
          <w:p w14:paraId="36F809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22.4</w:t>
            </w:r>
          </w:p>
        </w:tc>
      </w:tr>
      <w:tr w:rsidR="00181744" w:rsidRPr="00181744" w14:paraId="7F4921CA"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424C234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3" w:type="dxa"/>
            <w:tcBorders>
              <w:top w:val="nil"/>
              <w:left w:val="nil"/>
              <w:bottom w:val="single" w:sz="8" w:space="0" w:color="DCDDDE"/>
              <w:right w:val="nil"/>
            </w:tcBorders>
            <w:shd w:val="clear" w:color="000000" w:fill="FFFFFF"/>
            <w:noWrap/>
            <w:vAlign w:val="center"/>
            <w:hideMark/>
          </w:tcPr>
          <w:p w14:paraId="7DF231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3" w:type="dxa"/>
            <w:tcBorders>
              <w:top w:val="nil"/>
              <w:left w:val="nil"/>
              <w:bottom w:val="single" w:sz="8" w:space="0" w:color="DCDDDE"/>
              <w:right w:val="nil"/>
            </w:tcBorders>
            <w:shd w:val="clear" w:color="000000" w:fill="FFFFFF"/>
            <w:noWrap/>
            <w:vAlign w:val="center"/>
            <w:hideMark/>
          </w:tcPr>
          <w:p w14:paraId="4F6421D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3" w:type="dxa"/>
            <w:tcBorders>
              <w:top w:val="nil"/>
              <w:left w:val="nil"/>
              <w:bottom w:val="single" w:sz="8" w:space="0" w:color="DCDDDE"/>
              <w:right w:val="nil"/>
            </w:tcBorders>
            <w:shd w:val="clear" w:color="000000" w:fill="FFFFFF"/>
            <w:noWrap/>
            <w:vAlign w:val="center"/>
            <w:hideMark/>
          </w:tcPr>
          <w:p w14:paraId="4F7284A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w:t>
            </w:r>
          </w:p>
        </w:tc>
        <w:tc>
          <w:tcPr>
            <w:tcW w:w="593" w:type="dxa"/>
            <w:tcBorders>
              <w:top w:val="nil"/>
              <w:left w:val="nil"/>
              <w:bottom w:val="single" w:sz="8" w:space="0" w:color="DCDDDE"/>
              <w:right w:val="nil"/>
            </w:tcBorders>
            <w:shd w:val="clear" w:color="000000" w:fill="FFFFFF"/>
            <w:noWrap/>
            <w:vAlign w:val="center"/>
            <w:hideMark/>
          </w:tcPr>
          <w:p w14:paraId="7756DA5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8.0</w:t>
            </w:r>
          </w:p>
        </w:tc>
        <w:tc>
          <w:tcPr>
            <w:tcW w:w="593" w:type="dxa"/>
            <w:tcBorders>
              <w:top w:val="nil"/>
              <w:left w:val="nil"/>
              <w:bottom w:val="single" w:sz="8" w:space="0" w:color="DCDDDE"/>
              <w:right w:val="nil"/>
            </w:tcBorders>
            <w:shd w:val="clear" w:color="000000" w:fill="FFFFFF"/>
            <w:noWrap/>
            <w:vAlign w:val="center"/>
            <w:hideMark/>
          </w:tcPr>
          <w:p w14:paraId="5A0260B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8.3</w:t>
            </w:r>
          </w:p>
        </w:tc>
        <w:tc>
          <w:tcPr>
            <w:tcW w:w="593" w:type="dxa"/>
            <w:tcBorders>
              <w:top w:val="nil"/>
              <w:left w:val="nil"/>
              <w:bottom w:val="single" w:sz="8" w:space="0" w:color="DCDDDE"/>
              <w:right w:val="nil"/>
            </w:tcBorders>
            <w:shd w:val="clear" w:color="000000" w:fill="FFFFFF"/>
            <w:noWrap/>
            <w:vAlign w:val="center"/>
            <w:hideMark/>
          </w:tcPr>
          <w:p w14:paraId="2845401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w:t>
            </w:r>
          </w:p>
        </w:tc>
        <w:tc>
          <w:tcPr>
            <w:tcW w:w="593" w:type="dxa"/>
            <w:tcBorders>
              <w:top w:val="nil"/>
              <w:left w:val="nil"/>
              <w:bottom w:val="single" w:sz="8" w:space="0" w:color="DCDDDE"/>
              <w:right w:val="nil"/>
            </w:tcBorders>
            <w:shd w:val="clear" w:color="000000" w:fill="FFFFFF"/>
            <w:noWrap/>
            <w:vAlign w:val="center"/>
            <w:hideMark/>
          </w:tcPr>
          <w:p w14:paraId="03B8BCF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8.9</w:t>
            </w:r>
          </w:p>
        </w:tc>
        <w:tc>
          <w:tcPr>
            <w:tcW w:w="593" w:type="dxa"/>
            <w:tcBorders>
              <w:top w:val="nil"/>
              <w:left w:val="nil"/>
              <w:bottom w:val="single" w:sz="8" w:space="0" w:color="DCDDDE"/>
              <w:right w:val="nil"/>
            </w:tcBorders>
            <w:shd w:val="clear" w:color="000000" w:fill="FFFFFF"/>
            <w:noWrap/>
            <w:vAlign w:val="center"/>
            <w:hideMark/>
          </w:tcPr>
          <w:p w14:paraId="613677A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9.2</w:t>
            </w:r>
          </w:p>
        </w:tc>
        <w:tc>
          <w:tcPr>
            <w:tcW w:w="593" w:type="dxa"/>
            <w:tcBorders>
              <w:top w:val="nil"/>
              <w:left w:val="nil"/>
              <w:bottom w:val="single" w:sz="8" w:space="0" w:color="DCDDDE"/>
              <w:right w:val="nil"/>
            </w:tcBorders>
            <w:shd w:val="clear" w:color="000000" w:fill="FFFFFF"/>
            <w:noWrap/>
            <w:vAlign w:val="center"/>
            <w:hideMark/>
          </w:tcPr>
          <w:p w14:paraId="0198D0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9.6</w:t>
            </w:r>
          </w:p>
        </w:tc>
        <w:tc>
          <w:tcPr>
            <w:tcW w:w="593" w:type="dxa"/>
            <w:tcBorders>
              <w:top w:val="nil"/>
              <w:left w:val="nil"/>
              <w:bottom w:val="single" w:sz="8" w:space="0" w:color="DCDDDE"/>
              <w:right w:val="nil"/>
            </w:tcBorders>
            <w:shd w:val="clear" w:color="000000" w:fill="FFFFFF"/>
            <w:noWrap/>
            <w:vAlign w:val="center"/>
            <w:hideMark/>
          </w:tcPr>
          <w:p w14:paraId="5E94FC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w:t>
            </w:r>
          </w:p>
        </w:tc>
        <w:tc>
          <w:tcPr>
            <w:tcW w:w="593" w:type="dxa"/>
            <w:tcBorders>
              <w:top w:val="nil"/>
              <w:left w:val="nil"/>
              <w:bottom w:val="single" w:sz="8" w:space="0" w:color="DCDDDE"/>
              <w:right w:val="nil"/>
            </w:tcBorders>
            <w:shd w:val="clear" w:color="000000" w:fill="FFFFFF"/>
            <w:noWrap/>
            <w:vAlign w:val="center"/>
            <w:hideMark/>
          </w:tcPr>
          <w:p w14:paraId="14AA8E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10.4</w:t>
            </w:r>
          </w:p>
        </w:tc>
        <w:tc>
          <w:tcPr>
            <w:tcW w:w="593" w:type="dxa"/>
            <w:tcBorders>
              <w:top w:val="nil"/>
              <w:left w:val="nil"/>
              <w:bottom w:val="single" w:sz="8" w:space="0" w:color="DCDDDE"/>
              <w:right w:val="nil"/>
            </w:tcBorders>
            <w:shd w:val="clear" w:color="000000" w:fill="FFFFFF"/>
            <w:noWrap/>
            <w:vAlign w:val="center"/>
            <w:hideMark/>
          </w:tcPr>
          <w:p w14:paraId="6E32A6D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10.8</w:t>
            </w:r>
          </w:p>
        </w:tc>
        <w:tc>
          <w:tcPr>
            <w:tcW w:w="595" w:type="dxa"/>
            <w:tcBorders>
              <w:top w:val="nil"/>
              <w:left w:val="nil"/>
              <w:bottom w:val="single" w:sz="8" w:space="0" w:color="DCDDDE"/>
              <w:right w:val="nil"/>
            </w:tcBorders>
            <w:shd w:val="clear" w:color="000000" w:fill="FFFFFF"/>
            <w:noWrap/>
            <w:vAlign w:val="center"/>
            <w:hideMark/>
          </w:tcPr>
          <w:p w14:paraId="2837C9E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w:t>
            </w:r>
          </w:p>
        </w:tc>
      </w:tr>
      <w:tr w:rsidR="00181744" w:rsidRPr="00181744" w14:paraId="61A4CE76"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33A24D2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3" w:type="dxa"/>
            <w:tcBorders>
              <w:top w:val="nil"/>
              <w:left w:val="nil"/>
              <w:bottom w:val="single" w:sz="8" w:space="0" w:color="DCDDDE"/>
              <w:right w:val="nil"/>
            </w:tcBorders>
            <w:shd w:val="clear" w:color="000000" w:fill="FFFFFF"/>
            <w:noWrap/>
            <w:vAlign w:val="center"/>
            <w:hideMark/>
          </w:tcPr>
          <w:p w14:paraId="747693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w:t>
            </w:r>
          </w:p>
        </w:tc>
        <w:tc>
          <w:tcPr>
            <w:tcW w:w="593" w:type="dxa"/>
            <w:tcBorders>
              <w:top w:val="nil"/>
              <w:left w:val="nil"/>
              <w:bottom w:val="single" w:sz="8" w:space="0" w:color="DCDDDE"/>
              <w:right w:val="nil"/>
            </w:tcBorders>
            <w:shd w:val="clear" w:color="000000" w:fill="FFFFFF"/>
            <w:noWrap/>
            <w:vAlign w:val="center"/>
            <w:hideMark/>
          </w:tcPr>
          <w:p w14:paraId="0415E53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593" w:type="dxa"/>
            <w:tcBorders>
              <w:top w:val="nil"/>
              <w:left w:val="nil"/>
              <w:bottom w:val="single" w:sz="8" w:space="0" w:color="DCDDDE"/>
              <w:right w:val="nil"/>
            </w:tcBorders>
            <w:shd w:val="clear" w:color="000000" w:fill="FFFFFF"/>
            <w:noWrap/>
            <w:vAlign w:val="center"/>
            <w:hideMark/>
          </w:tcPr>
          <w:p w14:paraId="5707E5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3.6</w:t>
            </w:r>
          </w:p>
        </w:tc>
        <w:tc>
          <w:tcPr>
            <w:tcW w:w="593" w:type="dxa"/>
            <w:tcBorders>
              <w:top w:val="nil"/>
              <w:left w:val="nil"/>
              <w:bottom w:val="single" w:sz="8" w:space="0" w:color="DCDDDE"/>
              <w:right w:val="nil"/>
            </w:tcBorders>
            <w:shd w:val="clear" w:color="000000" w:fill="FFFFFF"/>
            <w:noWrap/>
            <w:vAlign w:val="center"/>
            <w:hideMark/>
          </w:tcPr>
          <w:p w14:paraId="64F363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684D6F7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DB9DF1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5EAFDA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B624C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250FE7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6E22C5F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47115A9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FCC2B3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5" w:type="dxa"/>
            <w:tcBorders>
              <w:top w:val="nil"/>
              <w:left w:val="nil"/>
              <w:bottom w:val="single" w:sz="8" w:space="0" w:color="DCDDDE"/>
              <w:right w:val="nil"/>
            </w:tcBorders>
            <w:shd w:val="clear" w:color="000000" w:fill="FFFFFF"/>
            <w:noWrap/>
            <w:vAlign w:val="center"/>
            <w:hideMark/>
          </w:tcPr>
          <w:p w14:paraId="56A3B6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r>
      <w:tr w:rsidR="00181744" w:rsidRPr="00181744" w14:paraId="463D9C81"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0A91721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3" w:type="dxa"/>
            <w:tcBorders>
              <w:top w:val="nil"/>
              <w:left w:val="nil"/>
              <w:bottom w:val="single" w:sz="8" w:space="0" w:color="DCDDDE"/>
              <w:right w:val="nil"/>
            </w:tcBorders>
            <w:shd w:val="clear" w:color="000000" w:fill="FFFFFF"/>
            <w:noWrap/>
            <w:vAlign w:val="center"/>
            <w:hideMark/>
          </w:tcPr>
          <w:p w14:paraId="08D395E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47.4</w:t>
            </w:r>
          </w:p>
        </w:tc>
        <w:tc>
          <w:tcPr>
            <w:tcW w:w="593" w:type="dxa"/>
            <w:tcBorders>
              <w:top w:val="nil"/>
              <w:left w:val="nil"/>
              <w:bottom w:val="single" w:sz="8" w:space="0" w:color="DCDDDE"/>
              <w:right w:val="nil"/>
            </w:tcBorders>
            <w:shd w:val="clear" w:color="000000" w:fill="FFFFFF"/>
            <w:noWrap/>
            <w:vAlign w:val="center"/>
            <w:hideMark/>
          </w:tcPr>
          <w:p w14:paraId="382BABA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49.2</w:t>
            </w:r>
          </w:p>
        </w:tc>
        <w:tc>
          <w:tcPr>
            <w:tcW w:w="593" w:type="dxa"/>
            <w:tcBorders>
              <w:top w:val="nil"/>
              <w:left w:val="nil"/>
              <w:bottom w:val="single" w:sz="8" w:space="0" w:color="DCDDDE"/>
              <w:right w:val="nil"/>
            </w:tcBorders>
            <w:shd w:val="clear" w:color="000000" w:fill="FFFFFF"/>
            <w:noWrap/>
            <w:vAlign w:val="center"/>
            <w:hideMark/>
          </w:tcPr>
          <w:p w14:paraId="7E65A1A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57.7</w:t>
            </w:r>
          </w:p>
        </w:tc>
        <w:tc>
          <w:tcPr>
            <w:tcW w:w="593" w:type="dxa"/>
            <w:tcBorders>
              <w:top w:val="nil"/>
              <w:left w:val="nil"/>
              <w:bottom w:val="single" w:sz="8" w:space="0" w:color="DCDDDE"/>
              <w:right w:val="nil"/>
            </w:tcBorders>
            <w:shd w:val="clear" w:color="000000" w:fill="FFFFFF"/>
            <w:noWrap/>
            <w:vAlign w:val="center"/>
            <w:hideMark/>
          </w:tcPr>
          <w:p w14:paraId="1BF7580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63.2</w:t>
            </w:r>
          </w:p>
        </w:tc>
        <w:tc>
          <w:tcPr>
            <w:tcW w:w="593" w:type="dxa"/>
            <w:tcBorders>
              <w:top w:val="nil"/>
              <w:left w:val="nil"/>
              <w:bottom w:val="single" w:sz="8" w:space="0" w:color="DCDDDE"/>
              <w:right w:val="nil"/>
            </w:tcBorders>
            <w:shd w:val="clear" w:color="000000" w:fill="FFFFFF"/>
            <w:noWrap/>
            <w:vAlign w:val="center"/>
            <w:hideMark/>
          </w:tcPr>
          <w:p w14:paraId="7AF93F7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63.6</w:t>
            </w:r>
          </w:p>
        </w:tc>
        <w:tc>
          <w:tcPr>
            <w:tcW w:w="593" w:type="dxa"/>
            <w:tcBorders>
              <w:top w:val="nil"/>
              <w:left w:val="nil"/>
              <w:bottom w:val="single" w:sz="8" w:space="0" w:color="DCDDDE"/>
              <w:right w:val="nil"/>
            </w:tcBorders>
            <w:shd w:val="clear" w:color="000000" w:fill="FFFFFF"/>
            <w:noWrap/>
            <w:vAlign w:val="center"/>
            <w:hideMark/>
          </w:tcPr>
          <w:p w14:paraId="47057FA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65.0</w:t>
            </w:r>
          </w:p>
        </w:tc>
        <w:tc>
          <w:tcPr>
            <w:tcW w:w="593" w:type="dxa"/>
            <w:tcBorders>
              <w:top w:val="nil"/>
              <w:left w:val="nil"/>
              <w:bottom w:val="single" w:sz="8" w:space="0" w:color="DCDDDE"/>
              <w:right w:val="nil"/>
            </w:tcBorders>
            <w:shd w:val="clear" w:color="000000" w:fill="FFFFFF"/>
            <w:noWrap/>
            <w:vAlign w:val="center"/>
            <w:hideMark/>
          </w:tcPr>
          <w:p w14:paraId="38FF944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64.6</w:t>
            </w:r>
          </w:p>
        </w:tc>
        <w:tc>
          <w:tcPr>
            <w:tcW w:w="593" w:type="dxa"/>
            <w:tcBorders>
              <w:top w:val="nil"/>
              <w:left w:val="nil"/>
              <w:bottom w:val="single" w:sz="8" w:space="0" w:color="DCDDDE"/>
              <w:right w:val="nil"/>
            </w:tcBorders>
            <w:shd w:val="clear" w:color="000000" w:fill="FFFFFF"/>
            <w:noWrap/>
            <w:vAlign w:val="center"/>
            <w:hideMark/>
          </w:tcPr>
          <w:p w14:paraId="3FE7EA0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63.9</w:t>
            </w:r>
          </w:p>
        </w:tc>
        <w:tc>
          <w:tcPr>
            <w:tcW w:w="593" w:type="dxa"/>
            <w:tcBorders>
              <w:top w:val="nil"/>
              <w:left w:val="nil"/>
              <w:bottom w:val="single" w:sz="8" w:space="0" w:color="DCDDDE"/>
              <w:right w:val="nil"/>
            </w:tcBorders>
            <w:shd w:val="clear" w:color="000000" w:fill="FFFFFF"/>
            <w:noWrap/>
            <w:vAlign w:val="center"/>
            <w:hideMark/>
          </w:tcPr>
          <w:p w14:paraId="3F0A6CB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55.5</w:t>
            </w:r>
          </w:p>
        </w:tc>
        <w:tc>
          <w:tcPr>
            <w:tcW w:w="593" w:type="dxa"/>
            <w:tcBorders>
              <w:top w:val="nil"/>
              <w:left w:val="nil"/>
              <w:bottom w:val="single" w:sz="8" w:space="0" w:color="DCDDDE"/>
              <w:right w:val="nil"/>
            </w:tcBorders>
            <w:shd w:val="clear" w:color="000000" w:fill="FFFFFF"/>
            <w:noWrap/>
            <w:vAlign w:val="center"/>
            <w:hideMark/>
          </w:tcPr>
          <w:p w14:paraId="0DF924E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52.8</w:t>
            </w:r>
          </w:p>
        </w:tc>
        <w:tc>
          <w:tcPr>
            <w:tcW w:w="593" w:type="dxa"/>
            <w:tcBorders>
              <w:top w:val="nil"/>
              <w:left w:val="nil"/>
              <w:bottom w:val="single" w:sz="8" w:space="0" w:color="DCDDDE"/>
              <w:right w:val="nil"/>
            </w:tcBorders>
            <w:shd w:val="clear" w:color="000000" w:fill="FFFFFF"/>
            <w:noWrap/>
            <w:vAlign w:val="center"/>
            <w:hideMark/>
          </w:tcPr>
          <w:p w14:paraId="2A08D6B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52.7</w:t>
            </w:r>
          </w:p>
        </w:tc>
        <w:tc>
          <w:tcPr>
            <w:tcW w:w="593" w:type="dxa"/>
            <w:tcBorders>
              <w:top w:val="nil"/>
              <w:left w:val="nil"/>
              <w:bottom w:val="single" w:sz="8" w:space="0" w:color="DCDDDE"/>
              <w:right w:val="nil"/>
            </w:tcBorders>
            <w:shd w:val="clear" w:color="000000" w:fill="FFFFFF"/>
            <w:noWrap/>
            <w:vAlign w:val="center"/>
            <w:hideMark/>
          </w:tcPr>
          <w:p w14:paraId="30229B9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52.9</w:t>
            </w:r>
          </w:p>
        </w:tc>
        <w:tc>
          <w:tcPr>
            <w:tcW w:w="595" w:type="dxa"/>
            <w:tcBorders>
              <w:top w:val="nil"/>
              <w:left w:val="nil"/>
              <w:bottom w:val="single" w:sz="8" w:space="0" w:color="DCDDDE"/>
              <w:right w:val="nil"/>
            </w:tcBorders>
            <w:shd w:val="clear" w:color="000000" w:fill="FFFFFF"/>
            <w:noWrap/>
            <w:vAlign w:val="center"/>
            <w:hideMark/>
          </w:tcPr>
          <w:p w14:paraId="3AB82A5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53.4</w:t>
            </w:r>
          </w:p>
        </w:tc>
      </w:tr>
      <w:tr w:rsidR="00181744" w:rsidRPr="00181744" w14:paraId="459961A5" w14:textId="77777777" w:rsidTr="00181744">
        <w:trPr>
          <w:trHeight w:val="244"/>
        </w:trPr>
        <w:tc>
          <w:tcPr>
            <w:tcW w:w="9061" w:type="dxa"/>
            <w:gridSpan w:val="15"/>
            <w:tcBorders>
              <w:top w:val="single" w:sz="8" w:space="0" w:color="DCDDDE"/>
              <w:left w:val="nil"/>
              <w:bottom w:val="single" w:sz="8" w:space="0" w:color="DCDDDE"/>
              <w:right w:val="nil"/>
            </w:tcBorders>
            <w:shd w:val="clear" w:color="000000" w:fill="DADADA"/>
            <w:noWrap/>
            <w:vAlign w:val="center"/>
            <w:hideMark/>
          </w:tcPr>
          <w:p w14:paraId="44A9EA9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181744" w:rsidRPr="00181744" w14:paraId="3058CD41"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2843D90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3" w:type="dxa"/>
            <w:tcBorders>
              <w:top w:val="nil"/>
              <w:left w:val="nil"/>
              <w:bottom w:val="single" w:sz="8" w:space="0" w:color="DCDDDE"/>
              <w:right w:val="nil"/>
            </w:tcBorders>
            <w:shd w:val="clear" w:color="000000" w:fill="FFFFFF"/>
            <w:noWrap/>
            <w:vAlign w:val="center"/>
            <w:hideMark/>
          </w:tcPr>
          <w:p w14:paraId="4DE98C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w:t>
            </w:r>
          </w:p>
        </w:tc>
        <w:tc>
          <w:tcPr>
            <w:tcW w:w="593" w:type="dxa"/>
            <w:tcBorders>
              <w:top w:val="nil"/>
              <w:left w:val="nil"/>
              <w:bottom w:val="single" w:sz="8" w:space="0" w:color="DCDDDE"/>
              <w:right w:val="nil"/>
            </w:tcBorders>
            <w:shd w:val="clear" w:color="000000" w:fill="FFFFFF"/>
            <w:noWrap/>
            <w:vAlign w:val="center"/>
            <w:hideMark/>
          </w:tcPr>
          <w:p w14:paraId="13B0A1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16.5</w:t>
            </w:r>
          </w:p>
        </w:tc>
        <w:tc>
          <w:tcPr>
            <w:tcW w:w="593" w:type="dxa"/>
            <w:tcBorders>
              <w:top w:val="nil"/>
              <w:left w:val="nil"/>
              <w:bottom w:val="single" w:sz="8" w:space="0" w:color="DCDDDE"/>
              <w:right w:val="nil"/>
            </w:tcBorders>
            <w:shd w:val="clear" w:color="000000" w:fill="FFFFFF"/>
            <w:noWrap/>
            <w:vAlign w:val="center"/>
            <w:hideMark/>
          </w:tcPr>
          <w:p w14:paraId="7A3F05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w:t>
            </w:r>
          </w:p>
        </w:tc>
        <w:tc>
          <w:tcPr>
            <w:tcW w:w="593" w:type="dxa"/>
            <w:tcBorders>
              <w:top w:val="nil"/>
              <w:left w:val="nil"/>
              <w:bottom w:val="single" w:sz="8" w:space="0" w:color="DCDDDE"/>
              <w:right w:val="nil"/>
            </w:tcBorders>
            <w:shd w:val="clear" w:color="000000" w:fill="FFFFFF"/>
            <w:noWrap/>
            <w:vAlign w:val="center"/>
            <w:hideMark/>
          </w:tcPr>
          <w:p w14:paraId="5ECEC4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17.5</w:t>
            </w:r>
          </w:p>
        </w:tc>
        <w:tc>
          <w:tcPr>
            <w:tcW w:w="593" w:type="dxa"/>
            <w:tcBorders>
              <w:top w:val="nil"/>
              <w:left w:val="nil"/>
              <w:bottom w:val="single" w:sz="8" w:space="0" w:color="DCDDDE"/>
              <w:right w:val="nil"/>
            </w:tcBorders>
            <w:shd w:val="clear" w:color="000000" w:fill="FFFFFF"/>
            <w:noWrap/>
            <w:vAlign w:val="center"/>
            <w:hideMark/>
          </w:tcPr>
          <w:p w14:paraId="3D57DDF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21.0</w:t>
            </w:r>
          </w:p>
        </w:tc>
        <w:tc>
          <w:tcPr>
            <w:tcW w:w="593" w:type="dxa"/>
            <w:tcBorders>
              <w:top w:val="nil"/>
              <w:left w:val="nil"/>
              <w:bottom w:val="single" w:sz="8" w:space="0" w:color="DCDDDE"/>
              <w:right w:val="nil"/>
            </w:tcBorders>
            <w:shd w:val="clear" w:color="000000" w:fill="FFFFFF"/>
            <w:noWrap/>
            <w:vAlign w:val="center"/>
            <w:hideMark/>
          </w:tcPr>
          <w:p w14:paraId="6EEA5CA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21.4</w:t>
            </w:r>
          </w:p>
        </w:tc>
        <w:tc>
          <w:tcPr>
            <w:tcW w:w="593" w:type="dxa"/>
            <w:tcBorders>
              <w:top w:val="nil"/>
              <w:left w:val="nil"/>
              <w:bottom w:val="single" w:sz="8" w:space="0" w:color="DCDDDE"/>
              <w:right w:val="nil"/>
            </w:tcBorders>
            <w:shd w:val="clear" w:color="000000" w:fill="FFFFFF"/>
            <w:noWrap/>
            <w:vAlign w:val="center"/>
            <w:hideMark/>
          </w:tcPr>
          <w:p w14:paraId="2FF0BD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20.5</w:t>
            </w:r>
          </w:p>
        </w:tc>
        <w:tc>
          <w:tcPr>
            <w:tcW w:w="593" w:type="dxa"/>
            <w:tcBorders>
              <w:top w:val="nil"/>
              <w:left w:val="nil"/>
              <w:bottom w:val="single" w:sz="8" w:space="0" w:color="DCDDDE"/>
              <w:right w:val="nil"/>
            </w:tcBorders>
            <w:shd w:val="clear" w:color="000000" w:fill="FFFFFF"/>
            <w:noWrap/>
            <w:vAlign w:val="center"/>
            <w:hideMark/>
          </w:tcPr>
          <w:p w14:paraId="4198E0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19.5</w:t>
            </w:r>
          </w:p>
        </w:tc>
        <w:tc>
          <w:tcPr>
            <w:tcW w:w="593" w:type="dxa"/>
            <w:tcBorders>
              <w:top w:val="nil"/>
              <w:left w:val="nil"/>
              <w:bottom w:val="single" w:sz="8" w:space="0" w:color="DCDDDE"/>
              <w:right w:val="nil"/>
            </w:tcBorders>
            <w:shd w:val="clear" w:color="000000" w:fill="FFFFFF"/>
            <w:noWrap/>
            <w:vAlign w:val="center"/>
            <w:hideMark/>
          </w:tcPr>
          <w:p w14:paraId="20DF99D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18.2</w:t>
            </w:r>
          </w:p>
        </w:tc>
        <w:tc>
          <w:tcPr>
            <w:tcW w:w="593" w:type="dxa"/>
            <w:tcBorders>
              <w:top w:val="nil"/>
              <w:left w:val="nil"/>
              <w:bottom w:val="single" w:sz="8" w:space="0" w:color="DCDDDE"/>
              <w:right w:val="nil"/>
            </w:tcBorders>
            <w:shd w:val="clear" w:color="000000" w:fill="FFFFFF"/>
            <w:noWrap/>
            <w:vAlign w:val="center"/>
            <w:hideMark/>
          </w:tcPr>
          <w:p w14:paraId="3D1EB0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17.2</w:t>
            </w:r>
          </w:p>
        </w:tc>
        <w:tc>
          <w:tcPr>
            <w:tcW w:w="593" w:type="dxa"/>
            <w:tcBorders>
              <w:top w:val="nil"/>
              <w:left w:val="nil"/>
              <w:bottom w:val="single" w:sz="8" w:space="0" w:color="DCDDDE"/>
              <w:right w:val="nil"/>
            </w:tcBorders>
            <w:shd w:val="clear" w:color="000000" w:fill="FFFFFF"/>
            <w:noWrap/>
            <w:vAlign w:val="center"/>
            <w:hideMark/>
          </w:tcPr>
          <w:p w14:paraId="5D5FD98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16.5</w:t>
            </w:r>
          </w:p>
        </w:tc>
        <w:tc>
          <w:tcPr>
            <w:tcW w:w="593" w:type="dxa"/>
            <w:tcBorders>
              <w:top w:val="nil"/>
              <w:left w:val="nil"/>
              <w:bottom w:val="single" w:sz="8" w:space="0" w:color="DCDDDE"/>
              <w:right w:val="nil"/>
            </w:tcBorders>
            <w:shd w:val="clear" w:color="000000" w:fill="FFFFFF"/>
            <w:noWrap/>
            <w:vAlign w:val="center"/>
            <w:hideMark/>
          </w:tcPr>
          <w:p w14:paraId="412863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15.9</w:t>
            </w:r>
          </w:p>
        </w:tc>
        <w:tc>
          <w:tcPr>
            <w:tcW w:w="595" w:type="dxa"/>
            <w:tcBorders>
              <w:top w:val="nil"/>
              <w:left w:val="nil"/>
              <w:bottom w:val="single" w:sz="8" w:space="0" w:color="DCDDDE"/>
              <w:right w:val="nil"/>
            </w:tcBorders>
            <w:shd w:val="clear" w:color="000000" w:fill="FFFFFF"/>
            <w:noWrap/>
            <w:vAlign w:val="center"/>
            <w:hideMark/>
          </w:tcPr>
          <w:p w14:paraId="45823C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16.5</w:t>
            </w:r>
          </w:p>
        </w:tc>
      </w:tr>
      <w:tr w:rsidR="00181744" w:rsidRPr="00181744" w14:paraId="6C6D58DE"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59C6F1A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3" w:type="dxa"/>
            <w:tcBorders>
              <w:top w:val="nil"/>
              <w:left w:val="nil"/>
              <w:bottom w:val="single" w:sz="8" w:space="0" w:color="DCDDDE"/>
              <w:right w:val="nil"/>
            </w:tcBorders>
            <w:shd w:val="clear" w:color="000000" w:fill="FFFFFF"/>
            <w:noWrap/>
            <w:vAlign w:val="center"/>
            <w:hideMark/>
          </w:tcPr>
          <w:p w14:paraId="403198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49C61A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50026A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26.9</w:t>
            </w:r>
          </w:p>
        </w:tc>
        <w:tc>
          <w:tcPr>
            <w:tcW w:w="593" w:type="dxa"/>
            <w:tcBorders>
              <w:top w:val="nil"/>
              <w:left w:val="nil"/>
              <w:bottom w:val="single" w:sz="8" w:space="0" w:color="DCDDDE"/>
              <w:right w:val="nil"/>
            </w:tcBorders>
            <w:shd w:val="clear" w:color="000000" w:fill="FFFFFF"/>
            <w:noWrap/>
            <w:vAlign w:val="center"/>
            <w:hideMark/>
          </w:tcPr>
          <w:p w14:paraId="07BDA4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31.1</w:t>
            </w:r>
          </w:p>
        </w:tc>
        <w:tc>
          <w:tcPr>
            <w:tcW w:w="593" w:type="dxa"/>
            <w:tcBorders>
              <w:top w:val="nil"/>
              <w:left w:val="nil"/>
              <w:bottom w:val="single" w:sz="8" w:space="0" w:color="DCDDDE"/>
              <w:right w:val="nil"/>
            </w:tcBorders>
            <w:shd w:val="clear" w:color="000000" w:fill="FFFFFF"/>
            <w:noWrap/>
            <w:vAlign w:val="center"/>
            <w:hideMark/>
          </w:tcPr>
          <w:p w14:paraId="1165F5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31.3</w:t>
            </w:r>
          </w:p>
        </w:tc>
        <w:tc>
          <w:tcPr>
            <w:tcW w:w="593" w:type="dxa"/>
            <w:tcBorders>
              <w:top w:val="nil"/>
              <w:left w:val="nil"/>
              <w:bottom w:val="single" w:sz="8" w:space="0" w:color="DCDDDE"/>
              <w:right w:val="nil"/>
            </w:tcBorders>
            <w:shd w:val="clear" w:color="000000" w:fill="FFFFFF"/>
            <w:noWrap/>
            <w:vAlign w:val="center"/>
            <w:hideMark/>
          </w:tcPr>
          <w:p w14:paraId="0F95641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31.6</w:t>
            </w:r>
          </w:p>
        </w:tc>
        <w:tc>
          <w:tcPr>
            <w:tcW w:w="593" w:type="dxa"/>
            <w:tcBorders>
              <w:top w:val="nil"/>
              <w:left w:val="nil"/>
              <w:bottom w:val="single" w:sz="8" w:space="0" w:color="DCDDDE"/>
              <w:right w:val="nil"/>
            </w:tcBorders>
            <w:shd w:val="clear" w:color="000000" w:fill="FFFFFF"/>
            <w:noWrap/>
            <w:vAlign w:val="center"/>
            <w:hideMark/>
          </w:tcPr>
          <w:p w14:paraId="712DB3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31.5</w:t>
            </w:r>
          </w:p>
        </w:tc>
        <w:tc>
          <w:tcPr>
            <w:tcW w:w="593" w:type="dxa"/>
            <w:tcBorders>
              <w:top w:val="nil"/>
              <w:left w:val="nil"/>
              <w:bottom w:val="single" w:sz="8" w:space="0" w:color="DCDDDE"/>
              <w:right w:val="nil"/>
            </w:tcBorders>
            <w:shd w:val="clear" w:color="000000" w:fill="FFFFFF"/>
            <w:noWrap/>
            <w:vAlign w:val="center"/>
            <w:hideMark/>
          </w:tcPr>
          <w:p w14:paraId="014D0E7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31.4</w:t>
            </w:r>
          </w:p>
        </w:tc>
        <w:tc>
          <w:tcPr>
            <w:tcW w:w="593" w:type="dxa"/>
            <w:tcBorders>
              <w:top w:val="nil"/>
              <w:left w:val="nil"/>
              <w:bottom w:val="single" w:sz="8" w:space="0" w:color="DCDDDE"/>
              <w:right w:val="nil"/>
            </w:tcBorders>
            <w:shd w:val="clear" w:color="000000" w:fill="FFFFFF"/>
            <w:noWrap/>
            <w:vAlign w:val="center"/>
            <w:hideMark/>
          </w:tcPr>
          <w:p w14:paraId="0430F5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23.7</w:t>
            </w:r>
          </w:p>
        </w:tc>
        <w:tc>
          <w:tcPr>
            <w:tcW w:w="593" w:type="dxa"/>
            <w:tcBorders>
              <w:top w:val="nil"/>
              <w:left w:val="nil"/>
              <w:bottom w:val="single" w:sz="8" w:space="0" w:color="DCDDDE"/>
              <w:right w:val="nil"/>
            </w:tcBorders>
            <w:shd w:val="clear" w:color="000000" w:fill="FFFFFF"/>
            <w:noWrap/>
            <w:vAlign w:val="center"/>
            <w:hideMark/>
          </w:tcPr>
          <w:p w14:paraId="655740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w:t>
            </w:r>
          </w:p>
        </w:tc>
        <w:tc>
          <w:tcPr>
            <w:tcW w:w="593" w:type="dxa"/>
            <w:tcBorders>
              <w:top w:val="nil"/>
              <w:left w:val="nil"/>
              <w:bottom w:val="single" w:sz="8" w:space="0" w:color="DCDDDE"/>
              <w:right w:val="nil"/>
            </w:tcBorders>
            <w:shd w:val="clear" w:color="000000" w:fill="FFFFFF"/>
            <w:noWrap/>
            <w:vAlign w:val="center"/>
            <w:hideMark/>
          </w:tcPr>
          <w:p w14:paraId="5F614E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3" w:type="dxa"/>
            <w:tcBorders>
              <w:top w:val="nil"/>
              <w:left w:val="nil"/>
              <w:bottom w:val="single" w:sz="8" w:space="0" w:color="DCDDDE"/>
              <w:right w:val="nil"/>
            </w:tcBorders>
            <w:shd w:val="clear" w:color="000000" w:fill="FFFFFF"/>
            <w:noWrap/>
            <w:vAlign w:val="center"/>
            <w:hideMark/>
          </w:tcPr>
          <w:p w14:paraId="330277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22.1</w:t>
            </w:r>
          </w:p>
        </w:tc>
        <w:tc>
          <w:tcPr>
            <w:tcW w:w="595" w:type="dxa"/>
            <w:tcBorders>
              <w:top w:val="nil"/>
              <w:left w:val="nil"/>
              <w:bottom w:val="single" w:sz="8" w:space="0" w:color="DCDDDE"/>
              <w:right w:val="nil"/>
            </w:tcBorders>
            <w:shd w:val="clear" w:color="000000" w:fill="FFFFFF"/>
            <w:noWrap/>
            <w:vAlign w:val="center"/>
            <w:hideMark/>
          </w:tcPr>
          <w:p w14:paraId="00A8F28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22.4</w:t>
            </w:r>
          </w:p>
        </w:tc>
      </w:tr>
      <w:tr w:rsidR="00181744" w:rsidRPr="00181744" w14:paraId="28B0C8CA"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39F73A7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3" w:type="dxa"/>
            <w:tcBorders>
              <w:top w:val="nil"/>
              <w:left w:val="nil"/>
              <w:bottom w:val="single" w:sz="8" w:space="0" w:color="DCDDDE"/>
              <w:right w:val="nil"/>
            </w:tcBorders>
            <w:shd w:val="clear" w:color="000000" w:fill="FFFFFF"/>
            <w:noWrap/>
            <w:vAlign w:val="center"/>
            <w:hideMark/>
          </w:tcPr>
          <w:p w14:paraId="5C8A589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3" w:type="dxa"/>
            <w:tcBorders>
              <w:top w:val="nil"/>
              <w:left w:val="nil"/>
              <w:bottom w:val="single" w:sz="8" w:space="0" w:color="DCDDDE"/>
              <w:right w:val="nil"/>
            </w:tcBorders>
            <w:shd w:val="clear" w:color="000000" w:fill="FFFFFF"/>
            <w:noWrap/>
            <w:vAlign w:val="center"/>
            <w:hideMark/>
          </w:tcPr>
          <w:p w14:paraId="4276957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3" w:type="dxa"/>
            <w:tcBorders>
              <w:top w:val="nil"/>
              <w:left w:val="nil"/>
              <w:bottom w:val="single" w:sz="8" w:space="0" w:color="DCDDDE"/>
              <w:right w:val="nil"/>
            </w:tcBorders>
            <w:shd w:val="clear" w:color="000000" w:fill="FFFFFF"/>
            <w:noWrap/>
            <w:vAlign w:val="center"/>
            <w:hideMark/>
          </w:tcPr>
          <w:p w14:paraId="5A51D26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w:t>
            </w:r>
          </w:p>
        </w:tc>
        <w:tc>
          <w:tcPr>
            <w:tcW w:w="593" w:type="dxa"/>
            <w:tcBorders>
              <w:top w:val="nil"/>
              <w:left w:val="nil"/>
              <w:bottom w:val="single" w:sz="8" w:space="0" w:color="DCDDDE"/>
              <w:right w:val="nil"/>
            </w:tcBorders>
            <w:shd w:val="clear" w:color="000000" w:fill="FFFFFF"/>
            <w:noWrap/>
            <w:vAlign w:val="center"/>
            <w:hideMark/>
          </w:tcPr>
          <w:p w14:paraId="100256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8.0</w:t>
            </w:r>
          </w:p>
        </w:tc>
        <w:tc>
          <w:tcPr>
            <w:tcW w:w="593" w:type="dxa"/>
            <w:tcBorders>
              <w:top w:val="nil"/>
              <w:left w:val="nil"/>
              <w:bottom w:val="single" w:sz="8" w:space="0" w:color="DCDDDE"/>
              <w:right w:val="nil"/>
            </w:tcBorders>
            <w:shd w:val="clear" w:color="000000" w:fill="FFFFFF"/>
            <w:noWrap/>
            <w:vAlign w:val="center"/>
            <w:hideMark/>
          </w:tcPr>
          <w:p w14:paraId="44B56C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8.3</w:t>
            </w:r>
          </w:p>
        </w:tc>
        <w:tc>
          <w:tcPr>
            <w:tcW w:w="593" w:type="dxa"/>
            <w:tcBorders>
              <w:top w:val="nil"/>
              <w:left w:val="nil"/>
              <w:bottom w:val="single" w:sz="8" w:space="0" w:color="DCDDDE"/>
              <w:right w:val="nil"/>
            </w:tcBorders>
            <w:shd w:val="clear" w:color="000000" w:fill="FFFFFF"/>
            <w:noWrap/>
            <w:vAlign w:val="center"/>
            <w:hideMark/>
          </w:tcPr>
          <w:p w14:paraId="7EFD97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w:t>
            </w:r>
          </w:p>
        </w:tc>
        <w:tc>
          <w:tcPr>
            <w:tcW w:w="593" w:type="dxa"/>
            <w:tcBorders>
              <w:top w:val="nil"/>
              <w:left w:val="nil"/>
              <w:bottom w:val="single" w:sz="8" w:space="0" w:color="DCDDDE"/>
              <w:right w:val="nil"/>
            </w:tcBorders>
            <w:shd w:val="clear" w:color="000000" w:fill="FFFFFF"/>
            <w:noWrap/>
            <w:vAlign w:val="center"/>
            <w:hideMark/>
          </w:tcPr>
          <w:p w14:paraId="619A2B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8.9</w:t>
            </w:r>
          </w:p>
        </w:tc>
        <w:tc>
          <w:tcPr>
            <w:tcW w:w="593" w:type="dxa"/>
            <w:tcBorders>
              <w:top w:val="nil"/>
              <w:left w:val="nil"/>
              <w:bottom w:val="single" w:sz="8" w:space="0" w:color="DCDDDE"/>
              <w:right w:val="nil"/>
            </w:tcBorders>
            <w:shd w:val="clear" w:color="000000" w:fill="FFFFFF"/>
            <w:noWrap/>
            <w:vAlign w:val="center"/>
            <w:hideMark/>
          </w:tcPr>
          <w:p w14:paraId="728AF32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9.2</w:t>
            </w:r>
          </w:p>
        </w:tc>
        <w:tc>
          <w:tcPr>
            <w:tcW w:w="593" w:type="dxa"/>
            <w:tcBorders>
              <w:top w:val="nil"/>
              <w:left w:val="nil"/>
              <w:bottom w:val="single" w:sz="8" w:space="0" w:color="DCDDDE"/>
              <w:right w:val="nil"/>
            </w:tcBorders>
            <w:shd w:val="clear" w:color="000000" w:fill="FFFFFF"/>
            <w:noWrap/>
            <w:vAlign w:val="center"/>
            <w:hideMark/>
          </w:tcPr>
          <w:p w14:paraId="579EEE7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9.6</w:t>
            </w:r>
          </w:p>
        </w:tc>
        <w:tc>
          <w:tcPr>
            <w:tcW w:w="593" w:type="dxa"/>
            <w:tcBorders>
              <w:top w:val="nil"/>
              <w:left w:val="nil"/>
              <w:bottom w:val="single" w:sz="8" w:space="0" w:color="DCDDDE"/>
              <w:right w:val="nil"/>
            </w:tcBorders>
            <w:shd w:val="clear" w:color="000000" w:fill="FFFFFF"/>
            <w:noWrap/>
            <w:vAlign w:val="center"/>
            <w:hideMark/>
          </w:tcPr>
          <w:p w14:paraId="072E45C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w:t>
            </w:r>
          </w:p>
        </w:tc>
        <w:tc>
          <w:tcPr>
            <w:tcW w:w="593" w:type="dxa"/>
            <w:tcBorders>
              <w:top w:val="nil"/>
              <w:left w:val="nil"/>
              <w:bottom w:val="single" w:sz="8" w:space="0" w:color="DCDDDE"/>
              <w:right w:val="nil"/>
            </w:tcBorders>
            <w:shd w:val="clear" w:color="000000" w:fill="FFFFFF"/>
            <w:noWrap/>
            <w:vAlign w:val="center"/>
            <w:hideMark/>
          </w:tcPr>
          <w:p w14:paraId="1537F6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10.4</w:t>
            </w:r>
          </w:p>
        </w:tc>
        <w:tc>
          <w:tcPr>
            <w:tcW w:w="593" w:type="dxa"/>
            <w:tcBorders>
              <w:top w:val="nil"/>
              <w:left w:val="nil"/>
              <w:bottom w:val="single" w:sz="8" w:space="0" w:color="DCDDDE"/>
              <w:right w:val="nil"/>
            </w:tcBorders>
            <w:shd w:val="clear" w:color="000000" w:fill="FFFFFF"/>
            <w:noWrap/>
            <w:vAlign w:val="center"/>
            <w:hideMark/>
          </w:tcPr>
          <w:p w14:paraId="1EFC4FD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10.8</w:t>
            </w:r>
          </w:p>
        </w:tc>
        <w:tc>
          <w:tcPr>
            <w:tcW w:w="595" w:type="dxa"/>
            <w:tcBorders>
              <w:top w:val="nil"/>
              <w:left w:val="nil"/>
              <w:bottom w:val="single" w:sz="8" w:space="0" w:color="DCDDDE"/>
              <w:right w:val="nil"/>
            </w:tcBorders>
            <w:shd w:val="clear" w:color="000000" w:fill="FFFFFF"/>
            <w:noWrap/>
            <w:vAlign w:val="center"/>
            <w:hideMark/>
          </w:tcPr>
          <w:p w14:paraId="508F68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w:t>
            </w:r>
          </w:p>
        </w:tc>
      </w:tr>
      <w:tr w:rsidR="00181744" w:rsidRPr="00181744" w14:paraId="477BEFAA"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2113A97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3" w:type="dxa"/>
            <w:tcBorders>
              <w:top w:val="nil"/>
              <w:left w:val="nil"/>
              <w:bottom w:val="single" w:sz="8" w:space="0" w:color="DCDDDE"/>
              <w:right w:val="nil"/>
            </w:tcBorders>
            <w:shd w:val="clear" w:color="000000" w:fill="FFFFFF"/>
            <w:noWrap/>
            <w:vAlign w:val="center"/>
            <w:hideMark/>
          </w:tcPr>
          <w:p w14:paraId="0A597A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w:t>
            </w:r>
          </w:p>
        </w:tc>
        <w:tc>
          <w:tcPr>
            <w:tcW w:w="593" w:type="dxa"/>
            <w:tcBorders>
              <w:top w:val="nil"/>
              <w:left w:val="nil"/>
              <w:bottom w:val="single" w:sz="8" w:space="0" w:color="DCDDDE"/>
              <w:right w:val="nil"/>
            </w:tcBorders>
            <w:shd w:val="clear" w:color="000000" w:fill="FFFFFF"/>
            <w:noWrap/>
            <w:vAlign w:val="center"/>
            <w:hideMark/>
          </w:tcPr>
          <w:p w14:paraId="25C5D70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593" w:type="dxa"/>
            <w:tcBorders>
              <w:top w:val="nil"/>
              <w:left w:val="nil"/>
              <w:bottom w:val="single" w:sz="8" w:space="0" w:color="DCDDDE"/>
              <w:right w:val="nil"/>
            </w:tcBorders>
            <w:shd w:val="clear" w:color="000000" w:fill="FFFFFF"/>
            <w:noWrap/>
            <w:vAlign w:val="center"/>
            <w:hideMark/>
          </w:tcPr>
          <w:p w14:paraId="31D7473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3.6</w:t>
            </w:r>
          </w:p>
        </w:tc>
        <w:tc>
          <w:tcPr>
            <w:tcW w:w="593" w:type="dxa"/>
            <w:tcBorders>
              <w:top w:val="nil"/>
              <w:left w:val="nil"/>
              <w:bottom w:val="single" w:sz="8" w:space="0" w:color="DCDDDE"/>
              <w:right w:val="nil"/>
            </w:tcBorders>
            <w:shd w:val="clear" w:color="000000" w:fill="FFFFFF"/>
            <w:noWrap/>
            <w:vAlign w:val="center"/>
            <w:hideMark/>
          </w:tcPr>
          <w:p w14:paraId="2AD3E5B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E217EE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060ECF7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013AF1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4D53C98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22675AC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212203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3C6BBAD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0BEBE5E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5" w:type="dxa"/>
            <w:tcBorders>
              <w:top w:val="nil"/>
              <w:left w:val="nil"/>
              <w:bottom w:val="single" w:sz="8" w:space="0" w:color="DCDDDE"/>
              <w:right w:val="nil"/>
            </w:tcBorders>
            <w:shd w:val="clear" w:color="000000" w:fill="FFFFFF"/>
            <w:noWrap/>
            <w:vAlign w:val="center"/>
            <w:hideMark/>
          </w:tcPr>
          <w:p w14:paraId="73DEDAC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r>
      <w:tr w:rsidR="00181744" w:rsidRPr="00181744" w14:paraId="0980A4F1"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78A631D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3" w:type="dxa"/>
            <w:tcBorders>
              <w:top w:val="nil"/>
              <w:left w:val="nil"/>
              <w:bottom w:val="single" w:sz="8" w:space="0" w:color="DCDDDE"/>
              <w:right w:val="nil"/>
            </w:tcBorders>
            <w:shd w:val="clear" w:color="000000" w:fill="FFFFFF"/>
            <w:noWrap/>
            <w:vAlign w:val="center"/>
            <w:hideMark/>
          </w:tcPr>
          <w:p w14:paraId="1AD2B9D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48.2</w:t>
            </w:r>
          </w:p>
        </w:tc>
        <w:tc>
          <w:tcPr>
            <w:tcW w:w="593" w:type="dxa"/>
            <w:tcBorders>
              <w:top w:val="nil"/>
              <w:left w:val="nil"/>
              <w:bottom w:val="single" w:sz="8" w:space="0" w:color="DCDDDE"/>
              <w:right w:val="nil"/>
            </w:tcBorders>
            <w:shd w:val="clear" w:color="000000" w:fill="FFFFFF"/>
            <w:noWrap/>
            <w:vAlign w:val="center"/>
            <w:hideMark/>
          </w:tcPr>
          <w:p w14:paraId="2130DB9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48.5</w:t>
            </w:r>
          </w:p>
        </w:tc>
        <w:tc>
          <w:tcPr>
            <w:tcW w:w="593" w:type="dxa"/>
            <w:tcBorders>
              <w:top w:val="nil"/>
              <w:left w:val="nil"/>
              <w:bottom w:val="single" w:sz="8" w:space="0" w:color="DCDDDE"/>
              <w:right w:val="nil"/>
            </w:tcBorders>
            <w:shd w:val="clear" w:color="000000" w:fill="FFFFFF"/>
            <w:noWrap/>
            <w:vAlign w:val="center"/>
            <w:hideMark/>
          </w:tcPr>
          <w:p w14:paraId="6A65830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54.8</w:t>
            </w:r>
          </w:p>
        </w:tc>
        <w:tc>
          <w:tcPr>
            <w:tcW w:w="593" w:type="dxa"/>
            <w:tcBorders>
              <w:top w:val="nil"/>
              <w:left w:val="nil"/>
              <w:bottom w:val="single" w:sz="8" w:space="0" w:color="DCDDDE"/>
              <w:right w:val="nil"/>
            </w:tcBorders>
            <w:shd w:val="clear" w:color="000000" w:fill="FFFFFF"/>
            <w:noWrap/>
            <w:vAlign w:val="center"/>
            <w:hideMark/>
          </w:tcPr>
          <w:p w14:paraId="535F91F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59.7</w:t>
            </w:r>
          </w:p>
        </w:tc>
        <w:tc>
          <w:tcPr>
            <w:tcW w:w="593" w:type="dxa"/>
            <w:tcBorders>
              <w:top w:val="nil"/>
              <w:left w:val="nil"/>
              <w:bottom w:val="single" w:sz="8" w:space="0" w:color="DCDDDE"/>
              <w:right w:val="nil"/>
            </w:tcBorders>
            <w:shd w:val="clear" w:color="000000" w:fill="FFFFFF"/>
            <w:noWrap/>
            <w:vAlign w:val="center"/>
            <w:hideMark/>
          </w:tcPr>
          <w:p w14:paraId="146F409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63.6</w:t>
            </w:r>
          </w:p>
        </w:tc>
        <w:tc>
          <w:tcPr>
            <w:tcW w:w="593" w:type="dxa"/>
            <w:tcBorders>
              <w:top w:val="nil"/>
              <w:left w:val="nil"/>
              <w:bottom w:val="single" w:sz="8" w:space="0" w:color="DCDDDE"/>
              <w:right w:val="nil"/>
            </w:tcBorders>
            <w:shd w:val="clear" w:color="000000" w:fill="FFFFFF"/>
            <w:noWrap/>
            <w:vAlign w:val="center"/>
            <w:hideMark/>
          </w:tcPr>
          <w:p w14:paraId="0B0EB45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64.6</w:t>
            </w:r>
          </w:p>
        </w:tc>
        <w:tc>
          <w:tcPr>
            <w:tcW w:w="593" w:type="dxa"/>
            <w:tcBorders>
              <w:top w:val="nil"/>
              <w:left w:val="nil"/>
              <w:bottom w:val="single" w:sz="8" w:space="0" w:color="DCDDDE"/>
              <w:right w:val="nil"/>
            </w:tcBorders>
            <w:shd w:val="clear" w:color="000000" w:fill="FFFFFF"/>
            <w:noWrap/>
            <w:vAlign w:val="center"/>
            <w:hideMark/>
          </w:tcPr>
          <w:p w14:paraId="4E29E16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64.1</w:t>
            </w:r>
          </w:p>
        </w:tc>
        <w:tc>
          <w:tcPr>
            <w:tcW w:w="593" w:type="dxa"/>
            <w:tcBorders>
              <w:top w:val="nil"/>
              <w:left w:val="nil"/>
              <w:bottom w:val="single" w:sz="8" w:space="0" w:color="DCDDDE"/>
              <w:right w:val="nil"/>
            </w:tcBorders>
            <w:shd w:val="clear" w:color="000000" w:fill="FFFFFF"/>
            <w:noWrap/>
            <w:vAlign w:val="center"/>
            <w:hideMark/>
          </w:tcPr>
          <w:p w14:paraId="37B9C85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63.3</w:t>
            </w:r>
          </w:p>
        </w:tc>
        <w:tc>
          <w:tcPr>
            <w:tcW w:w="593" w:type="dxa"/>
            <w:tcBorders>
              <w:top w:val="nil"/>
              <w:left w:val="nil"/>
              <w:bottom w:val="single" w:sz="8" w:space="0" w:color="DCDDDE"/>
              <w:right w:val="nil"/>
            </w:tcBorders>
            <w:shd w:val="clear" w:color="000000" w:fill="FFFFFF"/>
            <w:noWrap/>
            <w:vAlign w:val="center"/>
            <w:hideMark/>
          </w:tcPr>
          <w:p w14:paraId="6D46D4B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54.7</w:t>
            </w:r>
          </w:p>
        </w:tc>
        <w:tc>
          <w:tcPr>
            <w:tcW w:w="593" w:type="dxa"/>
            <w:tcBorders>
              <w:top w:val="nil"/>
              <w:left w:val="nil"/>
              <w:bottom w:val="single" w:sz="8" w:space="0" w:color="DCDDDE"/>
              <w:right w:val="nil"/>
            </w:tcBorders>
            <w:shd w:val="clear" w:color="000000" w:fill="FFFFFF"/>
            <w:noWrap/>
            <w:vAlign w:val="center"/>
            <w:hideMark/>
          </w:tcPr>
          <w:p w14:paraId="515A818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52.0</w:t>
            </w:r>
          </w:p>
        </w:tc>
        <w:tc>
          <w:tcPr>
            <w:tcW w:w="593" w:type="dxa"/>
            <w:tcBorders>
              <w:top w:val="nil"/>
              <w:left w:val="nil"/>
              <w:bottom w:val="single" w:sz="8" w:space="0" w:color="DCDDDE"/>
              <w:right w:val="nil"/>
            </w:tcBorders>
            <w:shd w:val="clear" w:color="000000" w:fill="FFFFFF"/>
            <w:noWrap/>
            <w:vAlign w:val="center"/>
            <w:hideMark/>
          </w:tcPr>
          <w:p w14:paraId="1827582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51.8</w:t>
            </w:r>
          </w:p>
        </w:tc>
        <w:tc>
          <w:tcPr>
            <w:tcW w:w="593" w:type="dxa"/>
            <w:tcBorders>
              <w:top w:val="nil"/>
              <w:left w:val="nil"/>
              <w:bottom w:val="single" w:sz="8" w:space="0" w:color="DCDDDE"/>
              <w:right w:val="nil"/>
            </w:tcBorders>
            <w:shd w:val="clear" w:color="000000" w:fill="FFFFFF"/>
            <w:noWrap/>
            <w:vAlign w:val="center"/>
            <w:hideMark/>
          </w:tcPr>
          <w:p w14:paraId="386CC62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52.0</w:t>
            </w:r>
          </w:p>
        </w:tc>
        <w:tc>
          <w:tcPr>
            <w:tcW w:w="595" w:type="dxa"/>
            <w:tcBorders>
              <w:top w:val="nil"/>
              <w:left w:val="nil"/>
              <w:bottom w:val="single" w:sz="8" w:space="0" w:color="DCDDDE"/>
              <w:right w:val="nil"/>
            </w:tcBorders>
            <w:shd w:val="clear" w:color="000000" w:fill="FFFFFF"/>
            <w:noWrap/>
            <w:vAlign w:val="center"/>
            <w:hideMark/>
          </w:tcPr>
          <w:p w14:paraId="3FFA89A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53.3</w:t>
            </w:r>
          </w:p>
        </w:tc>
      </w:tr>
      <w:tr w:rsidR="00181744" w:rsidRPr="00181744" w14:paraId="05E48F38" w14:textId="77777777" w:rsidTr="00181744">
        <w:trPr>
          <w:trHeight w:val="244"/>
        </w:trPr>
        <w:tc>
          <w:tcPr>
            <w:tcW w:w="9061" w:type="dxa"/>
            <w:gridSpan w:val="15"/>
            <w:tcBorders>
              <w:top w:val="single" w:sz="8" w:space="0" w:color="DCDDDE"/>
              <w:left w:val="nil"/>
              <w:bottom w:val="single" w:sz="8" w:space="0" w:color="DCDDDE"/>
              <w:right w:val="nil"/>
            </w:tcBorders>
            <w:shd w:val="clear" w:color="000000" w:fill="DADADA"/>
            <w:noWrap/>
            <w:vAlign w:val="center"/>
            <w:hideMark/>
          </w:tcPr>
          <w:p w14:paraId="2744650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181744" w:rsidRPr="00181744" w14:paraId="43A8B900"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2C570A5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3" w:type="dxa"/>
            <w:tcBorders>
              <w:top w:val="nil"/>
              <w:left w:val="nil"/>
              <w:bottom w:val="single" w:sz="8" w:space="0" w:color="DCDDDE"/>
              <w:right w:val="nil"/>
            </w:tcBorders>
            <w:shd w:val="clear" w:color="000000" w:fill="FFFFFF"/>
            <w:noWrap/>
            <w:vAlign w:val="center"/>
            <w:hideMark/>
          </w:tcPr>
          <w:p w14:paraId="2235AC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17.1</w:t>
            </w:r>
          </w:p>
        </w:tc>
        <w:tc>
          <w:tcPr>
            <w:tcW w:w="593" w:type="dxa"/>
            <w:tcBorders>
              <w:top w:val="nil"/>
              <w:left w:val="nil"/>
              <w:bottom w:val="single" w:sz="8" w:space="0" w:color="DCDDDE"/>
              <w:right w:val="nil"/>
            </w:tcBorders>
            <w:shd w:val="clear" w:color="000000" w:fill="FFFFFF"/>
            <w:noWrap/>
            <w:vAlign w:val="center"/>
            <w:hideMark/>
          </w:tcPr>
          <w:p w14:paraId="00309A6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17.0</w:t>
            </w:r>
          </w:p>
        </w:tc>
        <w:tc>
          <w:tcPr>
            <w:tcW w:w="593" w:type="dxa"/>
            <w:tcBorders>
              <w:top w:val="nil"/>
              <w:left w:val="nil"/>
              <w:bottom w:val="single" w:sz="8" w:space="0" w:color="DCDDDE"/>
              <w:right w:val="nil"/>
            </w:tcBorders>
            <w:shd w:val="clear" w:color="000000" w:fill="FFFFFF"/>
            <w:noWrap/>
            <w:vAlign w:val="center"/>
            <w:hideMark/>
          </w:tcPr>
          <w:p w14:paraId="63A0A0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w:t>
            </w:r>
          </w:p>
        </w:tc>
        <w:tc>
          <w:tcPr>
            <w:tcW w:w="593" w:type="dxa"/>
            <w:tcBorders>
              <w:top w:val="nil"/>
              <w:left w:val="nil"/>
              <w:bottom w:val="single" w:sz="8" w:space="0" w:color="DCDDDE"/>
              <w:right w:val="nil"/>
            </w:tcBorders>
            <w:shd w:val="clear" w:color="000000" w:fill="FFFFFF"/>
            <w:noWrap/>
            <w:vAlign w:val="center"/>
            <w:hideMark/>
          </w:tcPr>
          <w:p w14:paraId="243995E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18.7</w:t>
            </w:r>
          </w:p>
        </w:tc>
        <w:tc>
          <w:tcPr>
            <w:tcW w:w="593" w:type="dxa"/>
            <w:tcBorders>
              <w:top w:val="nil"/>
              <w:left w:val="nil"/>
              <w:bottom w:val="single" w:sz="8" w:space="0" w:color="DCDDDE"/>
              <w:right w:val="nil"/>
            </w:tcBorders>
            <w:shd w:val="clear" w:color="000000" w:fill="FFFFFF"/>
            <w:noWrap/>
            <w:vAlign w:val="center"/>
            <w:hideMark/>
          </w:tcPr>
          <w:p w14:paraId="5039AE5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22.3</w:t>
            </w:r>
          </w:p>
        </w:tc>
        <w:tc>
          <w:tcPr>
            <w:tcW w:w="593" w:type="dxa"/>
            <w:tcBorders>
              <w:top w:val="nil"/>
              <w:left w:val="nil"/>
              <w:bottom w:val="single" w:sz="8" w:space="0" w:color="DCDDDE"/>
              <w:right w:val="nil"/>
            </w:tcBorders>
            <w:shd w:val="clear" w:color="000000" w:fill="FFFFFF"/>
            <w:noWrap/>
            <w:vAlign w:val="center"/>
            <w:hideMark/>
          </w:tcPr>
          <w:p w14:paraId="4FE31CF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22.5</w:t>
            </w:r>
          </w:p>
        </w:tc>
        <w:tc>
          <w:tcPr>
            <w:tcW w:w="593" w:type="dxa"/>
            <w:tcBorders>
              <w:top w:val="nil"/>
              <w:left w:val="nil"/>
              <w:bottom w:val="single" w:sz="8" w:space="0" w:color="DCDDDE"/>
              <w:right w:val="nil"/>
            </w:tcBorders>
            <w:shd w:val="clear" w:color="000000" w:fill="FFFFFF"/>
            <w:noWrap/>
            <w:vAlign w:val="center"/>
            <w:hideMark/>
          </w:tcPr>
          <w:p w14:paraId="56DC3C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21.4</w:t>
            </w:r>
          </w:p>
        </w:tc>
        <w:tc>
          <w:tcPr>
            <w:tcW w:w="593" w:type="dxa"/>
            <w:tcBorders>
              <w:top w:val="nil"/>
              <w:left w:val="nil"/>
              <w:bottom w:val="single" w:sz="8" w:space="0" w:color="DCDDDE"/>
              <w:right w:val="nil"/>
            </w:tcBorders>
            <w:shd w:val="clear" w:color="000000" w:fill="FFFFFF"/>
            <w:noWrap/>
            <w:vAlign w:val="center"/>
            <w:hideMark/>
          </w:tcPr>
          <w:p w14:paraId="59FA86A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20.4</w:t>
            </w:r>
          </w:p>
        </w:tc>
        <w:tc>
          <w:tcPr>
            <w:tcW w:w="593" w:type="dxa"/>
            <w:tcBorders>
              <w:top w:val="nil"/>
              <w:left w:val="nil"/>
              <w:bottom w:val="single" w:sz="8" w:space="0" w:color="DCDDDE"/>
              <w:right w:val="nil"/>
            </w:tcBorders>
            <w:shd w:val="clear" w:color="000000" w:fill="FFFFFF"/>
            <w:noWrap/>
            <w:vAlign w:val="center"/>
            <w:hideMark/>
          </w:tcPr>
          <w:p w14:paraId="7B0C093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19.1</w:t>
            </w:r>
          </w:p>
        </w:tc>
        <w:tc>
          <w:tcPr>
            <w:tcW w:w="593" w:type="dxa"/>
            <w:tcBorders>
              <w:top w:val="nil"/>
              <w:left w:val="nil"/>
              <w:bottom w:val="single" w:sz="8" w:space="0" w:color="DCDDDE"/>
              <w:right w:val="nil"/>
            </w:tcBorders>
            <w:shd w:val="clear" w:color="000000" w:fill="FFFFFF"/>
            <w:noWrap/>
            <w:vAlign w:val="center"/>
            <w:hideMark/>
          </w:tcPr>
          <w:p w14:paraId="17CA28F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18.3</w:t>
            </w:r>
          </w:p>
        </w:tc>
        <w:tc>
          <w:tcPr>
            <w:tcW w:w="593" w:type="dxa"/>
            <w:tcBorders>
              <w:top w:val="nil"/>
              <w:left w:val="nil"/>
              <w:bottom w:val="single" w:sz="8" w:space="0" w:color="DCDDDE"/>
              <w:right w:val="nil"/>
            </w:tcBorders>
            <w:shd w:val="clear" w:color="000000" w:fill="FFFFFF"/>
            <w:noWrap/>
            <w:vAlign w:val="center"/>
            <w:hideMark/>
          </w:tcPr>
          <w:p w14:paraId="41928F8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w:t>
            </w:r>
          </w:p>
        </w:tc>
        <w:tc>
          <w:tcPr>
            <w:tcW w:w="593" w:type="dxa"/>
            <w:tcBorders>
              <w:top w:val="nil"/>
              <w:left w:val="nil"/>
              <w:bottom w:val="single" w:sz="8" w:space="0" w:color="DCDDDE"/>
              <w:right w:val="nil"/>
            </w:tcBorders>
            <w:shd w:val="clear" w:color="000000" w:fill="FFFFFF"/>
            <w:noWrap/>
            <w:vAlign w:val="center"/>
            <w:hideMark/>
          </w:tcPr>
          <w:p w14:paraId="2E991B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18.1</w:t>
            </w:r>
          </w:p>
        </w:tc>
        <w:tc>
          <w:tcPr>
            <w:tcW w:w="595" w:type="dxa"/>
            <w:tcBorders>
              <w:top w:val="nil"/>
              <w:left w:val="nil"/>
              <w:bottom w:val="single" w:sz="8" w:space="0" w:color="DCDDDE"/>
              <w:right w:val="nil"/>
            </w:tcBorders>
            <w:shd w:val="clear" w:color="000000" w:fill="FFFFFF"/>
            <w:noWrap/>
            <w:vAlign w:val="center"/>
            <w:hideMark/>
          </w:tcPr>
          <w:p w14:paraId="42B8B9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19.6</w:t>
            </w:r>
          </w:p>
        </w:tc>
      </w:tr>
      <w:tr w:rsidR="00181744" w:rsidRPr="00181744" w14:paraId="737D876B"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3ACE178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3" w:type="dxa"/>
            <w:tcBorders>
              <w:top w:val="nil"/>
              <w:left w:val="nil"/>
              <w:bottom w:val="single" w:sz="8" w:space="0" w:color="DCDDDE"/>
              <w:right w:val="nil"/>
            </w:tcBorders>
            <w:shd w:val="clear" w:color="000000" w:fill="FFFFFF"/>
            <w:noWrap/>
            <w:vAlign w:val="center"/>
            <w:hideMark/>
          </w:tcPr>
          <w:p w14:paraId="0F6990C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5FE3E9F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21.2</w:t>
            </w:r>
          </w:p>
        </w:tc>
        <w:tc>
          <w:tcPr>
            <w:tcW w:w="593" w:type="dxa"/>
            <w:tcBorders>
              <w:top w:val="nil"/>
              <w:left w:val="nil"/>
              <w:bottom w:val="single" w:sz="8" w:space="0" w:color="DCDDDE"/>
              <w:right w:val="nil"/>
            </w:tcBorders>
            <w:shd w:val="clear" w:color="000000" w:fill="FFFFFF"/>
            <w:noWrap/>
            <w:vAlign w:val="center"/>
            <w:hideMark/>
          </w:tcPr>
          <w:p w14:paraId="4594D55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26.9</w:t>
            </w:r>
          </w:p>
        </w:tc>
        <w:tc>
          <w:tcPr>
            <w:tcW w:w="593" w:type="dxa"/>
            <w:tcBorders>
              <w:top w:val="nil"/>
              <w:left w:val="nil"/>
              <w:bottom w:val="single" w:sz="8" w:space="0" w:color="DCDDDE"/>
              <w:right w:val="nil"/>
            </w:tcBorders>
            <w:shd w:val="clear" w:color="000000" w:fill="FFFFFF"/>
            <w:noWrap/>
            <w:vAlign w:val="center"/>
            <w:hideMark/>
          </w:tcPr>
          <w:p w14:paraId="79C884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31.1</w:t>
            </w:r>
          </w:p>
        </w:tc>
        <w:tc>
          <w:tcPr>
            <w:tcW w:w="593" w:type="dxa"/>
            <w:tcBorders>
              <w:top w:val="nil"/>
              <w:left w:val="nil"/>
              <w:bottom w:val="single" w:sz="8" w:space="0" w:color="DCDDDE"/>
              <w:right w:val="nil"/>
            </w:tcBorders>
            <w:shd w:val="clear" w:color="000000" w:fill="FFFFFF"/>
            <w:noWrap/>
            <w:vAlign w:val="center"/>
            <w:hideMark/>
          </w:tcPr>
          <w:p w14:paraId="1C7DE73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31.3</w:t>
            </w:r>
          </w:p>
        </w:tc>
        <w:tc>
          <w:tcPr>
            <w:tcW w:w="593" w:type="dxa"/>
            <w:tcBorders>
              <w:top w:val="nil"/>
              <w:left w:val="nil"/>
              <w:bottom w:val="single" w:sz="8" w:space="0" w:color="DCDDDE"/>
              <w:right w:val="nil"/>
            </w:tcBorders>
            <w:shd w:val="clear" w:color="000000" w:fill="FFFFFF"/>
            <w:noWrap/>
            <w:vAlign w:val="center"/>
            <w:hideMark/>
          </w:tcPr>
          <w:p w14:paraId="251B3D4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31.6</w:t>
            </w:r>
          </w:p>
        </w:tc>
        <w:tc>
          <w:tcPr>
            <w:tcW w:w="593" w:type="dxa"/>
            <w:tcBorders>
              <w:top w:val="nil"/>
              <w:left w:val="nil"/>
              <w:bottom w:val="single" w:sz="8" w:space="0" w:color="DCDDDE"/>
              <w:right w:val="nil"/>
            </w:tcBorders>
            <w:shd w:val="clear" w:color="000000" w:fill="FFFFFF"/>
            <w:noWrap/>
            <w:vAlign w:val="center"/>
            <w:hideMark/>
          </w:tcPr>
          <w:p w14:paraId="210BD8D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31.5</w:t>
            </w:r>
          </w:p>
        </w:tc>
        <w:tc>
          <w:tcPr>
            <w:tcW w:w="593" w:type="dxa"/>
            <w:tcBorders>
              <w:top w:val="nil"/>
              <w:left w:val="nil"/>
              <w:bottom w:val="single" w:sz="8" w:space="0" w:color="DCDDDE"/>
              <w:right w:val="nil"/>
            </w:tcBorders>
            <w:shd w:val="clear" w:color="000000" w:fill="FFFFFF"/>
            <w:noWrap/>
            <w:vAlign w:val="center"/>
            <w:hideMark/>
          </w:tcPr>
          <w:p w14:paraId="5E8B75F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31.4</w:t>
            </w:r>
          </w:p>
        </w:tc>
        <w:tc>
          <w:tcPr>
            <w:tcW w:w="593" w:type="dxa"/>
            <w:tcBorders>
              <w:top w:val="nil"/>
              <w:left w:val="nil"/>
              <w:bottom w:val="single" w:sz="8" w:space="0" w:color="DCDDDE"/>
              <w:right w:val="nil"/>
            </w:tcBorders>
            <w:shd w:val="clear" w:color="000000" w:fill="FFFFFF"/>
            <w:noWrap/>
            <w:vAlign w:val="center"/>
            <w:hideMark/>
          </w:tcPr>
          <w:p w14:paraId="2739833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23.7</w:t>
            </w:r>
          </w:p>
        </w:tc>
        <w:tc>
          <w:tcPr>
            <w:tcW w:w="593" w:type="dxa"/>
            <w:tcBorders>
              <w:top w:val="nil"/>
              <w:left w:val="nil"/>
              <w:bottom w:val="single" w:sz="8" w:space="0" w:color="DCDDDE"/>
              <w:right w:val="nil"/>
            </w:tcBorders>
            <w:shd w:val="clear" w:color="000000" w:fill="FFFFFF"/>
            <w:noWrap/>
            <w:vAlign w:val="center"/>
            <w:hideMark/>
          </w:tcPr>
          <w:p w14:paraId="646B797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21.7</w:t>
            </w:r>
          </w:p>
        </w:tc>
        <w:tc>
          <w:tcPr>
            <w:tcW w:w="593" w:type="dxa"/>
            <w:tcBorders>
              <w:top w:val="nil"/>
              <w:left w:val="nil"/>
              <w:bottom w:val="single" w:sz="8" w:space="0" w:color="DCDDDE"/>
              <w:right w:val="nil"/>
            </w:tcBorders>
            <w:shd w:val="clear" w:color="000000" w:fill="FFFFFF"/>
            <w:noWrap/>
            <w:vAlign w:val="center"/>
            <w:hideMark/>
          </w:tcPr>
          <w:p w14:paraId="0A1FDC0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3" w:type="dxa"/>
            <w:tcBorders>
              <w:top w:val="nil"/>
              <w:left w:val="nil"/>
              <w:bottom w:val="single" w:sz="8" w:space="0" w:color="DCDDDE"/>
              <w:right w:val="nil"/>
            </w:tcBorders>
            <w:shd w:val="clear" w:color="000000" w:fill="FFFFFF"/>
            <w:noWrap/>
            <w:vAlign w:val="center"/>
            <w:hideMark/>
          </w:tcPr>
          <w:p w14:paraId="034957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22.1</w:t>
            </w:r>
          </w:p>
        </w:tc>
        <w:tc>
          <w:tcPr>
            <w:tcW w:w="595" w:type="dxa"/>
            <w:tcBorders>
              <w:top w:val="nil"/>
              <w:left w:val="nil"/>
              <w:bottom w:val="single" w:sz="8" w:space="0" w:color="DCDDDE"/>
              <w:right w:val="nil"/>
            </w:tcBorders>
            <w:shd w:val="clear" w:color="000000" w:fill="FFFFFF"/>
            <w:noWrap/>
            <w:vAlign w:val="center"/>
            <w:hideMark/>
          </w:tcPr>
          <w:p w14:paraId="2FB2A55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22.4</w:t>
            </w:r>
          </w:p>
        </w:tc>
      </w:tr>
      <w:tr w:rsidR="00181744" w:rsidRPr="00181744" w14:paraId="04E90529"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31C1070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3" w:type="dxa"/>
            <w:tcBorders>
              <w:top w:val="nil"/>
              <w:left w:val="nil"/>
              <w:bottom w:val="single" w:sz="8" w:space="0" w:color="DCDDDE"/>
              <w:right w:val="nil"/>
            </w:tcBorders>
            <w:shd w:val="clear" w:color="000000" w:fill="FFFFFF"/>
            <w:noWrap/>
            <w:vAlign w:val="center"/>
            <w:hideMark/>
          </w:tcPr>
          <w:p w14:paraId="5537C52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3" w:type="dxa"/>
            <w:tcBorders>
              <w:top w:val="nil"/>
              <w:left w:val="nil"/>
              <w:bottom w:val="single" w:sz="8" w:space="0" w:color="DCDDDE"/>
              <w:right w:val="nil"/>
            </w:tcBorders>
            <w:shd w:val="clear" w:color="000000" w:fill="FFFFFF"/>
            <w:noWrap/>
            <w:vAlign w:val="center"/>
            <w:hideMark/>
          </w:tcPr>
          <w:p w14:paraId="57933D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8.0</w:t>
            </w:r>
          </w:p>
        </w:tc>
        <w:tc>
          <w:tcPr>
            <w:tcW w:w="593" w:type="dxa"/>
            <w:tcBorders>
              <w:top w:val="nil"/>
              <w:left w:val="nil"/>
              <w:bottom w:val="single" w:sz="8" w:space="0" w:color="DCDDDE"/>
              <w:right w:val="nil"/>
            </w:tcBorders>
            <w:shd w:val="clear" w:color="000000" w:fill="FFFFFF"/>
            <w:noWrap/>
            <w:vAlign w:val="center"/>
            <w:hideMark/>
          </w:tcPr>
          <w:p w14:paraId="46B25E9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w:t>
            </w:r>
          </w:p>
        </w:tc>
        <w:tc>
          <w:tcPr>
            <w:tcW w:w="593" w:type="dxa"/>
            <w:tcBorders>
              <w:top w:val="nil"/>
              <w:left w:val="nil"/>
              <w:bottom w:val="single" w:sz="8" w:space="0" w:color="DCDDDE"/>
              <w:right w:val="nil"/>
            </w:tcBorders>
            <w:shd w:val="clear" w:color="000000" w:fill="FFFFFF"/>
            <w:noWrap/>
            <w:vAlign w:val="center"/>
            <w:hideMark/>
          </w:tcPr>
          <w:p w14:paraId="43E3453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9.3</w:t>
            </w:r>
          </w:p>
        </w:tc>
        <w:tc>
          <w:tcPr>
            <w:tcW w:w="593" w:type="dxa"/>
            <w:tcBorders>
              <w:top w:val="nil"/>
              <w:left w:val="nil"/>
              <w:bottom w:val="single" w:sz="8" w:space="0" w:color="DCDDDE"/>
              <w:right w:val="nil"/>
            </w:tcBorders>
            <w:shd w:val="clear" w:color="000000" w:fill="FFFFFF"/>
            <w:noWrap/>
            <w:vAlign w:val="center"/>
            <w:hideMark/>
          </w:tcPr>
          <w:p w14:paraId="00E2DC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w:t>
            </w:r>
          </w:p>
        </w:tc>
        <w:tc>
          <w:tcPr>
            <w:tcW w:w="593" w:type="dxa"/>
            <w:tcBorders>
              <w:top w:val="nil"/>
              <w:left w:val="nil"/>
              <w:bottom w:val="single" w:sz="8" w:space="0" w:color="DCDDDE"/>
              <w:right w:val="nil"/>
            </w:tcBorders>
            <w:shd w:val="clear" w:color="000000" w:fill="FFFFFF"/>
            <w:noWrap/>
            <w:vAlign w:val="center"/>
            <w:hideMark/>
          </w:tcPr>
          <w:p w14:paraId="1A2816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10.7</w:t>
            </w:r>
          </w:p>
        </w:tc>
        <w:tc>
          <w:tcPr>
            <w:tcW w:w="593" w:type="dxa"/>
            <w:tcBorders>
              <w:top w:val="nil"/>
              <w:left w:val="nil"/>
              <w:bottom w:val="single" w:sz="8" w:space="0" w:color="DCDDDE"/>
              <w:right w:val="nil"/>
            </w:tcBorders>
            <w:shd w:val="clear" w:color="000000" w:fill="FFFFFF"/>
            <w:noWrap/>
            <w:vAlign w:val="center"/>
            <w:hideMark/>
          </w:tcPr>
          <w:p w14:paraId="0EE5E7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11.9</w:t>
            </w:r>
          </w:p>
        </w:tc>
        <w:tc>
          <w:tcPr>
            <w:tcW w:w="593" w:type="dxa"/>
            <w:tcBorders>
              <w:top w:val="nil"/>
              <w:left w:val="nil"/>
              <w:bottom w:val="single" w:sz="8" w:space="0" w:color="DCDDDE"/>
              <w:right w:val="nil"/>
            </w:tcBorders>
            <w:shd w:val="clear" w:color="000000" w:fill="FFFFFF"/>
            <w:noWrap/>
            <w:vAlign w:val="center"/>
            <w:hideMark/>
          </w:tcPr>
          <w:p w14:paraId="24EEF3F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12.8</w:t>
            </w:r>
          </w:p>
        </w:tc>
        <w:tc>
          <w:tcPr>
            <w:tcW w:w="593" w:type="dxa"/>
            <w:tcBorders>
              <w:top w:val="nil"/>
              <w:left w:val="nil"/>
              <w:bottom w:val="single" w:sz="8" w:space="0" w:color="DCDDDE"/>
              <w:right w:val="nil"/>
            </w:tcBorders>
            <w:shd w:val="clear" w:color="000000" w:fill="FFFFFF"/>
            <w:noWrap/>
            <w:vAlign w:val="center"/>
            <w:hideMark/>
          </w:tcPr>
          <w:p w14:paraId="7E1291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13.7</w:t>
            </w:r>
          </w:p>
        </w:tc>
        <w:tc>
          <w:tcPr>
            <w:tcW w:w="593" w:type="dxa"/>
            <w:tcBorders>
              <w:top w:val="nil"/>
              <w:left w:val="nil"/>
              <w:bottom w:val="single" w:sz="8" w:space="0" w:color="DCDDDE"/>
              <w:right w:val="nil"/>
            </w:tcBorders>
            <w:shd w:val="clear" w:color="000000" w:fill="FFFFFF"/>
            <w:noWrap/>
            <w:vAlign w:val="center"/>
            <w:hideMark/>
          </w:tcPr>
          <w:p w14:paraId="29585B4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14.7</w:t>
            </w:r>
          </w:p>
        </w:tc>
        <w:tc>
          <w:tcPr>
            <w:tcW w:w="593" w:type="dxa"/>
            <w:tcBorders>
              <w:top w:val="nil"/>
              <w:left w:val="nil"/>
              <w:bottom w:val="single" w:sz="8" w:space="0" w:color="DCDDDE"/>
              <w:right w:val="nil"/>
            </w:tcBorders>
            <w:shd w:val="clear" w:color="000000" w:fill="FFFFFF"/>
            <w:noWrap/>
            <w:vAlign w:val="center"/>
            <w:hideMark/>
          </w:tcPr>
          <w:p w14:paraId="3DB19E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15.8</w:t>
            </w:r>
          </w:p>
        </w:tc>
        <w:tc>
          <w:tcPr>
            <w:tcW w:w="593" w:type="dxa"/>
            <w:tcBorders>
              <w:top w:val="nil"/>
              <w:left w:val="nil"/>
              <w:bottom w:val="single" w:sz="8" w:space="0" w:color="DCDDDE"/>
              <w:right w:val="nil"/>
            </w:tcBorders>
            <w:shd w:val="clear" w:color="000000" w:fill="FFFFFF"/>
            <w:noWrap/>
            <w:vAlign w:val="center"/>
            <w:hideMark/>
          </w:tcPr>
          <w:p w14:paraId="620990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17.0</w:t>
            </w:r>
          </w:p>
        </w:tc>
        <w:tc>
          <w:tcPr>
            <w:tcW w:w="595" w:type="dxa"/>
            <w:tcBorders>
              <w:top w:val="nil"/>
              <w:left w:val="nil"/>
              <w:bottom w:val="single" w:sz="8" w:space="0" w:color="DCDDDE"/>
              <w:right w:val="nil"/>
            </w:tcBorders>
            <w:shd w:val="clear" w:color="000000" w:fill="FFFFFF"/>
            <w:noWrap/>
            <w:vAlign w:val="center"/>
            <w:hideMark/>
          </w:tcPr>
          <w:p w14:paraId="23F18E3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18.4</w:t>
            </w:r>
          </w:p>
        </w:tc>
      </w:tr>
      <w:tr w:rsidR="00181744" w:rsidRPr="00181744" w14:paraId="02D01ACE" w14:textId="77777777" w:rsidTr="00181744">
        <w:trPr>
          <w:gridAfter w:val="1"/>
          <w:wAfter w:w="8" w:type="dxa"/>
          <w:trHeight w:val="432"/>
        </w:trPr>
        <w:tc>
          <w:tcPr>
            <w:tcW w:w="1342" w:type="dxa"/>
            <w:tcBorders>
              <w:top w:val="nil"/>
              <w:left w:val="nil"/>
              <w:bottom w:val="single" w:sz="8" w:space="0" w:color="DCDDDE"/>
              <w:right w:val="nil"/>
            </w:tcBorders>
            <w:shd w:val="clear" w:color="000000" w:fill="FFFFFF"/>
            <w:vAlign w:val="center"/>
            <w:hideMark/>
          </w:tcPr>
          <w:p w14:paraId="7A77A61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3" w:type="dxa"/>
            <w:tcBorders>
              <w:top w:val="nil"/>
              <w:left w:val="nil"/>
              <w:bottom w:val="single" w:sz="8" w:space="0" w:color="DCDDDE"/>
              <w:right w:val="nil"/>
            </w:tcBorders>
            <w:shd w:val="clear" w:color="000000" w:fill="FFFFFF"/>
            <w:noWrap/>
            <w:vAlign w:val="center"/>
            <w:hideMark/>
          </w:tcPr>
          <w:p w14:paraId="5B2AF8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3.3</w:t>
            </w:r>
          </w:p>
        </w:tc>
        <w:tc>
          <w:tcPr>
            <w:tcW w:w="593" w:type="dxa"/>
            <w:tcBorders>
              <w:top w:val="nil"/>
              <w:left w:val="nil"/>
              <w:bottom w:val="single" w:sz="8" w:space="0" w:color="DCDDDE"/>
              <w:right w:val="nil"/>
            </w:tcBorders>
            <w:shd w:val="clear" w:color="000000" w:fill="FFFFFF"/>
            <w:noWrap/>
            <w:vAlign w:val="center"/>
            <w:hideMark/>
          </w:tcPr>
          <w:p w14:paraId="1A9A786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593" w:type="dxa"/>
            <w:tcBorders>
              <w:top w:val="nil"/>
              <w:left w:val="nil"/>
              <w:bottom w:val="single" w:sz="8" w:space="0" w:color="DCDDDE"/>
              <w:right w:val="nil"/>
            </w:tcBorders>
            <w:shd w:val="clear" w:color="000000" w:fill="FFFFFF"/>
            <w:noWrap/>
            <w:vAlign w:val="center"/>
            <w:hideMark/>
          </w:tcPr>
          <w:p w14:paraId="330AB9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3.6</w:t>
            </w:r>
          </w:p>
        </w:tc>
        <w:tc>
          <w:tcPr>
            <w:tcW w:w="593" w:type="dxa"/>
            <w:tcBorders>
              <w:top w:val="nil"/>
              <w:left w:val="nil"/>
              <w:bottom w:val="single" w:sz="8" w:space="0" w:color="DCDDDE"/>
              <w:right w:val="nil"/>
            </w:tcBorders>
            <w:shd w:val="clear" w:color="000000" w:fill="FFFFFF"/>
            <w:noWrap/>
            <w:vAlign w:val="center"/>
            <w:hideMark/>
          </w:tcPr>
          <w:p w14:paraId="3D729DC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11CA67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732B6A7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63A0307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370525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5712EE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0C5E293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136031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3" w:type="dxa"/>
            <w:tcBorders>
              <w:top w:val="nil"/>
              <w:left w:val="nil"/>
              <w:bottom w:val="single" w:sz="8" w:space="0" w:color="DCDDDE"/>
              <w:right w:val="nil"/>
            </w:tcBorders>
            <w:shd w:val="clear" w:color="000000" w:fill="FFFFFF"/>
            <w:noWrap/>
            <w:vAlign w:val="center"/>
            <w:hideMark/>
          </w:tcPr>
          <w:p w14:paraId="6C5D5AC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595" w:type="dxa"/>
            <w:tcBorders>
              <w:top w:val="nil"/>
              <w:left w:val="nil"/>
              <w:bottom w:val="single" w:sz="8" w:space="0" w:color="DCDDDE"/>
              <w:right w:val="nil"/>
            </w:tcBorders>
            <w:shd w:val="clear" w:color="000000" w:fill="FFFFFF"/>
            <w:noWrap/>
            <w:vAlign w:val="center"/>
            <w:hideMark/>
          </w:tcPr>
          <w:p w14:paraId="5470B4A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r>
      <w:tr w:rsidR="00181744" w:rsidRPr="00181744" w14:paraId="2A466E5F" w14:textId="77777777" w:rsidTr="00181744">
        <w:trPr>
          <w:gridAfter w:val="1"/>
          <w:wAfter w:w="8" w:type="dxa"/>
          <w:trHeight w:val="244"/>
        </w:trPr>
        <w:tc>
          <w:tcPr>
            <w:tcW w:w="1342" w:type="dxa"/>
            <w:tcBorders>
              <w:top w:val="nil"/>
              <w:left w:val="nil"/>
              <w:bottom w:val="single" w:sz="8" w:space="0" w:color="DCDDDE"/>
              <w:right w:val="nil"/>
            </w:tcBorders>
            <w:shd w:val="clear" w:color="000000" w:fill="FFFFFF"/>
            <w:vAlign w:val="center"/>
            <w:hideMark/>
          </w:tcPr>
          <w:p w14:paraId="04A10F0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3" w:type="dxa"/>
            <w:tcBorders>
              <w:top w:val="nil"/>
              <w:left w:val="nil"/>
              <w:bottom w:val="single" w:sz="8" w:space="0" w:color="DCDDDE"/>
              <w:right w:val="nil"/>
            </w:tcBorders>
            <w:shd w:val="clear" w:color="000000" w:fill="FFFFFF"/>
            <w:noWrap/>
            <w:vAlign w:val="center"/>
            <w:hideMark/>
          </w:tcPr>
          <w:p w14:paraId="31CA503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48.8</w:t>
            </w:r>
          </w:p>
        </w:tc>
        <w:tc>
          <w:tcPr>
            <w:tcW w:w="593" w:type="dxa"/>
            <w:tcBorders>
              <w:top w:val="nil"/>
              <w:left w:val="nil"/>
              <w:bottom w:val="single" w:sz="8" w:space="0" w:color="DCDDDE"/>
              <w:right w:val="nil"/>
            </w:tcBorders>
            <w:shd w:val="clear" w:color="000000" w:fill="FFFFFF"/>
            <w:noWrap/>
            <w:vAlign w:val="center"/>
            <w:hideMark/>
          </w:tcPr>
          <w:p w14:paraId="39753D0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49.7</w:t>
            </w:r>
          </w:p>
        </w:tc>
        <w:tc>
          <w:tcPr>
            <w:tcW w:w="593" w:type="dxa"/>
            <w:tcBorders>
              <w:top w:val="nil"/>
              <w:left w:val="nil"/>
              <w:bottom w:val="single" w:sz="8" w:space="0" w:color="DCDDDE"/>
              <w:right w:val="nil"/>
            </w:tcBorders>
            <w:shd w:val="clear" w:color="000000" w:fill="FFFFFF"/>
            <w:noWrap/>
            <w:vAlign w:val="center"/>
            <w:hideMark/>
          </w:tcPr>
          <w:p w14:paraId="61B3BA7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56.9</w:t>
            </w:r>
          </w:p>
        </w:tc>
        <w:tc>
          <w:tcPr>
            <w:tcW w:w="593" w:type="dxa"/>
            <w:tcBorders>
              <w:top w:val="nil"/>
              <w:left w:val="nil"/>
              <w:bottom w:val="single" w:sz="8" w:space="0" w:color="DCDDDE"/>
              <w:right w:val="nil"/>
            </w:tcBorders>
            <w:shd w:val="clear" w:color="000000" w:fill="FFFFFF"/>
            <w:noWrap/>
            <w:vAlign w:val="center"/>
            <w:hideMark/>
          </w:tcPr>
          <w:p w14:paraId="4705DCF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62.3</w:t>
            </w:r>
          </w:p>
        </w:tc>
        <w:tc>
          <w:tcPr>
            <w:tcW w:w="593" w:type="dxa"/>
            <w:tcBorders>
              <w:top w:val="nil"/>
              <w:left w:val="nil"/>
              <w:bottom w:val="single" w:sz="8" w:space="0" w:color="DCDDDE"/>
              <w:right w:val="nil"/>
            </w:tcBorders>
            <w:shd w:val="clear" w:color="000000" w:fill="FFFFFF"/>
            <w:noWrap/>
            <w:vAlign w:val="center"/>
            <w:hideMark/>
          </w:tcPr>
          <w:p w14:paraId="46FBF41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66.8</w:t>
            </w:r>
          </w:p>
        </w:tc>
        <w:tc>
          <w:tcPr>
            <w:tcW w:w="593" w:type="dxa"/>
            <w:tcBorders>
              <w:top w:val="nil"/>
              <w:left w:val="nil"/>
              <w:bottom w:val="single" w:sz="8" w:space="0" w:color="DCDDDE"/>
              <w:right w:val="nil"/>
            </w:tcBorders>
            <w:shd w:val="clear" w:color="000000" w:fill="FFFFFF"/>
            <w:noWrap/>
            <w:vAlign w:val="center"/>
            <w:hideMark/>
          </w:tcPr>
          <w:p w14:paraId="4ACFB47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68.0</w:t>
            </w:r>
          </w:p>
        </w:tc>
        <w:tc>
          <w:tcPr>
            <w:tcW w:w="593" w:type="dxa"/>
            <w:tcBorders>
              <w:top w:val="nil"/>
              <w:left w:val="nil"/>
              <w:bottom w:val="single" w:sz="8" w:space="0" w:color="DCDDDE"/>
              <w:right w:val="nil"/>
            </w:tcBorders>
            <w:shd w:val="clear" w:color="000000" w:fill="FFFFFF"/>
            <w:noWrap/>
            <w:vAlign w:val="center"/>
            <w:hideMark/>
          </w:tcPr>
          <w:p w14:paraId="1D4B86E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68.0</w:t>
            </w:r>
          </w:p>
        </w:tc>
        <w:tc>
          <w:tcPr>
            <w:tcW w:w="593" w:type="dxa"/>
            <w:tcBorders>
              <w:top w:val="nil"/>
              <w:left w:val="nil"/>
              <w:bottom w:val="single" w:sz="8" w:space="0" w:color="DCDDDE"/>
              <w:right w:val="nil"/>
            </w:tcBorders>
            <w:shd w:val="clear" w:color="000000" w:fill="FFFFFF"/>
            <w:noWrap/>
            <w:vAlign w:val="center"/>
            <w:hideMark/>
          </w:tcPr>
          <w:p w14:paraId="7583634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67.7</w:t>
            </w:r>
          </w:p>
        </w:tc>
        <w:tc>
          <w:tcPr>
            <w:tcW w:w="593" w:type="dxa"/>
            <w:tcBorders>
              <w:top w:val="nil"/>
              <w:left w:val="nil"/>
              <w:bottom w:val="single" w:sz="8" w:space="0" w:color="DCDDDE"/>
              <w:right w:val="nil"/>
            </w:tcBorders>
            <w:shd w:val="clear" w:color="000000" w:fill="FFFFFF"/>
            <w:noWrap/>
            <w:vAlign w:val="center"/>
            <w:hideMark/>
          </w:tcPr>
          <w:p w14:paraId="4C844AF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59.6</w:t>
            </w:r>
          </w:p>
        </w:tc>
        <w:tc>
          <w:tcPr>
            <w:tcW w:w="593" w:type="dxa"/>
            <w:tcBorders>
              <w:top w:val="nil"/>
              <w:left w:val="nil"/>
              <w:bottom w:val="single" w:sz="8" w:space="0" w:color="DCDDDE"/>
              <w:right w:val="nil"/>
            </w:tcBorders>
            <w:shd w:val="clear" w:color="000000" w:fill="FFFFFF"/>
            <w:noWrap/>
            <w:vAlign w:val="center"/>
            <w:hideMark/>
          </w:tcPr>
          <w:p w14:paraId="0A3D048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57.8</w:t>
            </w:r>
          </w:p>
        </w:tc>
        <w:tc>
          <w:tcPr>
            <w:tcW w:w="593" w:type="dxa"/>
            <w:tcBorders>
              <w:top w:val="nil"/>
              <w:left w:val="nil"/>
              <w:bottom w:val="single" w:sz="8" w:space="0" w:color="DCDDDE"/>
              <w:right w:val="nil"/>
            </w:tcBorders>
            <w:shd w:val="clear" w:color="000000" w:fill="FFFFFF"/>
            <w:noWrap/>
            <w:vAlign w:val="center"/>
            <w:hideMark/>
          </w:tcPr>
          <w:p w14:paraId="61E29EB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58.7</w:t>
            </w:r>
          </w:p>
        </w:tc>
        <w:tc>
          <w:tcPr>
            <w:tcW w:w="593" w:type="dxa"/>
            <w:tcBorders>
              <w:top w:val="nil"/>
              <w:left w:val="nil"/>
              <w:bottom w:val="single" w:sz="8" w:space="0" w:color="DCDDDE"/>
              <w:right w:val="nil"/>
            </w:tcBorders>
            <w:shd w:val="clear" w:color="000000" w:fill="FFFFFF"/>
            <w:noWrap/>
            <w:vAlign w:val="center"/>
            <w:hideMark/>
          </w:tcPr>
          <w:p w14:paraId="4DF04BE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60.3</w:t>
            </w:r>
          </w:p>
        </w:tc>
        <w:tc>
          <w:tcPr>
            <w:tcW w:w="595" w:type="dxa"/>
            <w:tcBorders>
              <w:top w:val="nil"/>
              <w:left w:val="nil"/>
              <w:bottom w:val="single" w:sz="8" w:space="0" w:color="DCDDDE"/>
              <w:right w:val="nil"/>
            </w:tcBorders>
            <w:shd w:val="clear" w:color="000000" w:fill="FFFFFF"/>
            <w:noWrap/>
            <w:vAlign w:val="center"/>
            <w:hideMark/>
          </w:tcPr>
          <w:p w14:paraId="169D440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63.6</w:t>
            </w:r>
          </w:p>
        </w:tc>
      </w:tr>
    </w:tbl>
    <w:p w14:paraId="6B04F918" w14:textId="77777777" w:rsidR="00D823AE" w:rsidRPr="00D823AE" w:rsidRDefault="00181744" w:rsidP="00181744">
      <w:pPr>
        <w:jc w:val="center"/>
      </w:pPr>
      <w:r>
        <w:t>* Includes interactive effects</w:t>
      </w:r>
    </w:p>
    <w:p w14:paraId="38D4EB9B" w14:textId="77777777" w:rsidR="00D823AE" w:rsidRDefault="00D823AE" w:rsidP="00D823AE"/>
    <w:p w14:paraId="5B5F63B6" w14:textId="77777777" w:rsidR="00D823AE" w:rsidRDefault="00D823AE" w:rsidP="00D823AE">
      <w:pPr>
        <w:pStyle w:val="Heading6"/>
      </w:pPr>
      <w:bookmarkStart w:id="1120" w:name="_Toc485126613"/>
      <w:r>
        <w:lastRenderedPageBreak/>
        <w:t>SDG&amp;E</w:t>
      </w:r>
      <w:bookmarkEnd w:id="1120"/>
    </w:p>
    <w:p w14:paraId="7581251D" w14:textId="77777777" w:rsidR="00D823AE" w:rsidRPr="00D823AE" w:rsidRDefault="00D823AE" w:rsidP="00D823AE"/>
    <w:p w14:paraId="7679CE3B" w14:textId="77777777" w:rsidR="00D823AE" w:rsidRDefault="00D823AE" w:rsidP="00D823AE">
      <w:pPr>
        <w:pStyle w:val="Caption"/>
      </w:pPr>
      <w:bookmarkStart w:id="1121" w:name="_Toc485125636"/>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7</w:t>
      </w:r>
      <w:r w:rsidR="00272F76">
        <w:rPr>
          <w:noProof/>
        </w:rPr>
        <w:fldChar w:fldCharType="end"/>
      </w:r>
      <w:r w:rsidRPr="006F2DA9">
        <w:t xml:space="preserve">. </w:t>
      </w:r>
      <w:r>
        <w:t>SDG&amp;E Electric Savings</w:t>
      </w:r>
      <w:bookmarkEnd w:id="1121"/>
    </w:p>
    <w:tbl>
      <w:tblPr>
        <w:tblW w:w="9006" w:type="dxa"/>
        <w:tblLook w:val="04A0" w:firstRow="1" w:lastRow="0" w:firstColumn="1" w:lastColumn="0" w:noHBand="0" w:noVBand="1"/>
      </w:tblPr>
      <w:tblGrid>
        <w:gridCol w:w="1206"/>
        <w:gridCol w:w="599"/>
        <w:gridCol w:w="599"/>
        <w:gridCol w:w="599"/>
        <w:gridCol w:w="599"/>
        <w:gridCol w:w="599"/>
        <w:gridCol w:w="599"/>
        <w:gridCol w:w="599"/>
        <w:gridCol w:w="599"/>
        <w:gridCol w:w="599"/>
        <w:gridCol w:w="599"/>
        <w:gridCol w:w="599"/>
        <w:gridCol w:w="599"/>
        <w:gridCol w:w="599"/>
        <w:gridCol w:w="13"/>
      </w:tblGrid>
      <w:tr w:rsidR="00181744" w:rsidRPr="00181744" w14:paraId="52EB2CA7" w14:textId="77777777" w:rsidTr="00181744">
        <w:trPr>
          <w:trHeight w:val="242"/>
        </w:trPr>
        <w:tc>
          <w:tcPr>
            <w:tcW w:w="9006" w:type="dxa"/>
            <w:gridSpan w:val="15"/>
            <w:tcBorders>
              <w:top w:val="nil"/>
              <w:left w:val="nil"/>
              <w:bottom w:val="single" w:sz="12" w:space="0" w:color="95D600"/>
              <w:right w:val="nil"/>
            </w:tcBorders>
            <w:shd w:val="clear" w:color="000000" w:fill="555759"/>
            <w:noWrap/>
            <w:vAlign w:val="center"/>
            <w:hideMark/>
          </w:tcPr>
          <w:p w14:paraId="39E9A1A6" w14:textId="77777777" w:rsidR="00181744" w:rsidRPr="00181744" w:rsidRDefault="00181744" w:rsidP="00181744">
            <w:pPr>
              <w:spacing w:line="240" w:lineRule="auto"/>
              <w:jc w:val="center"/>
              <w:rPr>
                <w:rFonts w:ascii="Arial Narrow" w:hAnsi="Arial Narrow"/>
                <w:b/>
                <w:bCs/>
                <w:color w:val="FFFFFF"/>
                <w:sz w:val="18"/>
                <w:szCs w:val="18"/>
              </w:rPr>
            </w:pPr>
            <w:r w:rsidRPr="00181744">
              <w:rPr>
                <w:rFonts w:ascii="Arial Narrow" w:hAnsi="Arial Narrow"/>
                <w:b/>
                <w:bCs/>
                <w:color w:val="FFFFFF"/>
                <w:sz w:val="18"/>
                <w:szCs w:val="18"/>
              </w:rPr>
              <w:t>Electric Energy (GWh/year)</w:t>
            </w:r>
          </w:p>
        </w:tc>
      </w:tr>
      <w:tr w:rsidR="00181744" w:rsidRPr="00181744" w14:paraId="31C4FC9B" w14:textId="77777777" w:rsidTr="00181744">
        <w:trPr>
          <w:gridAfter w:val="1"/>
          <w:wAfter w:w="13" w:type="dxa"/>
          <w:trHeight w:val="253"/>
        </w:trPr>
        <w:tc>
          <w:tcPr>
            <w:tcW w:w="1206" w:type="dxa"/>
            <w:tcBorders>
              <w:top w:val="nil"/>
              <w:left w:val="nil"/>
              <w:bottom w:val="single" w:sz="8" w:space="0" w:color="DCDDDE"/>
              <w:right w:val="nil"/>
            </w:tcBorders>
            <w:shd w:val="clear" w:color="auto" w:fill="auto"/>
            <w:vAlign w:val="center"/>
            <w:hideMark/>
          </w:tcPr>
          <w:p w14:paraId="231CEA3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599" w:type="dxa"/>
            <w:tcBorders>
              <w:top w:val="nil"/>
              <w:left w:val="nil"/>
              <w:bottom w:val="single" w:sz="8" w:space="0" w:color="DCDDDE"/>
              <w:right w:val="nil"/>
            </w:tcBorders>
            <w:shd w:val="clear" w:color="auto" w:fill="auto"/>
            <w:noWrap/>
            <w:vAlign w:val="center"/>
            <w:hideMark/>
          </w:tcPr>
          <w:p w14:paraId="2752413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599" w:type="dxa"/>
            <w:tcBorders>
              <w:top w:val="nil"/>
              <w:left w:val="nil"/>
              <w:bottom w:val="single" w:sz="8" w:space="0" w:color="DCDDDE"/>
              <w:right w:val="nil"/>
            </w:tcBorders>
            <w:shd w:val="clear" w:color="auto" w:fill="auto"/>
            <w:noWrap/>
            <w:vAlign w:val="center"/>
            <w:hideMark/>
          </w:tcPr>
          <w:p w14:paraId="199D5AF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599" w:type="dxa"/>
            <w:tcBorders>
              <w:top w:val="nil"/>
              <w:left w:val="nil"/>
              <w:bottom w:val="single" w:sz="8" w:space="0" w:color="DCDDDE"/>
              <w:right w:val="nil"/>
            </w:tcBorders>
            <w:shd w:val="clear" w:color="auto" w:fill="auto"/>
            <w:noWrap/>
            <w:vAlign w:val="center"/>
            <w:hideMark/>
          </w:tcPr>
          <w:p w14:paraId="44B66F3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599" w:type="dxa"/>
            <w:tcBorders>
              <w:top w:val="nil"/>
              <w:left w:val="nil"/>
              <w:bottom w:val="single" w:sz="8" w:space="0" w:color="DCDDDE"/>
              <w:right w:val="nil"/>
            </w:tcBorders>
            <w:shd w:val="clear" w:color="auto" w:fill="auto"/>
            <w:noWrap/>
            <w:vAlign w:val="center"/>
            <w:hideMark/>
          </w:tcPr>
          <w:p w14:paraId="25D6975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599" w:type="dxa"/>
            <w:tcBorders>
              <w:top w:val="nil"/>
              <w:left w:val="nil"/>
              <w:bottom w:val="single" w:sz="8" w:space="0" w:color="DCDDDE"/>
              <w:right w:val="nil"/>
            </w:tcBorders>
            <w:shd w:val="clear" w:color="auto" w:fill="auto"/>
            <w:noWrap/>
            <w:vAlign w:val="center"/>
            <w:hideMark/>
          </w:tcPr>
          <w:p w14:paraId="3479653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599" w:type="dxa"/>
            <w:tcBorders>
              <w:top w:val="nil"/>
              <w:left w:val="nil"/>
              <w:bottom w:val="single" w:sz="8" w:space="0" w:color="DCDDDE"/>
              <w:right w:val="nil"/>
            </w:tcBorders>
            <w:shd w:val="clear" w:color="auto" w:fill="auto"/>
            <w:noWrap/>
            <w:vAlign w:val="center"/>
            <w:hideMark/>
          </w:tcPr>
          <w:p w14:paraId="302D8D3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599" w:type="dxa"/>
            <w:tcBorders>
              <w:top w:val="nil"/>
              <w:left w:val="nil"/>
              <w:bottom w:val="single" w:sz="8" w:space="0" w:color="DCDDDE"/>
              <w:right w:val="nil"/>
            </w:tcBorders>
            <w:shd w:val="clear" w:color="auto" w:fill="auto"/>
            <w:noWrap/>
            <w:vAlign w:val="center"/>
            <w:hideMark/>
          </w:tcPr>
          <w:p w14:paraId="5E8EFEF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599" w:type="dxa"/>
            <w:tcBorders>
              <w:top w:val="nil"/>
              <w:left w:val="nil"/>
              <w:bottom w:val="single" w:sz="8" w:space="0" w:color="DCDDDE"/>
              <w:right w:val="nil"/>
            </w:tcBorders>
            <w:shd w:val="clear" w:color="auto" w:fill="auto"/>
            <w:noWrap/>
            <w:vAlign w:val="center"/>
            <w:hideMark/>
          </w:tcPr>
          <w:p w14:paraId="2ED9673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599" w:type="dxa"/>
            <w:tcBorders>
              <w:top w:val="nil"/>
              <w:left w:val="nil"/>
              <w:bottom w:val="single" w:sz="8" w:space="0" w:color="DCDDDE"/>
              <w:right w:val="nil"/>
            </w:tcBorders>
            <w:shd w:val="clear" w:color="auto" w:fill="auto"/>
            <w:noWrap/>
            <w:vAlign w:val="center"/>
            <w:hideMark/>
          </w:tcPr>
          <w:p w14:paraId="65585B2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599" w:type="dxa"/>
            <w:tcBorders>
              <w:top w:val="nil"/>
              <w:left w:val="nil"/>
              <w:bottom w:val="single" w:sz="8" w:space="0" w:color="DCDDDE"/>
              <w:right w:val="nil"/>
            </w:tcBorders>
            <w:shd w:val="clear" w:color="auto" w:fill="auto"/>
            <w:noWrap/>
            <w:vAlign w:val="center"/>
            <w:hideMark/>
          </w:tcPr>
          <w:p w14:paraId="09ADC24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599" w:type="dxa"/>
            <w:tcBorders>
              <w:top w:val="nil"/>
              <w:left w:val="nil"/>
              <w:bottom w:val="single" w:sz="8" w:space="0" w:color="DCDDDE"/>
              <w:right w:val="nil"/>
            </w:tcBorders>
            <w:shd w:val="clear" w:color="auto" w:fill="auto"/>
            <w:noWrap/>
            <w:vAlign w:val="center"/>
            <w:hideMark/>
          </w:tcPr>
          <w:p w14:paraId="6A03193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599" w:type="dxa"/>
            <w:tcBorders>
              <w:top w:val="nil"/>
              <w:left w:val="nil"/>
              <w:bottom w:val="single" w:sz="8" w:space="0" w:color="DCDDDE"/>
              <w:right w:val="nil"/>
            </w:tcBorders>
            <w:shd w:val="clear" w:color="auto" w:fill="auto"/>
            <w:noWrap/>
            <w:vAlign w:val="center"/>
            <w:hideMark/>
          </w:tcPr>
          <w:p w14:paraId="13EA999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599" w:type="dxa"/>
            <w:tcBorders>
              <w:top w:val="nil"/>
              <w:left w:val="nil"/>
              <w:bottom w:val="single" w:sz="8" w:space="0" w:color="DCDDDE"/>
              <w:right w:val="nil"/>
            </w:tcBorders>
            <w:shd w:val="clear" w:color="auto" w:fill="auto"/>
            <w:noWrap/>
            <w:vAlign w:val="center"/>
            <w:hideMark/>
          </w:tcPr>
          <w:p w14:paraId="2A12E41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181744" w:rsidRPr="00181744" w14:paraId="55074411" w14:textId="77777777" w:rsidTr="00181744">
        <w:trPr>
          <w:trHeight w:val="242"/>
        </w:trPr>
        <w:tc>
          <w:tcPr>
            <w:tcW w:w="9006" w:type="dxa"/>
            <w:gridSpan w:val="15"/>
            <w:tcBorders>
              <w:top w:val="single" w:sz="8" w:space="0" w:color="DCDDDE"/>
              <w:left w:val="nil"/>
              <w:bottom w:val="single" w:sz="8" w:space="0" w:color="DCDDDE"/>
              <w:right w:val="nil"/>
            </w:tcBorders>
            <w:shd w:val="clear" w:color="000000" w:fill="DADADA"/>
            <w:noWrap/>
            <w:vAlign w:val="center"/>
            <w:hideMark/>
          </w:tcPr>
          <w:p w14:paraId="6D1B8D4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181744" w:rsidRPr="00181744" w14:paraId="2B566429"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12CB1C6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9" w:type="dxa"/>
            <w:tcBorders>
              <w:top w:val="nil"/>
              <w:left w:val="nil"/>
              <w:bottom w:val="single" w:sz="8" w:space="0" w:color="DCDDDE"/>
              <w:right w:val="nil"/>
            </w:tcBorders>
            <w:shd w:val="clear" w:color="000000" w:fill="FFFFFF"/>
            <w:noWrap/>
            <w:vAlign w:val="center"/>
            <w:hideMark/>
          </w:tcPr>
          <w:p w14:paraId="150DD8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41.9</w:t>
            </w:r>
          </w:p>
        </w:tc>
        <w:tc>
          <w:tcPr>
            <w:tcW w:w="599" w:type="dxa"/>
            <w:tcBorders>
              <w:top w:val="nil"/>
              <w:left w:val="nil"/>
              <w:bottom w:val="single" w:sz="8" w:space="0" w:color="DCDDDE"/>
              <w:right w:val="nil"/>
            </w:tcBorders>
            <w:shd w:val="clear" w:color="000000" w:fill="FFFFFF"/>
            <w:noWrap/>
            <w:vAlign w:val="center"/>
            <w:hideMark/>
          </w:tcPr>
          <w:p w14:paraId="4F4A2A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46.3</w:t>
            </w:r>
          </w:p>
        </w:tc>
        <w:tc>
          <w:tcPr>
            <w:tcW w:w="599" w:type="dxa"/>
            <w:tcBorders>
              <w:top w:val="nil"/>
              <w:left w:val="nil"/>
              <w:bottom w:val="single" w:sz="8" w:space="0" w:color="DCDDDE"/>
              <w:right w:val="nil"/>
            </w:tcBorders>
            <w:shd w:val="clear" w:color="000000" w:fill="FFFFFF"/>
            <w:noWrap/>
            <w:vAlign w:val="center"/>
            <w:hideMark/>
          </w:tcPr>
          <w:p w14:paraId="6B4DE4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47.5</w:t>
            </w:r>
          </w:p>
        </w:tc>
        <w:tc>
          <w:tcPr>
            <w:tcW w:w="599" w:type="dxa"/>
            <w:tcBorders>
              <w:top w:val="nil"/>
              <w:left w:val="nil"/>
              <w:bottom w:val="single" w:sz="8" w:space="0" w:color="DCDDDE"/>
              <w:right w:val="nil"/>
            </w:tcBorders>
            <w:shd w:val="clear" w:color="000000" w:fill="FFFFFF"/>
            <w:noWrap/>
            <w:vAlign w:val="center"/>
            <w:hideMark/>
          </w:tcPr>
          <w:p w14:paraId="263713C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54.9</w:t>
            </w:r>
          </w:p>
        </w:tc>
        <w:tc>
          <w:tcPr>
            <w:tcW w:w="599" w:type="dxa"/>
            <w:tcBorders>
              <w:top w:val="nil"/>
              <w:left w:val="nil"/>
              <w:bottom w:val="single" w:sz="8" w:space="0" w:color="DCDDDE"/>
              <w:right w:val="nil"/>
            </w:tcBorders>
            <w:shd w:val="clear" w:color="000000" w:fill="FFFFFF"/>
            <w:noWrap/>
            <w:vAlign w:val="center"/>
            <w:hideMark/>
          </w:tcPr>
          <w:p w14:paraId="29FE57C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59.9</w:t>
            </w:r>
          </w:p>
        </w:tc>
        <w:tc>
          <w:tcPr>
            <w:tcW w:w="599" w:type="dxa"/>
            <w:tcBorders>
              <w:top w:val="nil"/>
              <w:left w:val="nil"/>
              <w:bottom w:val="single" w:sz="8" w:space="0" w:color="DCDDDE"/>
              <w:right w:val="nil"/>
            </w:tcBorders>
            <w:shd w:val="clear" w:color="000000" w:fill="FFFFFF"/>
            <w:noWrap/>
            <w:vAlign w:val="center"/>
            <w:hideMark/>
          </w:tcPr>
          <w:p w14:paraId="1D7AB77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66.7</w:t>
            </w:r>
          </w:p>
        </w:tc>
        <w:tc>
          <w:tcPr>
            <w:tcW w:w="599" w:type="dxa"/>
            <w:tcBorders>
              <w:top w:val="nil"/>
              <w:left w:val="nil"/>
              <w:bottom w:val="single" w:sz="8" w:space="0" w:color="DCDDDE"/>
              <w:right w:val="nil"/>
            </w:tcBorders>
            <w:shd w:val="clear" w:color="000000" w:fill="FFFFFF"/>
            <w:noWrap/>
            <w:vAlign w:val="center"/>
            <w:hideMark/>
          </w:tcPr>
          <w:p w14:paraId="07DC932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73.1</w:t>
            </w:r>
          </w:p>
        </w:tc>
        <w:tc>
          <w:tcPr>
            <w:tcW w:w="599" w:type="dxa"/>
            <w:tcBorders>
              <w:top w:val="nil"/>
              <w:left w:val="nil"/>
              <w:bottom w:val="single" w:sz="8" w:space="0" w:color="DCDDDE"/>
              <w:right w:val="nil"/>
            </w:tcBorders>
            <w:shd w:val="clear" w:color="000000" w:fill="FFFFFF"/>
            <w:noWrap/>
            <w:vAlign w:val="center"/>
            <w:hideMark/>
          </w:tcPr>
          <w:p w14:paraId="34068AA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79.4</w:t>
            </w:r>
          </w:p>
        </w:tc>
        <w:tc>
          <w:tcPr>
            <w:tcW w:w="599" w:type="dxa"/>
            <w:tcBorders>
              <w:top w:val="nil"/>
              <w:left w:val="nil"/>
              <w:bottom w:val="single" w:sz="8" w:space="0" w:color="DCDDDE"/>
              <w:right w:val="nil"/>
            </w:tcBorders>
            <w:shd w:val="clear" w:color="000000" w:fill="FFFFFF"/>
            <w:noWrap/>
            <w:vAlign w:val="center"/>
            <w:hideMark/>
          </w:tcPr>
          <w:p w14:paraId="7A02CF3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83.2</w:t>
            </w:r>
          </w:p>
        </w:tc>
        <w:tc>
          <w:tcPr>
            <w:tcW w:w="599" w:type="dxa"/>
            <w:tcBorders>
              <w:top w:val="nil"/>
              <w:left w:val="nil"/>
              <w:bottom w:val="single" w:sz="8" w:space="0" w:color="DCDDDE"/>
              <w:right w:val="nil"/>
            </w:tcBorders>
            <w:shd w:val="clear" w:color="000000" w:fill="FFFFFF"/>
            <w:noWrap/>
            <w:vAlign w:val="center"/>
            <w:hideMark/>
          </w:tcPr>
          <w:p w14:paraId="58D425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84.4</w:t>
            </w:r>
          </w:p>
        </w:tc>
        <w:tc>
          <w:tcPr>
            <w:tcW w:w="599" w:type="dxa"/>
            <w:tcBorders>
              <w:top w:val="nil"/>
              <w:left w:val="nil"/>
              <w:bottom w:val="single" w:sz="8" w:space="0" w:color="DCDDDE"/>
              <w:right w:val="nil"/>
            </w:tcBorders>
            <w:shd w:val="clear" w:color="000000" w:fill="FFFFFF"/>
            <w:noWrap/>
            <w:vAlign w:val="center"/>
            <w:hideMark/>
          </w:tcPr>
          <w:p w14:paraId="5DB28C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86.3</w:t>
            </w:r>
          </w:p>
        </w:tc>
        <w:tc>
          <w:tcPr>
            <w:tcW w:w="599" w:type="dxa"/>
            <w:tcBorders>
              <w:top w:val="nil"/>
              <w:left w:val="nil"/>
              <w:bottom w:val="single" w:sz="8" w:space="0" w:color="DCDDDE"/>
              <w:right w:val="nil"/>
            </w:tcBorders>
            <w:shd w:val="clear" w:color="000000" w:fill="FFFFFF"/>
            <w:noWrap/>
            <w:vAlign w:val="center"/>
            <w:hideMark/>
          </w:tcPr>
          <w:p w14:paraId="25C081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86.4</w:t>
            </w:r>
          </w:p>
        </w:tc>
        <w:tc>
          <w:tcPr>
            <w:tcW w:w="599" w:type="dxa"/>
            <w:tcBorders>
              <w:top w:val="nil"/>
              <w:left w:val="nil"/>
              <w:bottom w:val="single" w:sz="8" w:space="0" w:color="DCDDDE"/>
              <w:right w:val="nil"/>
            </w:tcBorders>
            <w:shd w:val="clear" w:color="000000" w:fill="FFFFFF"/>
            <w:noWrap/>
            <w:vAlign w:val="center"/>
            <w:hideMark/>
          </w:tcPr>
          <w:p w14:paraId="6541E0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85.3</w:t>
            </w:r>
          </w:p>
        </w:tc>
      </w:tr>
      <w:tr w:rsidR="00181744" w:rsidRPr="00181744" w14:paraId="35821615"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2C4D3BA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9" w:type="dxa"/>
            <w:tcBorders>
              <w:top w:val="nil"/>
              <w:left w:val="nil"/>
              <w:bottom w:val="single" w:sz="8" w:space="0" w:color="DCDDDE"/>
              <w:right w:val="nil"/>
            </w:tcBorders>
            <w:shd w:val="clear" w:color="000000" w:fill="FFFFFF"/>
            <w:noWrap/>
            <w:vAlign w:val="center"/>
            <w:hideMark/>
          </w:tcPr>
          <w:p w14:paraId="29F66FC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162.4</w:t>
            </w:r>
          </w:p>
        </w:tc>
        <w:tc>
          <w:tcPr>
            <w:tcW w:w="599" w:type="dxa"/>
            <w:tcBorders>
              <w:top w:val="nil"/>
              <w:left w:val="nil"/>
              <w:bottom w:val="single" w:sz="8" w:space="0" w:color="DCDDDE"/>
              <w:right w:val="nil"/>
            </w:tcBorders>
            <w:shd w:val="clear" w:color="000000" w:fill="FFFFFF"/>
            <w:noWrap/>
            <w:vAlign w:val="center"/>
            <w:hideMark/>
          </w:tcPr>
          <w:p w14:paraId="6E2BE82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166.4</w:t>
            </w:r>
          </w:p>
        </w:tc>
        <w:tc>
          <w:tcPr>
            <w:tcW w:w="599" w:type="dxa"/>
            <w:tcBorders>
              <w:top w:val="nil"/>
              <w:left w:val="nil"/>
              <w:bottom w:val="single" w:sz="8" w:space="0" w:color="DCDDDE"/>
              <w:right w:val="nil"/>
            </w:tcBorders>
            <w:shd w:val="clear" w:color="000000" w:fill="FFFFFF"/>
            <w:noWrap/>
            <w:vAlign w:val="center"/>
            <w:hideMark/>
          </w:tcPr>
          <w:p w14:paraId="25763AD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169.8</w:t>
            </w:r>
          </w:p>
        </w:tc>
        <w:tc>
          <w:tcPr>
            <w:tcW w:w="599" w:type="dxa"/>
            <w:tcBorders>
              <w:top w:val="nil"/>
              <w:left w:val="nil"/>
              <w:bottom w:val="single" w:sz="8" w:space="0" w:color="DCDDDE"/>
              <w:right w:val="nil"/>
            </w:tcBorders>
            <w:shd w:val="clear" w:color="000000" w:fill="FFFFFF"/>
            <w:noWrap/>
            <w:vAlign w:val="center"/>
            <w:hideMark/>
          </w:tcPr>
          <w:p w14:paraId="43BB608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180.7</w:t>
            </w:r>
          </w:p>
        </w:tc>
        <w:tc>
          <w:tcPr>
            <w:tcW w:w="599" w:type="dxa"/>
            <w:tcBorders>
              <w:top w:val="nil"/>
              <w:left w:val="nil"/>
              <w:bottom w:val="single" w:sz="8" w:space="0" w:color="DCDDDE"/>
              <w:right w:val="nil"/>
            </w:tcBorders>
            <w:shd w:val="clear" w:color="000000" w:fill="FFFFFF"/>
            <w:noWrap/>
            <w:vAlign w:val="center"/>
            <w:hideMark/>
          </w:tcPr>
          <w:p w14:paraId="06731D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177.6</w:t>
            </w:r>
          </w:p>
        </w:tc>
        <w:tc>
          <w:tcPr>
            <w:tcW w:w="599" w:type="dxa"/>
            <w:tcBorders>
              <w:top w:val="nil"/>
              <w:left w:val="nil"/>
              <w:bottom w:val="single" w:sz="8" w:space="0" w:color="DCDDDE"/>
              <w:right w:val="nil"/>
            </w:tcBorders>
            <w:shd w:val="clear" w:color="000000" w:fill="FFFFFF"/>
            <w:noWrap/>
            <w:vAlign w:val="center"/>
            <w:hideMark/>
          </w:tcPr>
          <w:p w14:paraId="094DAD0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192.4</w:t>
            </w:r>
          </w:p>
        </w:tc>
        <w:tc>
          <w:tcPr>
            <w:tcW w:w="599" w:type="dxa"/>
            <w:tcBorders>
              <w:top w:val="nil"/>
              <w:left w:val="nil"/>
              <w:bottom w:val="single" w:sz="8" w:space="0" w:color="DCDDDE"/>
              <w:right w:val="nil"/>
            </w:tcBorders>
            <w:shd w:val="clear" w:color="000000" w:fill="FFFFFF"/>
            <w:noWrap/>
            <w:vAlign w:val="center"/>
            <w:hideMark/>
          </w:tcPr>
          <w:p w14:paraId="03F3EE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186.0</w:t>
            </w:r>
          </w:p>
        </w:tc>
        <w:tc>
          <w:tcPr>
            <w:tcW w:w="599" w:type="dxa"/>
            <w:tcBorders>
              <w:top w:val="nil"/>
              <w:left w:val="nil"/>
              <w:bottom w:val="single" w:sz="8" w:space="0" w:color="DCDDDE"/>
              <w:right w:val="nil"/>
            </w:tcBorders>
            <w:shd w:val="clear" w:color="000000" w:fill="FFFFFF"/>
            <w:noWrap/>
            <w:vAlign w:val="center"/>
            <w:hideMark/>
          </w:tcPr>
          <w:p w14:paraId="4011F2E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181.7</w:t>
            </w:r>
          </w:p>
        </w:tc>
        <w:tc>
          <w:tcPr>
            <w:tcW w:w="599" w:type="dxa"/>
            <w:tcBorders>
              <w:top w:val="nil"/>
              <w:left w:val="nil"/>
              <w:bottom w:val="single" w:sz="8" w:space="0" w:color="DCDDDE"/>
              <w:right w:val="nil"/>
            </w:tcBorders>
            <w:shd w:val="clear" w:color="000000" w:fill="FFFFFF"/>
            <w:noWrap/>
            <w:vAlign w:val="center"/>
            <w:hideMark/>
          </w:tcPr>
          <w:p w14:paraId="0BA1580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173.8</w:t>
            </w:r>
          </w:p>
        </w:tc>
        <w:tc>
          <w:tcPr>
            <w:tcW w:w="599" w:type="dxa"/>
            <w:tcBorders>
              <w:top w:val="nil"/>
              <w:left w:val="nil"/>
              <w:bottom w:val="single" w:sz="8" w:space="0" w:color="DCDDDE"/>
              <w:right w:val="nil"/>
            </w:tcBorders>
            <w:shd w:val="clear" w:color="000000" w:fill="FFFFFF"/>
            <w:noWrap/>
            <w:vAlign w:val="center"/>
            <w:hideMark/>
          </w:tcPr>
          <w:p w14:paraId="47BB98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169.6</w:t>
            </w:r>
          </w:p>
        </w:tc>
        <w:tc>
          <w:tcPr>
            <w:tcW w:w="599" w:type="dxa"/>
            <w:tcBorders>
              <w:top w:val="nil"/>
              <w:left w:val="nil"/>
              <w:bottom w:val="single" w:sz="8" w:space="0" w:color="DCDDDE"/>
              <w:right w:val="nil"/>
            </w:tcBorders>
            <w:shd w:val="clear" w:color="000000" w:fill="FFFFFF"/>
            <w:noWrap/>
            <w:vAlign w:val="center"/>
            <w:hideMark/>
          </w:tcPr>
          <w:p w14:paraId="02C526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159.1</w:t>
            </w:r>
          </w:p>
        </w:tc>
        <w:tc>
          <w:tcPr>
            <w:tcW w:w="599" w:type="dxa"/>
            <w:tcBorders>
              <w:top w:val="nil"/>
              <w:left w:val="nil"/>
              <w:bottom w:val="single" w:sz="8" w:space="0" w:color="DCDDDE"/>
              <w:right w:val="nil"/>
            </w:tcBorders>
            <w:shd w:val="clear" w:color="000000" w:fill="FFFFFF"/>
            <w:noWrap/>
            <w:vAlign w:val="center"/>
            <w:hideMark/>
          </w:tcPr>
          <w:p w14:paraId="606E7EE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146.6</w:t>
            </w:r>
          </w:p>
        </w:tc>
        <w:tc>
          <w:tcPr>
            <w:tcW w:w="599" w:type="dxa"/>
            <w:tcBorders>
              <w:top w:val="nil"/>
              <w:left w:val="nil"/>
              <w:bottom w:val="single" w:sz="8" w:space="0" w:color="DCDDDE"/>
              <w:right w:val="nil"/>
            </w:tcBorders>
            <w:shd w:val="clear" w:color="000000" w:fill="FFFFFF"/>
            <w:noWrap/>
            <w:vAlign w:val="center"/>
            <w:hideMark/>
          </w:tcPr>
          <w:p w14:paraId="0A0679F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134.0</w:t>
            </w:r>
          </w:p>
        </w:tc>
      </w:tr>
      <w:tr w:rsidR="00181744" w:rsidRPr="00181744" w14:paraId="6B916A62"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5A95E83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9" w:type="dxa"/>
            <w:tcBorders>
              <w:top w:val="nil"/>
              <w:left w:val="nil"/>
              <w:bottom w:val="single" w:sz="8" w:space="0" w:color="DCDDDE"/>
              <w:right w:val="nil"/>
            </w:tcBorders>
            <w:shd w:val="clear" w:color="000000" w:fill="FFFFFF"/>
            <w:noWrap/>
            <w:vAlign w:val="center"/>
            <w:hideMark/>
          </w:tcPr>
          <w:p w14:paraId="43F95AF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w:t>
            </w:r>
          </w:p>
        </w:tc>
        <w:tc>
          <w:tcPr>
            <w:tcW w:w="599" w:type="dxa"/>
            <w:tcBorders>
              <w:top w:val="nil"/>
              <w:left w:val="nil"/>
              <w:bottom w:val="single" w:sz="8" w:space="0" w:color="DCDDDE"/>
              <w:right w:val="nil"/>
            </w:tcBorders>
            <w:shd w:val="clear" w:color="000000" w:fill="FFFFFF"/>
            <w:noWrap/>
            <w:vAlign w:val="center"/>
            <w:hideMark/>
          </w:tcPr>
          <w:p w14:paraId="5024AF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21.6</w:t>
            </w:r>
          </w:p>
        </w:tc>
        <w:tc>
          <w:tcPr>
            <w:tcW w:w="599" w:type="dxa"/>
            <w:tcBorders>
              <w:top w:val="nil"/>
              <w:left w:val="nil"/>
              <w:bottom w:val="single" w:sz="8" w:space="0" w:color="DCDDDE"/>
              <w:right w:val="nil"/>
            </w:tcBorders>
            <w:shd w:val="clear" w:color="000000" w:fill="FFFFFF"/>
            <w:noWrap/>
            <w:vAlign w:val="center"/>
            <w:hideMark/>
          </w:tcPr>
          <w:p w14:paraId="2A5FF55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25.8</w:t>
            </w:r>
          </w:p>
        </w:tc>
        <w:tc>
          <w:tcPr>
            <w:tcW w:w="599" w:type="dxa"/>
            <w:tcBorders>
              <w:top w:val="nil"/>
              <w:left w:val="nil"/>
              <w:bottom w:val="single" w:sz="8" w:space="0" w:color="DCDDDE"/>
              <w:right w:val="nil"/>
            </w:tcBorders>
            <w:shd w:val="clear" w:color="000000" w:fill="FFFFFF"/>
            <w:noWrap/>
            <w:vAlign w:val="center"/>
            <w:hideMark/>
          </w:tcPr>
          <w:p w14:paraId="3E5498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32.9</w:t>
            </w:r>
          </w:p>
        </w:tc>
        <w:tc>
          <w:tcPr>
            <w:tcW w:w="599" w:type="dxa"/>
            <w:tcBorders>
              <w:top w:val="nil"/>
              <w:left w:val="nil"/>
              <w:bottom w:val="single" w:sz="8" w:space="0" w:color="DCDDDE"/>
              <w:right w:val="nil"/>
            </w:tcBorders>
            <w:shd w:val="clear" w:color="000000" w:fill="FFFFFF"/>
            <w:noWrap/>
            <w:vAlign w:val="center"/>
            <w:hideMark/>
          </w:tcPr>
          <w:p w14:paraId="4E7983A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37.0</w:t>
            </w:r>
          </w:p>
        </w:tc>
        <w:tc>
          <w:tcPr>
            <w:tcW w:w="599" w:type="dxa"/>
            <w:tcBorders>
              <w:top w:val="nil"/>
              <w:left w:val="nil"/>
              <w:bottom w:val="single" w:sz="8" w:space="0" w:color="DCDDDE"/>
              <w:right w:val="nil"/>
            </w:tcBorders>
            <w:shd w:val="clear" w:color="000000" w:fill="FFFFFF"/>
            <w:noWrap/>
            <w:vAlign w:val="center"/>
            <w:hideMark/>
          </w:tcPr>
          <w:p w14:paraId="26BD1D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41.2</w:t>
            </w:r>
          </w:p>
        </w:tc>
        <w:tc>
          <w:tcPr>
            <w:tcW w:w="599" w:type="dxa"/>
            <w:tcBorders>
              <w:top w:val="nil"/>
              <w:left w:val="nil"/>
              <w:bottom w:val="single" w:sz="8" w:space="0" w:color="DCDDDE"/>
              <w:right w:val="nil"/>
            </w:tcBorders>
            <w:shd w:val="clear" w:color="000000" w:fill="FFFFFF"/>
            <w:noWrap/>
            <w:vAlign w:val="center"/>
            <w:hideMark/>
          </w:tcPr>
          <w:p w14:paraId="40122A1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45.6</w:t>
            </w:r>
          </w:p>
        </w:tc>
        <w:tc>
          <w:tcPr>
            <w:tcW w:w="599" w:type="dxa"/>
            <w:tcBorders>
              <w:top w:val="nil"/>
              <w:left w:val="nil"/>
              <w:bottom w:val="single" w:sz="8" w:space="0" w:color="DCDDDE"/>
              <w:right w:val="nil"/>
            </w:tcBorders>
            <w:shd w:val="clear" w:color="000000" w:fill="FFFFFF"/>
            <w:noWrap/>
            <w:vAlign w:val="center"/>
            <w:hideMark/>
          </w:tcPr>
          <w:p w14:paraId="13E57E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50.6</w:t>
            </w:r>
          </w:p>
        </w:tc>
        <w:tc>
          <w:tcPr>
            <w:tcW w:w="599" w:type="dxa"/>
            <w:tcBorders>
              <w:top w:val="nil"/>
              <w:left w:val="nil"/>
              <w:bottom w:val="single" w:sz="8" w:space="0" w:color="DCDDDE"/>
              <w:right w:val="nil"/>
            </w:tcBorders>
            <w:shd w:val="clear" w:color="000000" w:fill="FFFFFF"/>
            <w:noWrap/>
            <w:vAlign w:val="center"/>
            <w:hideMark/>
          </w:tcPr>
          <w:p w14:paraId="662B81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55.6</w:t>
            </w:r>
          </w:p>
        </w:tc>
        <w:tc>
          <w:tcPr>
            <w:tcW w:w="599" w:type="dxa"/>
            <w:tcBorders>
              <w:top w:val="nil"/>
              <w:left w:val="nil"/>
              <w:bottom w:val="single" w:sz="8" w:space="0" w:color="DCDDDE"/>
              <w:right w:val="nil"/>
            </w:tcBorders>
            <w:shd w:val="clear" w:color="000000" w:fill="FFFFFF"/>
            <w:noWrap/>
            <w:vAlign w:val="center"/>
            <w:hideMark/>
          </w:tcPr>
          <w:p w14:paraId="2E0A6B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60.9</w:t>
            </w:r>
          </w:p>
        </w:tc>
        <w:tc>
          <w:tcPr>
            <w:tcW w:w="599" w:type="dxa"/>
            <w:tcBorders>
              <w:top w:val="nil"/>
              <w:left w:val="nil"/>
              <w:bottom w:val="single" w:sz="8" w:space="0" w:color="DCDDDE"/>
              <w:right w:val="nil"/>
            </w:tcBorders>
            <w:shd w:val="clear" w:color="000000" w:fill="FFFFFF"/>
            <w:noWrap/>
            <w:vAlign w:val="center"/>
            <w:hideMark/>
          </w:tcPr>
          <w:p w14:paraId="60C3A79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66.2</w:t>
            </w:r>
          </w:p>
        </w:tc>
        <w:tc>
          <w:tcPr>
            <w:tcW w:w="599" w:type="dxa"/>
            <w:tcBorders>
              <w:top w:val="nil"/>
              <w:left w:val="nil"/>
              <w:bottom w:val="single" w:sz="8" w:space="0" w:color="DCDDDE"/>
              <w:right w:val="nil"/>
            </w:tcBorders>
            <w:shd w:val="clear" w:color="000000" w:fill="FFFFFF"/>
            <w:noWrap/>
            <w:vAlign w:val="center"/>
            <w:hideMark/>
          </w:tcPr>
          <w:p w14:paraId="4D0129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71.8</w:t>
            </w:r>
          </w:p>
        </w:tc>
        <w:tc>
          <w:tcPr>
            <w:tcW w:w="599" w:type="dxa"/>
            <w:tcBorders>
              <w:top w:val="nil"/>
              <w:left w:val="nil"/>
              <w:bottom w:val="single" w:sz="8" w:space="0" w:color="DCDDDE"/>
              <w:right w:val="nil"/>
            </w:tcBorders>
            <w:shd w:val="clear" w:color="000000" w:fill="FFFFFF"/>
            <w:noWrap/>
            <w:vAlign w:val="center"/>
            <w:hideMark/>
          </w:tcPr>
          <w:p w14:paraId="4099E92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77.7</w:t>
            </w:r>
          </w:p>
        </w:tc>
      </w:tr>
      <w:tr w:rsidR="00181744" w:rsidRPr="00181744" w14:paraId="03303A83"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44AB11C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9" w:type="dxa"/>
            <w:tcBorders>
              <w:top w:val="nil"/>
              <w:left w:val="nil"/>
              <w:bottom w:val="single" w:sz="8" w:space="0" w:color="DCDDDE"/>
              <w:right w:val="nil"/>
            </w:tcBorders>
            <w:shd w:val="clear" w:color="000000" w:fill="FFFFFF"/>
            <w:noWrap/>
            <w:vAlign w:val="center"/>
            <w:hideMark/>
          </w:tcPr>
          <w:p w14:paraId="71D714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63431E4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20EE5E3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73A05F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6A6B93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C0463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F78F5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E788B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6179B7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158BFD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6991C2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AD9E0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38E3F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r>
      <w:tr w:rsidR="00181744" w:rsidRPr="00181744" w14:paraId="405474B5"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6C4168F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9" w:type="dxa"/>
            <w:tcBorders>
              <w:top w:val="nil"/>
              <w:left w:val="nil"/>
              <w:bottom w:val="single" w:sz="8" w:space="0" w:color="DCDDDE"/>
              <w:right w:val="nil"/>
            </w:tcBorders>
            <w:shd w:val="clear" w:color="000000" w:fill="FFFFFF"/>
            <w:noWrap/>
            <w:vAlign w:val="center"/>
            <w:hideMark/>
          </w:tcPr>
          <w:p w14:paraId="2463A59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227.7</w:t>
            </w:r>
          </w:p>
        </w:tc>
        <w:tc>
          <w:tcPr>
            <w:tcW w:w="599" w:type="dxa"/>
            <w:tcBorders>
              <w:top w:val="nil"/>
              <w:left w:val="nil"/>
              <w:bottom w:val="single" w:sz="8" w:space="0" w:color="DCDDDE"/>
              <w:right w:val="nil"/>
            </w:tcBorders>
            <w:shd w:val="clear" w:color="000000" w:fill="FFFFFF"/>
            <w:noWrap/>
            <w:vAlign w:val="center"/>
            <w:hideMark/>
          </w:tcPr>
          <w:p w14:paraId="1DD5747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241.5</w:t>
            </w:r>
          </w:p>
        </w:tc>
        <w:tc>
          <w:tcPr>
            <w:tcW w:w="599" w:type="dxa"/>
            <w:tcBorders>
              <w:top w:val="nil"/>
              <w:left w:val="nil"/>
              <w:bottom w:val="single" w:sz="8" w:space="0" w:color="DCDDDE"/>
              <w:right w:val="nil"/>
            </w:tcBorders>
            <w:shd w:val="clear" w:color="000000" w:fill="FFFFFF"/>
            <w:noWrap/>
            <w:vAlign w:val="center"/>
            <w:hideMark/>
          </w:tcPr>
          <w:p w14:paraId="20E2D44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250.2</w:t>
            </w:r>
          </w:p>
        </w:tc>
        <w:tc>
          <w:tcPr>
            <w:tcW w:w="599" w:type="dxa"/>
            <w:tcBorders>
              <w:top w:val="nil"/>
              <w:left w:val="nil"/>
              <w:bottom w:val="single" w:sz="8" w:space="0" w:color="DCDDDE"/>
              <w:right w:val="nil"/>
            </w:tcBorders>
            <w:shd w:val="clear" w:color="000000" w:fill="FFFFFF"/>
            <w:noWrap/>
            <w:vAlign w:val="center"/>
            <w:hideMark/>
          </w:tcPr>
          <w:p w14:paraId="38F74F3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275.5</w:t>
            </w:r>
          </w:p>
        </w:tc>
        <w:tc>
          <w:tcPr>
            <w:tcW w:w="599" w:type="dxa"/>
            <w:tcBorders>
              <w:top w:val="nil"/>
              <w:left w:val="nil"/>
              <w:bottom w:val="single" w:sz="8" w:space="0" w:color="DCDDDE"/>
              <w:right w:val="nil"/>
            </w:tcBorders>
            <w:shd w:val="clear" w:color="000000" w:fill="FFFFFF"/>
            <w:noWrap/>
            <w:vAlign w:val="center"/>
            <w:hideMark/>
          </w:tcPr>
          <w:p w14:paraId="02A792A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281.6</w:t>
            </w:r>
          </w:p>
        </w:tc>
        <w:tc>
          <w:tcPr>
            <w:tcW w:w="599" w:type="dxa"/>
            <w:tcBorders>
              <w:top w:val="nil"/>
              <w:left w:val="nil"/>
              <w:bottom w:val="single" w:sz="8" w:space="0" w:color="DCDDDE"/>
              <w:right w:val="nil"/>
            </w:tcBorders>
            <w:shd w:val="clear" w:color="000000" w:fill="FFFFFF"/>
            <w:noWrap/>
            <w:vAlign w:val="center"/>
            <w:hideMark/>
          </w:tcPr>
          <w:p w14:paraId="71B1F30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307.3</w:t>
            </w:r>
          </w:p>
        </w:tc>
        <w:tc>
          <w:tcPr>
            <w:tcW w:w="599" w:type="dxa"/>
            <w:tcBorders>
              <w:top w:val="nil"/>
              <w:left w:val="nil"/>
              <w:bottom w:val="single" w:sz="8" w:space="0" w:color="DCDDDE"/>
              <w:right w:val="nil"/>
            </w:tcBorders>
            <w:shd w:val="clear" w:color="000000" w:fill="FFFFFF"/>
            <w:noWrap/>
            <w:vAlign w:val="center"/>
            <w:hideMark/>
          </w:tcPr>
          <w:p w14:paraId="52C6002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311.9</w:t>
            </w:r>
          </w:p>
        </w:tc>
        <w:tc>
          <w:tcPr>
            <w:tcW w:w="599" w:type="dxa"/>
            <w:tcBorders>
              <w:top w:val="nil"/>
              <w:left w:val="nil"/>
              <w:bottom w:val="single" w:sz="8" w:space="0" w:color="DCDDDE"/>
              <w:right w:val="nil"/>
            </w:tcBorders>
            <w:shd w:val="clear" w:color="000000" w:fill="FFFFFF"/>
            <w:noWrap/>
            <w:vAlign w:val="center"/>
            <w:hideMark/>
          </w:tcPr>
          <w:p w14:paraId="1100E59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318.8</w:t>
            </w:r>
          </w:p>
        </w:tc>
        <w:tc>
          <w:tcPr>
            <w:tcW w:w="599" w:type="dxa"/>
            <w:tcBorders>
              <w:top w:val="nil"/>
              <w:left w:val="nil"/>
              <w:bottom w:val="single" w:sz="8" w:space="0" w:color="DCDDDE"/>
              <w:right w:val="nil"/>
            </w:tcBorders>
            <w:shd w:val="clear" w:color="000000" w:fill="FFFFFF"/>
            <w:noWrap/>
            <w:vAlign w:val="center"/>
            <w:hideMark/>
          </w:tcPr>
          <w:p w14:paraId="6A736F6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319.8</w:t>
            </w:r>
          </w:p>
        </w:tc>
        <w:tc>
          <w:tcPr>
            <w:tcW w:w="599" w:type="dxa"/>
            <w:tcBorders>
              <w:top w:val="nil"/>
              <w:left w:val="nil"/>
              <w:bottom w:val="single" w:sz="8" w:space="0" w:color="DCDDDE"/>
              <w:right w:val="nil"/>
            </w:tcBorders>
            <w:shd w:val="clear" w:color="000000" w:fill="FFFFFF"/>
            <w:noWrap/>
            <w:vAlign w:val="center"/>
            <w:hideMark/>
          </w:tcPr>
          <w:p w14:paraId="69865F3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322.0</w:t>
            </w:r>
          </w:p>
        </w:tc>
        <w:tc>
          <w:tcPr>
            <w:tcW w:w="599" w:type="dxa"/>
            <w:tcBorders>
              <w:top w:val="nil"/>
              <w:left w:val="nil"/>
              <w:bottom w:val="single" w:sz="8" w:space="0" w:color="DCDDDE"/>
              <w:right w:val="nil"/>
            </w:tcBorders>
            <w:shd w:val="clear" w:color="000000" w:fill="FFFFFF"/>
            <w:noWrap/>
            <w:vAlign w:val="center"/>
            <w:hideMark/>
          </w:tcPr>
          <w:p w14:paraId="62FFD12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318.8</w:t>
            </w:r>
          </w:p>
        </w:tc>
        <w:tc>
          <w:tcPr>
            <w:tcW w:w="599" w:type="dxa"/>
            <w:tcBorders>
              <w:top w:val="nil"/>
              <w:left w:val="nil"/>
              <w:bottom w:val="single" w:sz="8" w:space="0" w:color="DCDDDE"/>
              <w:right w:val="nil"/>
            </w:tcBorders>
            <w:shd w:val="clear" w:color="000000" w:fill="FFFFFF"/>
            <w:noWrap/>
            <w:vAlign w:val="center"/>
            <w:hideMark/>
          </w:tcPr>
          <w:p w14:paraId="0B073E3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311.9</w:t>
            </w:r>
          </w:p>
        </w:tc>
        <w:tc>
          <w:tcPr>
            <w:tcW w:w="599" w:type="dxa"/>
            <w:tcBorders>
              <w:top w:val="nil"/>
              <w:left w:val="nil"/>
              <w:bottom w:val="single" w:sz="8" w:space="0" w:color="DCDDDE"/>
              <w:right w:val="nil"/>
            </w:tcBorders>
            <w:shd w:val="clear" w:color="000000" w:fill="FFFFFF"/>
            <w:noWrap/>
            <w:vAlign w:val="center"/>
            <w:hideMark/>
          </w:tcPr>
          <w:p w14:paraId="2FEA087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304.0</w:t>
            </w:r>
          </w:p>
        </w:tc>
      </w:tr>
      <w:tr w:rsidR="00181744" w:rsidRPr="00181744" w14:paraId="5007FC96" w14:textId="77777777" w:rsidTr="00181744">
        <w:trPr>
          <w:trHeight w:val="242"/>
        </w:trPr>
        <w:tc>
          <w:tcPr>
            <w:tcW w:w="9006" w:type="dxa"/>
            <w:gridSpan w:val="15"/>
            <w:tcBorders>
              <w:top w:val="single" w:sz="8" w:space="0" w:color="DCDDDE"/>
              <w:left w:val="nil"/>
              <w:bottom w:val="single" w:sz="8" w:space="0" w:color="DCDDDE"/>
              <w:right w:val="nil"/>
            </w:tcBorders>
            <w:shd w:val="clear" w:color="000000" w:fill="DADADA"/>
            <w:noWrap/>
            <w:vAlign w:val="center"/>
            <w:hideMark/>
          </w:tcPr>
          <w:p w14:paraId="030E20A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181744" w:rsidRPr="00181744" w14:paraId="24EA20C5"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5D71F6B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9" w:type="dxa"/>
            <w:tcBorders>
              <w:top w:val="nil"/>
              <w:left w:val="nil"/>
              <w:bottom w:val="single" w:sz="8" w:space="0" w:color="DCDDDE"/>
              <w:right w:val="nil"/>
            </w:tcBorders>
            <w:shd w:val="clear" w:color="000000" w:fill="FFFFFF"/>
            <w:noWrap/>
            <w:vAlign w:val="center"/>
            <w:hideMark/>
          </w:tcPr>
          <w:p w14:paraId="78137E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57.2</w:t>
            </w:r>
          </w:p>
        </w:tc>
        <w:tc>
          <w:tcPr>
            <w:tcW w:w="599" w:type="dxa"/>
            <w:tcBorders>
              <w:top w:val="nil"/>
              <w:left w:val="nil"/>
              <w:bottom w:val="single" w:sz="8" w:space="0" w:color="DCDDDE"/>
              <w:right w:val="nil"/>
            </w:tcBorders>
            <w:shd w:val="clear" w:color="000000" w:fill="FFFFFF"/>
            <w:noWrap/>
            <w:vAlign w:val="center"/>
            <w:hideMark/>
          </w:tcPr>
          <w:p w14:paraId="1EF796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65.8</w:t>
            </w:r>
          </w:p>
        </w:tc>
        <w:tc>
          <w:tcPr>
            <w:tcW w:w="599" w:type="dxa"/>
            <w:tcBorders>
              <w:top w:val="nil"/>
              <w:left w:val="nil"/>
              <w:bottom w:val="single" w:sz="8" w:space="0" w:color="DCDDDE"/>
              <w:right w:val="nil"/>
            </w:tcBorders>
            <w:shd w:val="clear" w:color="000000" w:fill="FFFFFF"/>
            <w:noWrap/>
            <w:vAlign w:val="center"/>
            <w:hideMark/>
          </w:tcPr>
          <w:p w14:paraId="1B4AAE6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66.6</w:t>
            </w:r>
          </w:p>
        </w:tc>
        <w:tc>
          <w:tcPr>
            <w:tcW w:w="599" w:type="dxa"/>
            <w:tcBorders>
              <w:top w:val="nil"/>
              <w:left w:val="nil"/>
              <w:bottom w:val="single" w:sz="8" w:space="0" w:color="DCDDDE"/>
              <w:right w:val="nil"/>
            </w:tcBorders>
            <w:shd w:val="clear" w:color="000000" w:fill="FFFFFF"/>
            <w:noWrap/>
            <w:vAlign w:val="center"/>
            <w:hideMark/>
          </w:tcPr>
          <w:p w14:paraId="1B11408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74.8</w:t>
            </w:r>
          </w:p>
        </w:tc>
        <w:tc>
          <w:tcPr>
            <w:tcW w:w="599" w:type="dxa"/>
            <w:tcBorders>
              <w:top w:val="nil"/>
              <w:left w:val="nil"/>
              <w:bottom w:val="single" w:sz="8" w:space="0" w:color="DCDDDE"/>
              <w:right w:val="nil"/>
            </w:tcBorders>
            <w:shd w:val="clear" w:color="000000" w:fill="FFFFFF"/>
            <w:noWrap/>
            <w:vAlign w:val="center"/>
            <w:hideMark/>
          </w:tcPr>
          <w:p w14:paraId="7FE5E4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79.4</w:t>
            </w:r>
          </w:p>
        </w:tc>
        <w:tc>
          <w:tcPr>
            <w:tcW w:w="599" w:type="dxa"/>
            <w:tcBorders>
              <w:top w:val="nil"/>
              <w:left w:val="nil"/>
              <w:bottom w:val="single" w:sz="8" w:space="0" w:color="DCDDDE"/>
              <w:right w:val="nil"/>
            </w:tcBorders>
            <w:shd w:val="clear" w:color="000000" w:fill="FFFFFF"/>
            <w:noWrap/>
            <w:vAlign w:val="center"/>
            <w:hideMark/>
          </w:tcPr>
          <w:p w14:paraId="318AFB3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85.5</w:t>
            </w:r>
          </w:p>
        </w:tc>
        <w:tc>
          <w:tcPr>
            <w:tcW w:w="599" w:type="dxa"/>
            <w:tcBorders>
              <w:top w:val="nil"/>
              <w:left w:val="nil"/>
              <w:bottom w:val="single" w:sz="8" w:space="0" w:color="DCDDDE"/>
              <w:right w:val="nil"/>
            </w:tcBorders>
            <w:shd w:val="clear" w:color="000000" w:fill="FFFFFF"/>
            <w:noWrap/>
            <w:vAlign w:val="center"/>
            <w:hideMark/>
          </w:tcPr>
          <w:p w14:paraId="3BD40E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91.9</w:t>
            </w:r>
          </w:p>
        </w:tc>
        <w:tc>
          <w:tcPr>
            <w:tcW w:w="599" w:type="dxa"/>
            <w:tcBorders>
              <w:top w:val="nil"/>
              <w:left w:val="nil"/>
              <w:bottom w:val="single" w:sz="8" w:space="0" w:color="DCDDDE"/>
              <w:right w:val="nil"/>
            </w:tcBorders>
            <w:shd w:val="clear" w:color="000000" w:fill="FFFFFF"/>
            <w:noWrap/>
            <w:vAlign w:val="center"/>
            <w:hideMark/>
          </w:tcPr>
          <w:p w14:paraId="513099B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97.5</w:t>
            </w:r>
          </w:p>
        </w:tc>
        <w:tc>
          <w:tcPr>
            <w:tcW w:w="599" w:type="dxa"/>
            <w:tcBorders>
              <w:top w:val="nil"/>
              <w:left w:val="nil"/>
              <w:bottom w:val="single" w:sz="8" w:space="0" w:color="DCDDDE"/>
              <w:right w:val="nil"/>
            </w:tcBorders>
            <w:shd w:val="clear" w:color="000000" w:fill="FFFFFF"/>
            <w:noWrap/>
            <w:vAlign w:val="center"/>
            <w:hideMark/>
          </w:tcPr>
          <w:p w14:paraId="50867C6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100.1</w:t>
            </w:r>
          </w:p>
        </w:tc>
        <w:tc>
          <w:tcPr>
            <w:tcW w:w="599" w:type="dxa"/>
            <w:tcBorders>
              <w:top w:val="nil"/>
              <w:left w:val="nil"/>
              <w:bottom w:val="single" w:sz="8" w:space="0" w:color="DCDDDE"/>
              <w:right w:val="nil"/>
            </w:tcBorders>
            <w:shd w:val="clear" w:color="000000" w:fill="FFFFFF"/>
            <w:noWrap/>
            <w:vAlign w:val="center"/>
            <w:hideMark/>
          </w:tcPr>
          <w:p w14:paraId="525FD46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102.2</w:t>
            </w:r>
          </w:p>
        </w:tc>
        <w:tc>
          <w:tcPr>
            <w:tcW w:w="599" w:type="dxa"/>
            <w:tcBorders>
              <w:top w:val="nil"/>
              <w:left w:val="nil"/>
              <w:bottom w:val="single" w:sz="8" w:space="0" w:color="DCDDDE"/>
              <w:right w:val="nil"/>
            </w:tcBorders>
            <w:shd w:val="clear" w:color="000000" w:fill="FFFFFF"/>
            <w:noWrap/>
            <w:vAlign w:val="center"/>
            <w:hideMark/>
          </w:tcPr>
          <w:p w14:paraId="41649B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103.8</w:t>
            </w:r>
          </w:p>
        </w:tc>
        <w:tc>
          <w:tcPr>
            <w:tcW w:w="599" w:type="dxa"/>
            <w:tcBorders>
              <w:top w:val="nil"/>
              <w:left w:val="nil"/>
              <w:bottom w:val="single" w:sz="8" w:space="0" w:color="DCDDDE"/>
              <w:right w:val="nil"/>
            </w:tcBorders>
            <w:shd w:val="clear" w:color="000000" w:fill="FFFFFF"/>
            <w:noWrap/>
            <w:vAlign w:val="center"/>
            <w:hideMark/>
          </w:tcPr>
          <w:p w14:paraId="4BA2282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103.4</w:t>
            </w:r>
          </w:p>
        </w:tc>
        <w:tc>
          <w:tcPr>
            <w:tcW w:w="599" w:type="dxa"/>
            <w:tcBorders>
              <w:top w:val="nil"/>
              <w:left w:val="nil"/>
              <w:bottom w:val="single" w:sz="8" w:space="0" w:color="DCDDDE"/>
              <w:right w:val="nil"/>
            </w:tcBorders>
            <w:shd w:val="clear" w:color="000000" w:fill="FFFFFF"/>
            <w:noWrap/>
            <w:vAlign w:val="center"/>
            <w:hideMark/>
          </w:tcPr>
          <w:p w14:paraId="26EB1DF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102.0</w:t>
            </w:r>
          </w:p>
        </w:tc>
      </w:tr>
      <w:tr w:rsidR="00181744" w:rsidRPr="00181744" w14:paraId="754CFFD2"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44F7DF5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9" w:type="dxa"/>
            <w:tcBorders>
              <w:top w:val="nil"/>
              <w:left w:val="nil"/>
              <w:bottom w:val="single" w:sz="8" w:space="0" w:color="DCDDDE"/>
              <w:right w:val="nil"/>
            </w:tcBorders>
            <w:shd w:val="clear" w:color="000000" w:fill="FFFFFF"/>
            <w:noWrap/>
            <w:vAlign w:val="center"/>
            <w:hideMark/>
          </w:tcPr>
          <w:p w14:paraId="743FC1C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162.4</w:t>
            </w:r>
          </w:p>
        </w:tc>
        <w:tc>
          <w:tcPr>
            <w:tcW w:w="599" w:type="dxa"/>
            <w:tcBorders>
              <w:top w:val="nil"/>
              <w:left w:val="nil"/>
              <w:bottom w:val="single" w:sz="8" w:space="0" w:color="DCDDDE"/>
              <w:right w:val="nil"/>
            </w:tcBorders>
            <w:shd w:val="clear" w:color="000000" w:fill="FFFFFF"/>
            <w:noWrap/>
            <w:vAlign w:val="center"/>
            <w:hideMark/>
          </w:tcPr>
          <w:p w14:paraId="4CFAD45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166.4</w:t>
            </w:r>
          </w:p>
        </w:tc>
        <w:tc>
          <w:tcPr>
            <w:tcW w:w="599" w:type="dxa"/>
            <w:tcBorders>
              <w:top w:val="nil"/>
              <w:left w:val="nil"/>
              <w:bottom w:val="single" w:sz="8" w:space="0" w:color="DCDDDE"/>
              <w:right w:val="nil"/>
            </w:tcBorders>
            <w:shd w:val="clear" w:color="000000" w:fill="FFFFFF"/>
            <w:noWrap/>
            <w:vAlign w:val="center"/>
            <w:hideMark/>
          </w:tcPr>
          <w:p w14:paraId="4DB061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169.8</w:t>
            </w:r>
          </w:p>
        </w:tc>
        <w:tc>
          <w:tcPr>
            <w:tcW w:w="599" w:type="dxa"/>
            <w:tcBorders>
              <w:top w:val="nil"/>
              <w:left w:val="nil"/>
              <w:bottom w:val="single" w:sz="8" w:space="0" w:color="DCDDDE"/>
              <w:right w:val="nil"/>
            </w:tcBorders>
            <w:shd w:val="clear" w:color="000000" w:fill="FFFFFF"/>
            <w:noWrap/>
            <w:vAlign w:val="center"/>
            <w:hideMark/>
          </w:tcPr>
          <w:p w14:paraId="02A978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180.7</w:t>
            </w:r>
          </w:p>
        </w:tc>
        <w:tc>
          <w:tcPr>
            <w:tcW w:w="599" w:type="dxa"/>
            <w:tcBorders>
              <w:top w:val="nil"/>
              <w:left w:val="nil"/>
              <w:bottom w:val="single" w:sz="8" w:space="0" w:color="DCDDDE"/>
              <w:right w:val="nil"/>
            </w:tcBorders>
            <w:shd w:val="clear" w:color="000000" w:fill="FFFFFF"/>
            <w:noWrap/>
            <w:vAlign w:val="center"/>
            <w:hideMark/>
          </w:tcPr>
          <w:p w14:paraId="3A8256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177.6</w:t>
            </w:r>
          </w:p>
        </w:tc>
        <w:tc>
          <w:tcPr>
            <w:tcW w:w="599" w:type="dxa"/>
            <w:tcBorders>
              <w:top w:val="nil"/>
              <w:left w:val="nil"/>
              <w:bottom w:val="single" w:sz="8" w:space="0" w:color="DCDDDE"/>
              <w:right w:val="nil"/>
            </w:tcBorders>
            <w:shd w:val="clear" w:color="000000" w:fill="FFFFFF"/>
            <w:noWrap/>
            <w:vAlign w:val="center"/>
            <w:hideMark/>
          </w:tcPr>
          <w:p w14:paraId="3532878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192.4</w:t>
            </w:r>
          </w:p>
        </w:tc>
        <w:tc>
          <w:tcPr>
            <w:tcW w:w="599" w:type="dxa"/>
            <w:tcBorders>
              <w:top w:val="nil"/>
              <w:left w:val="nil"/>
              <w:bottom w:val="single" w:sz="8" w:space="0" w:color="DCDDDE"/>
              <w:right w:val="nil"/>
            </w:tcBorders>
            <w:shd w:val="clear" w:color="000000" w:fill="FFFFFF"/>
            <w:noWrap/>
            <w:vAlign w:val="center"/>
            <w:hideMark/>
          </w:tcPr>
          <w:p w14:paraId="6E850C3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186.0</w:t>
            </w:r>
          </w:p>
        </w:tc>
        <w:tc>
          <w:tcPr>
            <w:tcW w:w="599" w:type="dxa"/>
            <w:tcBorders>
              <w:top w:val="nil"/>
              <w:left w:val="nil"/>
              <w:bottom w:val="single" w:sz="8" w:space="0" w:color="DCDDDE"/>
              <w:right w:val="nil"/>
            </w:tcBorders>
            <w:shd w:val="clear" w:color="000000" w:fill="FFFFFF"/>
            <w:noWrap/>
            <w:vAlign w:val="center"/>
            <w:hideMark/>
          </w:tcPr>
          <w:p w14:paraId="0132AE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181.7</w:t>
            </w:r>
          </w:p>
        </w:tc>
        <w:tc>
          <w:tcPr>
            <w:tcW w:w="599" w:type="dxa"/>
            <w:tcBorders>
              <w:top w:val="nil"/>
              <w:left w:val="nil"/>
              <w:bottom w:val="single" w:sz="8" w:space="0" w:color="DCDDDE"/>
              <w:right w:val="nil"/>
            </w:tcBorders>
            <w:shd w:val="clear" w:color="000000" w:fill="FFFFFF"/>
            <w:noWrap/>
            <w:vAlign w:val="center"/>
            <w:hideMark/>
          </w:tcPr>
          <w:p w14:paraId="105FAB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173.8</w:t>
            </w:r>
          </w:p>
        </w:tc>
        <w:tc>
          <w:tcPr>
            <w:tcW w:w="599" w:type="dxa"/>
            <w:tcBorders>
              <w:top w:val="nil"/>
              <w:left w:val="nil"/>
              <w:bottom w:val="single" w:sz="8" w:space="0" w:color="DCDDDE"/>
              <w:right w:val="nil"/>
            </w:tcBorders>
            <w:shd w:val="clear" w:color="000000" w:fill="FFFFFF"/>
            <w:noWrap/>
            <w:vAlign w:val="center"/>
            <w:hideMark/>
          </w:tcPr>
          <w:p w14:paraId="4148B0E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169.6</w:t>
            </w:r>
          </w:p>
        </w:tc>
        <w:tc>
          <w:tcPr>
            <w:tcW w:w="599" w:type="dxa"/>
            <w:tcBorders>
              <w:top w:val="nil"/>
              <w:left w:val="nil"/>
              <w:bottom w:val="single" w:sz="8" w:space="0" w:color="DCDDDE"/>
              <w:right w:val="nil"/>
            </w:tcBorders>
            <w:shd w:val="clear" w:color="000000" w:fill="FFFFFF"/>
            <w:noWrap/>
            <w:vAlign w:val="center"/>
            <w:hideMark/>
          </w:tcPr>
          <w:p w14:paraId="1CB7A31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159.1</w:t>
            </w:r>
          </w:p>
        </w:tc>
        <w:tc>
          <w:tcPr>
            <w:tcW w:w="599" w:type="dxa"/>
            <w:tcBorders>
              <w:top w:val="nil"/>
              <w:left w:val="nil"/>
              <w:bottom w:val="single" w:sz="8" w:space="0" w:color="DCDDDE"/>
              <w:right w:val="nil"/>
            </w:tcBorders>
            <w:shd w:val="clear" w:color="000000" w:fill="FFFFFF"/>
            <w:noWrap/>
            <w:vAlign w:val="center"/>
            <w:hideMark/>
          </w:tcPr>
          <w:p w14:paraId="4BF778D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146.6</w:t>
            </w:r>
          </w:p>
        </w:tc>
        <w:tc>
          <w:tcPr>
            <w:tcW w:w="599" w:type="dxa"/>
            <w:tcBorders>
              <w:top w:val="nil"/>
              <w:left w:val="nil"/>
              <w:bottom w:val="single" w:sz="8" w:space="0" w:color="DCDDDE"/>
              <w:right w:val="nil"/>
            </w:tcBorders>
            <w:shd w:val="clear" w:color="000000" w:fill="FFFFFF"/>
            <w:noWrap/>
            <w:vAlign w:val="center"/>
            <w:hideMark/>
          </w:tcPr>
          <w:p w14:paraId="6FE3129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134.0</w:t>
            </w:r>
          </w:p>
        </w:tc>
      </w:tr>
      <w:tr w:rsidR="00181744" w:rsidRPr="00181744" w14:paraId="7077E3B6"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25FF1AE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9" w:type="dxa"/>
            <w:tcBorders>
              <w:top w:val="nil"/>
              <w:left w:val="nil"/>
              <w:bottom w:val="single" w:sz="8" w:space="0" w:color="DCDDDE"/>
              <w:right w:val="nil"/>
            </w:tcBorders>
            <w:shd w:val="clear" w:color="000000" w:fill="FFFFFF"/>
            <w:noWrap/>
            <w:vAlign w:val="center"/>
            <w:hideMark/>
          </w:tcPr>
          <w:p w14:paraId="46B783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w:t>
            </w:r>
          </w:p>
        </w:tc>
        <w:tc>
          <w:tcPr>
            <w:tcW w:w="599" w:type="dxa"/>
            <w:tcBorders>
              <w:top w:val="nil"/>
              <w:left w:val="nil"/>
              <w:bottom w:val="single" w:sz="8" w:space="0" w:color="DCDDDE"/>
              <w:right w:val="nil"/>
            </w:tcBorders>
            <w:shd w:val="clear" w:color="000000" w:fill="FFFFFF"/>
            <w:noWrap/>
            <w:vAlign w:val="center"/>
            <w:hideMark/>
          </w:tcPr>
          <w:p w14:paraId="093EB98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21.6</w:t>
            </w:r>
          </w:p>
        </w:tc>
        <w:tc>
          <w:tcPr>
            <w:tcW w:w="599" w:type="dxa"/>
            <w:tcBorders>
              <w:top w:val="nil"/>
              <w:left w:val="nil"/>
              <w:bottom w:val="single" w:sz="8" w:space="0" w:color="DCDDDE"/>
              <w:right w:val="nil"/>
            </w:tcBorders>
            <w:shd w:val="clear" w:color="000000" w:fill="FFFFFF"/>
            <w:noWrap/>
            <w:vAlign w:val="center"/>
            <w:hideMark/>
          </w:tcPr>
          <w:p w14:paraId="46611D5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25.8</w:t>
            </w:r>
          </w:p>
        </w:tc>
        <w:tc>
          <w:tcPr>
            <w:tcW w:w="599" w:type="dxa"/>
            <w:tcBorders>
              <w:top w:val="nil"/>
              <w:left w:val="nil"/>
              <w:bottom w:val="single" w:sz="8" w:space="0" w:color="DCDDDE"/>
              <w:right w:val="nil"/>
            </w:tcBorders>
            <w:shd w:val="clear" w:color="000000" w:fill="FFFFFF"/>
            <w:noWrap/>
            <w:vAlign w:val="center"/>
            <w:hideMark/>
          </w:tcPr>
          <w:p w14:paraId="16AF07D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32.9</w:t>
            </w:r>
          </w:p>
        </w:tc>
        <w:tc>
          <w:tcPr>
            <w:tcW w:w="599" w:type="dxa"/>
            <w:tcBorders>
              <w:top w:val="nil"/>
              <w:left w:val="nil"/>
              <w:bottom w:val="single" w:sz="8" w:space="0" w:color="DCDDDE"/>
              <w:right w:val="nil"/>
            </w:tcBorders>
            <w:shd w:val="clear" w:color="000000" w:fill="FFFFFF"/>
            <w:noWrap/>
            <w:vAlign w:val="center"/>
            <w:hideMark/>
          </w:tcPr>
          <w:p w14:paraId="53CBB0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37.0</w:t>
            </w:r>
          </w:p>
        </w:tc>
        <w:tc>
          <w:tcPr>
            <w:tcW w:w="599" w:type="dxa"/>
            <w:tcBorders>
              <w:top w:val="nil"/>
              <w:left w:val="nil"/>
              <w:bottom w:val="single" w:sz="8" w:space="0" w:color="DCDDDE"/>
              <w:right w:val="nil"/>
            </w:tcBorders>
            <w:shd w:val="clear" w:color="000000" w:fill="FFFFFF"/>
            <w:noWrap/>
            <w:vAlign w:val="center"/>
            <w:hideMark/>
          </w:tcPr>
          <w:p w14:paraId="4849593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41.2</w:t>
            </w:r>
          </w:p>
        </w:tc>
        <w:tc>
          <w:tcPr>
            <w:tcW w:w="599" w:type="dxa"/>
            <w:tcBorders>
              <w:top w:val="nil"/>
              <w:left w:val="nil"/>
              <w:bottom w:val="single" w:sz="8" w:space="0" w:color="DCDDDE"/>
              <w:right w:val="nil"/>
            </w:tcBorders>
            <w:shd w:val="clear" w:color="000000" w:fill="FFFFFF"/>
            <w:noWrap/>
            <w:vAlign w:val="center"/>
            <w:hideMark/>
          </w:tcPr>
          <w:p w14:paraId="40F0A98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45.6</w:t>
            </w:r>
          </w:p>
        </w:tc>
        <w:tc>
          <w:tcPr>
            <w:tcW w:w="599" w:type="dxa"/>
            <w:tcBorders>
              <w:top w:val="nil"/>
              <w:left w:val="nil"/>
              <w:bottom w:val="single" w:sz="8" w:space="0" w:color="DCDDDE"/>
              <w:right w:val="nil"/>
            </w:tcBorders>
            <w:shd w:val="clear" w:color="000000" w:fill="FFFFFF"/>
            <w:noWrap/>
            <w:vAlign w:val="center"/>
            <w:hideMark/>
          </w:tcPr>
          <w:p w14:paraId="6BA3DD3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50.6</w:t>
            </w:r>
          </w:p>
        </w:tc>
        <w:tc>
          <w:tcPr>
            <w:tcW w:w="599" w:type="dxa"/>
            <w:tcBorders>
              <w:top w:val="nil"/>
              <w:left w:val="nil"/>
              <w:bottom w:val="single" w:sz="8" w:space="0" w:color="DCDDDE"/>
              <w:right w:val="nil"/>
            </w:tcBorders>
            <w:shd w:val="clear" w:color="000000" w:fill="FFFFFF"/>
            <w:noWrap/>
            <w:vAlign w:val="center"/>
            <w:hideMark/>
          </w:tcPr>
          <w:p w14:paraId="086A133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55.6</w:t>
            </w:r>
          </w:p>
        </w:tc>
        <w:tc>
          <w:tcPr>
            <w:tcW w:w="599" w:type="dxa"/>
            <w:tcBorders>
              <w:top w:val="nil"/>
              <w:left w:val="nil"/>
              <w:bottom w:val="single" w:sz="8" w:space="0" w:color="DCDDDE"/>
              <w:right w:val="nil"/>
            </w:tcBorders>
            <w:shd w:val="clear" w:color="000000" w:fill="FFFFFF"/>
            <w:noWrap/>
            <w:vAlign w:val="center"/>
            <w:hideMark/>
          </w:tcPr>
          <w:p w14:paraId="686F300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60.9</w:t>
            </w:r>
          </w:p>
        </w:tc>
        <w:tc>
          <w:tcPr>
            <w:tcW w:w="599" w:type="dxa"/>
            <w:tcBorders>
              <w:top w:val="nil"/>
              <w:left w:val="nil"/>
              <w:bottom w:val="single" w:sz="8" w:space="0" w:color="DCDDDE"/>
              <w:right w:val="nil"/>
            </w:tcBorders>
            <w:shd w:val="clear" w:color="000000" w:fill="FFFFFF"/>
            <w:noWrap/>
            <w:vAlign w:val="center"/>
            <w:hideMark/>
          </w:tcPr>
          <w:p w14:paraId="0C91F4E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66.2</w:t>
            </w:r>
          </w:p>
        </w:tc>
        <w:tc>
          <w:tcPr>
            <w:tcW w:w="599" w:type="dxa"/>
            <w:tcBorders>
              <w:top w:val="nil"/>
              <w:left w:val="nil"/>
              <w:bottom w:val="single" w:sz="8" w:space="0" w:color="DCDDDE"/>
              <w:right w:val="nil"/>
            </w:tcBorders>
            <w:shd w:val="clear" w:color="000000" w:fill="FFFFFF"/>
            <w:noWrap/>
            <w:vAlign w:val="center"/>
            <w:hideMark/>
          </w:tcPr>
          <w:p w14:paraId="566D07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71.8</w:t>
            </w:r>
          </w:p>
        </w:tc>
        <w:tc>
          <w:tcPr>
            <w:tcW w:w="599" w:type="dxa"/>
            <w:tcBorders>
              <w:top w:val="nil"/>
              <w:left w:val="nil"/>
              <w:bottom w:val="single" w:sz="8" w:space="0" w:color="DCDDDE"/>
              <w:right w:val="nil"/>
            </w:tcBorders>
            <w:shd w:val="clear" w:color="000000" w:fill="FFFFFF"/>
            <w:noWrap/>
            <w:vAlign w:val="center"/>
            <w:hideMark/>
          </w:tcPr>
          <w:p w14:paraId="2FC6961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77.7</w:t>
            </w:r>
          </w:p>
        </w:tc>
      </w:tr>
      <w:tr w:rsidR="00181744" w:rsidRPr="00181744" w14:paraId="646E940D"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4267BFA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9" w:type="dxa"/>
            <w:tcBorders>
              <w:top w:val="nil"/>
              <w:left w:val="nil"/>
              <w:bottom w:val="single" w:sz="8" w:space="0" w:color="DCDDDE"/>
              <w:right w:val="nil"/>
            </w:tcBorders>
            <w:shd w:val="clear" w:color="000000" w:fill="FFFFFF"/>
            <w:noWrap/>
            <w:vAlign w:val="center"/>
            <w:hideMark/>
          </w:tcPr>
          <w:p w14:paraId="212FE0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44C84E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537C88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6B8491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57CE3AC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1DB0EFE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7F153E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702D9C7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0D8544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624FEF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7456B3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D42908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DAE57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r>
      <w:tr w:rsidR="00181744" w:rsidRPr="00181744" w14:paraId="799F7771"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0132A8D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9" w:type="dxa"/>
            <w:tcBorders>
              <w:top w:val="nil"/>
              <w:left w:val="nil"/>
              <w:bottom w:val="single" w:sz="8" w:space="0" w:color="DCDDDE"/>
              <w:right w:val="nil"/>
            </w:tcBorders>
            <w:shd w:val="clear" w:color="000000" w:fill="FFFFFF"/>
            <w:noWrap/>
            <w:vAlign w:val="center"/>
            <w:hideMark/>
          </w:tcPr>
          <w:p w14:paraId="0F840C1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243.0</w:t>
            </w:r>
          </w:p>
        </w:tc>
        <w:tc>
          <w:tcPr>
            <w:tcW w:w="599" w:type="dxa"/>
            <w:tcBorders>
              <w:top w:val="nil"/>
              <w:left w:val="nil"/>
              <w:bottom w:val="single" w:sz="8" w:space="0" w:color="DCDDDE"/>
              <w:right w:val="nil"/>
            </w:tcBorders>
            <w:shd w:val="clear" w:color="000000" w:fill="FFFFFF"/>
            <w:noWrap/>
            <w:vAlign w:val="center"/>
            <w:hideMark/>
          </w:tcPr>
          <w:p w14:paraId="57D0628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261.0</w:t>
            </w:r>
          </w:p>
        </w:tc>
        <w:tc>
          <w:tcPr>
            <w:tcW w:w="599" w:type="dxa"/>
            <w:tcBorders>
              <w:top w:val="nil"/>
              <w:left w:val="nil"/>
              <w:bottom w:val="single" w:sz="8" w:space="0" w:color="DCDDDE"/>
              <w:right w:val="nil"/>
            </w:tcBorders>
            <w:shd w:val="clear" w:color="000000" w:fill="FFFFFF"/>
            <w:noWrap/>
            <w:vAlign w:val="center"/>
            <w:hideMark/>
          </w:tcPr>
          <w:p w14:paraId="70601B9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269.3</w:t>
            </w:r>
          </w:p>
        </w:tc>
        <w:tc>
          <w:tcPr>
            <w:tcW w:w="599" w:type="dxa"/>
            <w:tcBorders>
              <w:top w:val="nil"/>
              <w:left w:val="nil"/>
              <w:bottom w:val="single" w:sz="8" w:space="0" w:color="DCDDDE"/>
              <w:right w:val="nil"/>
            </w:tcBorders>
            <w:shd w:val="clear" w:color="000000" w:fill="FFFFFF"/>
            <w:noWrap/>
            <w:vAlign w:val="center"/>
            <w:hideMark/>
          </w:tcPr>
          <w:p w14:paraId="321013E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295.5</w:t>
            </w:r>
          </w:p>
        </w:tc>
        <w:tc>
          <w:tcPr>
            <w:tcW w:w="599" w:type="dxa"/>
            <w:tcBorders>
              <w:top w:val="nil"/>
              <w:left w:val="nil"/>
              <w:bottom w:val="single" w:sz="8" w:space="0" w:color="DCDDDE"/>
              <w:right w:val="nil"/>
            </w:tcBorders>
            <w:shd w:val="clear" w:color="000000" w:fill="FFFFFF"/>
            <w:noWrap/>
            <w:vAlign w:val="center"/>
            <w:hideMark/>
          </w:tcPr>
          <w:p w14:paraId="2DD9467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301.1</w:t>
            </w:r>
          </w:p>
        </w:tc>
        <w:tc>
          <w:tcPr>
            <w:tcW w:w="599" w:type="dxa"/>
            <w:tcBorders>
              <w:top w:val="nil"/>
              <w:left w:val="nil"/>
              <w:bottom w:val="single" w:sz="8" w:space="0" w:color="DCDDDE"/>
              <w:right w:val="nil"/>
            </w:tcBorders>
            <w:shd w:val="clear" w:color="000000" w:fill="FFFFFF"/>
            <w:noWrap/>
            <w:vAlign w:val="center"/>
            <w:hideMark/>
          </w:tcPr>
          <w:p w14:paraId="036FFA4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326.2</w:t>
            </w:r>
          </w:p>
        </w:tc>
        <w:tc>
          <w:tcPr>
            <w:tcW w:w="599" w:type="dxa"/>
            <w:tcBorders>
              <w:top w:val="nil"/>
              <w:left w:val="nil"/>
              <w:bottom w:val="single" w:sz="8" w:space="0" w:color="DCDDDE"/>
              <w:right w:val="nil"/>
            </w:tcBorders>
            <w:shd w:val="clear" w:color="000000" w:fill="FFFFFF"/>
            <w:noWrap/>
            <w:vAlign w:val="center"/>
            <w:hideMark/>
          </w:tcPr>
          <w:p w14:paraId="79E1231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330.6</w:t>
            </w:r>
          </w:p>
        </w:tc>
        <w:tc>
          <w:tcPr>
            <w:tcW w:w="599" w:type="dxa"/>
            <w:tcBorders>
              <w:top w:val="nil"/>
              <w:left w:val="nil"/>
              <w:bottom w:val="single" w:sz="8" w:space="0" w:color="DCDDDE"/>
              <w:right w:val="nil"/>
            </w:tcBorders>
            <w:shd w:val="clear" w:color="000000" w:fill="FFFFFF"/>
            <w:noWrap/>
            <w:vAlign w:val="center"/>
            <w:hideMark/>
          </w:tcPr>
          <w:p w14:paraId="4D0D585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336.9</w:t>
            </w:r>
          </w:p>
        </w:tc>
        <w:tc>
          <w:tcPr>
            <w:tcW w:w="599" w:type="dxa"/>
            <w:tcBorders>
              <w:top w:val="nil"/>
              <w:left w:val="nil"/>
              <w:bottom w:val="single" w:sz="8" w:space="0" w:color="DCDDDE"/>
              <w:right w:val="nil"/>
            </w:tcBorders>
            <w:shd w:val="clear" w:color="000000" w:fill="FFFFFF"/>
            <w:noWrap/>
            <w:vAlign w:val="center"/>
            <w:hideMark/>
          </w:tcPr>
          <w:p w14:paraId="1402FA0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336.6</w:t>
            </w:r>
          </w:p>
        </w:tc>
        <w:tc>
          <w:tcPr>
            <w:tcW w:w="599" w:type="dxa"/>
            <w:tcBorders>
              <w:top w:val="nil"/>
              <w:left w:val="nil"/>
              <w:bottom w:val="single" w:sz="8" w:space="0" w:color="DCDDDE"/>
              <w:right w:val="nil"/>
            </w:tcBorders>
            <w:shd w:val="clear" w:color="000000" w:fill="FFFFFF"/>
            <w:noWrap/>
            <w:vAlign w:val="center"/>
            <w:hideMark/>
          </w:tcPr>
          <w:p w14:paraId="513E415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339.8</w:t>
            </w:r>
          </w:p>
        </w:tc>
        <w:tc>
          <w:tcPr>
            <w:tcW w:w="599" w:type="dxa"/>
            <w:tcBorders>
              <w:top w:val="nil"/>
              <w:left w:val="nil"/>
              <w:bottom w:val="single" w:sz="8" w:space="0" w:color="DCDDDE"/>
              <w:right w:val="nil"/>
            </w:tcBorders>
            <w:shd w:val="clear" w:color="000000" w:fill="FFFFFF"/>
            <w:noWrap/>
            <w:vAlign w:val="center"/>
            <w:hideMark/>
          </w:tcPr>
          <w:p w14:paraId="5C5CC6C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336.3</w:t>
            </w:r>
          </w:p>
        </w:tc>
        <w:tc>
          <w:tcPr>
            <w:tcW w:w="599" w:type="dxa"/>
            <w:tcBorders>
              <w:top w:val="nil"/>
              <w:left w:val="nil"/>
              <w:bottom w:val="single" w:sz="8" w:space="0" w:color="DCDDDE"/>
              <w:right w:val="nil"/>
            </w:tcBorders>
            <w:shd w:val="clear" w:color="000000" w:fill="FFFFFF"/>
            <w:noWrap/>
            <w:vAlign w:val="center"/>
            <w:hideMark/>
          </w:tcPr>
          <w:p w14:paraId="6E42678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329.0</w:t>
            </w:r>
          </w:p>
        </w:tc>
        <w:tc>
          <w:tcPr>
            <w:tcW w:w="599" w:type="dxa"/>
            <w:tcBorders>
              <w:top w:val="nil"/>
              <w:left w:val="nil"/>
              <w:bottom w:val="single" w:sz="8" w:space="0" w:color="DCDDDE"/>
              <w:right w:val="nil"/>
            </w:tcBorders>
            <w:shd w:val="clear" w:color="000000" w:fill="FFFFFF"/>
            <w:noWrap/>
            <w:vAlign w:val="center"/>
            <w:hideMark/>
          </w:tcPr>
          <w:p w14:paraId="048B935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320.8</w:t>
            </w:r>
          </w:p>
        </w:tc>
      </w:tr>
      <w:tr w:rsidR="00181744" w:rsidRPr="00181744" w14:paraId="6A265E6C" w14:textId="77777777" w:rsidTr="00181744">
        <w:trPr>
          <w:trHeight w:val="242"/>
        </w:trPr>
        <w:tc>
          <w:tcPr>
            <w:tcW w:w="9006" w:type="dxa"/>
            <w:gridSpan w:val="15"/>
            <w:tcBorders>
              <w:top w:val="single" w:sz="8" w:space="0" w:color="DCDDDE"/>
              <w:left w:val="nil"/>
              <w:bottom w:val="single" w:sz="8" w:space="0" w:color="DCDDDE"/>
              <w:right w:val="nil"/>
            </w:tcBorders>
            <w:shd w:val="clear" w:color="000000" w:fill="DADADA"/>
            <w:noWrap/>
            <w:vAlign w:val="center"/>
            <w:hideMark/>
          </w:tcPr>
          <w:p w14:paraId="75B6354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181744" w:rsidRPr="00181744" w14:paraId="1BE7DD19"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5D0144A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9" w:type="dxa"/>
            <w:tcBorders>
              <w:top w:val="nil"/>
              <w:left w:val="nil"/>
              <w:bottom w:val="single" w:sz="8" w:space="0" w:color="DCDDDE"/>
              <w:right w:val="nil"/>
            </w:tcBorders>
            <w:shd w:val="clear" w:color="000000" w:fill="FFFFFF"/>
            <w:noWrap/>
            <w:vAlign w:val="center"/>
            <w:hideMark/>
          </w:tcPr>
          <w:p w14:paraId="14B3985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59.7</w:t>
            </w:r>
          </w:p>
        </w:tc>
        <w:tc>
          <w:tcPr>
            <w:tcW w:w="599" w:type="dxa"/>
            <w:tcBorders>
              <w:top w:val="nil"/>
              <w:left w:val="nil"/>
              <w:bottom w:val="single" w:sz="8" w:space="0" w:color="DCDDDE"/>
              <w:right w:val="nil"/>
            </w:tcBorders>
            <w:shd w:val="clear" w:color="000000" w:fill="FFFFFF"/>
            <w:noWrap/>
            <w:vAlign w:val="center"/>
            <w:hideMark/>
          </w:tcPr>
          <w:p w14:paraId="48E7AA4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66.4</w:t>
            </w:r>
          </w:p>
        </w:tc>
        <w:tc>
          <w:tcPr>
            <w:tcW w:w="599" w:type="dxa"/>
            <w:tcBorders>
              <w:top w:val="nil"/>
              <w:left w:val="nil"/>
              <w:bottom w:val="single" w:sz="8" w:space="0" w:color="DCDDDE"/>
              <w:right w:val="nil"/>
            </w:tcBorders>
            <w:shd w:val="clear" w:color="000000" w:fill="FFFFFF"/>
            <w:noWrap/>
            <w:vAlign w:val="center"/>
            <w:hideMark/>
          </w:tcPr>
          <w:p w14:paraId="7A7D39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72.0</w:t>
            </w:r>
          </w:p>
        </w:tc>
        <w:tc>
          <w:tcPr>
            <w:tcW w:w="599" w:type="dxa"/>
            <w:tcBorders>
              <w:top w:val="nil"/>
              <w:left w:val="nil"/>
              <w:bottom w:val="single" w:sz="8" w:space="0" w:color="DCDDDE"/>
              <w:right w:val="nil"/>
            </w:tcBorders>
            <w:shd w:val="clear" w:color="000000" w:fill="FFFFFF"/>
            <w:noWrap/>
            <w:vAlign w:val="center"/>
            <w:hideMark/>
          </w:tcPr>
          <w:p w14:paraId="310EAC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81.9</w:t>
            </w:r>
          </w:p>
        </w:tc>
        <w:tc>
          <w:tcPr>
            <w:tcW w:w="599" w:type="dxa"/>
            <w:tcBorders>
              <w:top w:val="nil"/>
              <w:left w:val="nil"/>
              <w:bottom w:val="single" w:sz="8" w:space="0" w:color="DCDDDE"/>
              <w:right w:val="nil"/>
            </w:tcBorders>
            <w:shd w:val="clear" w:color="000000" w:fill="FFFFFF"/>
            <w:noWrap/>
            <w:vAlign w:val="center"/>
            <w:hideMark/>
          </w:tcPr>
          <w:p w14:paraId="1AFBC2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86.9</w:t>
            </w:r>
          </w:p>
        </w:tc>
        <w:tc>
          <w:tcPr>
            <w:tcW w:w="599" w:type="dxa"/>
            <w:tcBorders>
              <w:top w:val="nil"/>
              <w:left w:val="nil"/>
              <w:bottom w:val="single" w:sz="8" w:space="0" w:color="DCDDDE"/>
              <w:right w:val="nil"/>
            </w:tcBorders>
            <w:shd w:val="clear" w:color="000000" w:fill="FFFFFF"/>
            <w:noWrap/>
            <w:vAlign w:val="center"/>
            <w:hideMark/>
          </w:tcPr>
          <w:p w14:paraId="476A1D7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91.1</w:t>
            </w:r>
          </w:p>
        </w:tc>
        <w:tc>
          <w:tcPr>
            <w:tcW w:w="599" w:type="dxa"/>
            <w:tcBorders>
              <w:top w:val="nil"/>
              <w:left w:val="nil"/>
              <w:bottom w:val="single" w:sz="8" w:space="0" w:color="DCDDDE"/>
              <w:right w:val="nil"/>
            </w:tcBorders>
            <w:shd w:val="clear" w:color="000000" w:fill="FFFFFF"/>
            <w:noWrap/>
            <w:vAlign w:val="center"/>
            <w:hideMark/>
          </w:tcPr>
          <w:p w14:paraId="4CF8DA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98.8</w:t>
            </w:r>
          </w:p>
        </w:tc>
        <w:tc>
          <w:tcPr>
            <w:tcW w:w="599" w:type="dxa"/>
            <w:tcBorders>
              <w:top w:val="nil"/>
              <w:left w:val="nil"/>
              <w:bottom w:val="single" w:sz="8" w:space="0" w:color="DCDDDE"/>
              <w:right w:val="nil"/>
            </w:tcBorders>
            <w:shd w:val="clear" w:color="000000" w:fill="FFFFFF"/>
            <w:noWrap/>
            <w:vAlign w:val="center"/>
            <w:hideMark/>
          </w:tcPr>
          <w:p w14:paraId="01EB3D5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107.7</w:t>
            </w:r>
          </w:p>
        </w:tc>
        <w:tc>
          <w:tcPr>
            <w:tcW w:w="599" w:type="dxa"/>
            <w:tcBorders>
              <w:top w:val="nil"/>
              <w:left w:val="nil"/>
              <w:bottom w:val="single" w:sz="8" w:space="0" w:color="DCDDDE"/>
              <w:right w:val="nil"/>
            </w:tcBorders>
            <w:shd w:val="clear" w:color="000000" w:fill="FFFFFF"/>
            <w:noWrap/>
            <w:vAlign w:val="center"/>
            <w:hideMark/>
          </w:tcPr>
          <w:p w14:paraId="389D793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109.5</w:t>
            </w:r>
          </w:p>
        </w:tc>
        <w:tc>
          <w:tcPr>
            <w:tcW w:w="599" w:type="dxa"/>
            <w:tcBorders>
              <w:top w:val="nil"/>
              <w:left w:val="nil"/>
              <w:bottom w:val="single" w:sz="8" w:space="0" w:color="DCDDDE"/>
              <w:right w:val="nil"/>
            </w:tcBorders>
            <w:shd w:val="clear" w:color="000000" w:fill="FFFFFF"/>
            <w:noWrap/>
            <w:vAlign w:val="center"/>
            <w:hideMark/>
          </w:tcPr>
          <w:p w14:paraId="0C4107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111.6</w:t>
            </w:r>
          </w:p>
        </w:tc>
        <w:tc>
          <w:tcPr>
            <w:tcW w:w="599" w:type="dxa"/>
            <w:tcBorders>
              <w:top w:val="nil"/>
              <w:left w:val="nil"/>
              <w:bottom w:val="single" w:sz="8" w:space="0" w:color="DCDDDE"/>
              <w:right w:val="nil"/>
            </w:tcBorders>
            <w:shd w:val="clear" w:color="000000" w:fill="FFFFFF"/>
            <w:noWrap/>
            <w:vAlign w:val="center"/>
            <w:hideMark/>
          </w:tcPr>
          <w:p w14:paraId="35C22CA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112.6</w:t>
            </w:r>
          </w:p>
        </w:tc>
        <w:tc>
          <w:tcPr>
            <w:tcW w:w="599" w:type="dxa"/>
            <w:tcBorders>
              <w:top w:val="nil"/>
              <w:left w:val="nil"/>
              <w:bottom w:val="single" w:sz="8" w:space="0" w:color="DCDDDE"/>
              <w:right w:val="nil"/>
            </w:tcBorders>
            <w:shd w:val="clear" w:color="000000" w:fill="FFFFFF"/>
            <w:noWrap/>
            <w:vAlign w:val="center"/>
            <w:hideMark/>
          </w:tcPr>
          <w:p w14:paraId="7536E88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111.9</w:t>
            </w:r>
          </w:p>
        </w:tc>
        <w:tc>
          <w:tcPr>
            <w:tcW w:w="599" w:type="dxa"/>
            <w:tcBorders>
              <w:top w:val="nil"/>
              <w:left w:val="nil"/>
              <w:bottom w:val="single" w:sz="8" w:space="0" w:color="DCDDDE"/>
              <w:right w:val="nil"/>
            </w:tcBorders>
            <w:shd w:val="clear" w:color="000000" w:fill="FFFFFF"/>
            <w:noWrap/>
            <w:vAlign w:val="center"/>
            <w:hideMark/>
          </w:tcPr>
          <w:p w14:paraId="5683DDF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110.1</w:t>
            </w:r>
          </w:p>
        </w:tc>
      </w:tr>
      <w:tr w:rsidR="00181744" w:rsidRPr="00181744" w14:paraId="02510918"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2919C5A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9" w:type="dxa"/>
            <w:tcBorders>
              <w:top w:val="nil"/>
              <w:left w:val="nil"/>
              <w:bottom w:val="single" w:sz="8" w:space="0" w:color="DCDDDE"/>
              <w:right w:val="nil"/>
            </w:tcBorders>
            <w:shd w:val="clear" w:color="000000" w:fill="FFFFFF"/>
            <w:noWrap/>
            <w:vAlign w:val="center"/>
            <w:hideMark/>
          </w:tcPr>
          <w:p w14:paraId="5CC13D2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162.4</w:t>
            </w:r>
          </w:p>
        </w:tc>
        <w:tc>
          <w:tcPr>
            <w:tcW w:w="599" w:type="dxa"/>
            <w:tcBorders>
              <w:top w:val="nil"/>
              <w:left w:val="nil"/>
              <w:bottom w:val="single" w:sz="8" w:space="0" w:color="DCDDDE"/>
              <w:right w:val="nil"/>
            </w:tcBorders>
            <w:shd w:val="clear" w:color="000000" w:fill="FFFFFF"/>
            <w:noWrap/>
            <w:vAlign w:val="center"/>
            <w:hideMark/>
          </w:tcPr>
          <w:p w14:paraId="7C543A6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166.4</w:t>
            </w:r>
          </w:p>
        </w:tc>
        <w:tc>
          <w:tcPr>
            <w:tcW w:w="599" w:type="dxa"/>
            <w:tcBorders>
              <w:top w:val="nil"/>
              <w:left w:val="nil"/>
              <w:bottom w:val="single" w:sz="8" w:space="0" w:color="DCDDDE"/>
              <w:right w:val="nil"/>
            </w:tcBorders>
            <w:shd w:val="clear" w:color="000000" w:fill="FFFFFF"/>
            <w:noWrap/>
            <w:vAlign w:val="center"/>
            <w:hideMark/>
          </w:tcPr>
          <w:p w14:paraId="4650E8C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169.8</w:t>
            </w:r>
          </w:p>
        </w:tc>
        <w:tc>
          <w:tcPr>
            <w:tcW w:w="599" w:type="dxa"/>
            <w:tcBorders>
              <w:top w:val="nil"/>
              <w:left w:val="nil"/>
              <w:bottom w:val="single" w:sz="8" w:space="0" w:color="DCDDDE"/>
              <w:right w:val="nil"/>
            </w:tcBorders>
            <w:shd w:val="clear" w:color="000000" w:fill="FFFFFF"/>
            <w:noWrap/>
            <w:vAlign w:val="center"/>
            <w:hideMark/>
          </w:tcPr>
          <w:p w14:paraId="28FE8A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180.7</w:t>
            </w:r>
          </w:p>
        </w:tc>
        <w:tc>
          <w:tcPr>
            <w:tcW w:w="599" w:type="dxa"/>
            <w:tcBorders>
              <w:top w:val="nil"/>
              <w:left w:val="nil"/>
              <w:bottom w:val="single" w:sz="8" w:space="0" w:color="DCDDDE"/>
              <w:right w:val="nil"/>
            </w:tcBorders>
            <w:shd w:val="clear" w:color="000000" w:fill="FFFFFF"/>
            <w:noWrap/>
            <w:vAlign w:val="center"/>
            <w:hideMark/>
          </w:tcPr>
          <w:p w14:paraId="480DC4A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177.6</w:t>
            </w:r>
          </w:p>
        </w:tc>
        <w:tc>
          <w:tcPr>
            <w:tcW w:w="599" w:type="dxa"/>
            <w:tcBorders>
              <w:top w:val="nil"/>
              <w:left w:val="nil"/>
              <w:bottom w:val="single" w:sz="8" w:space="0" w:color="DCDDDE"/>
              <w:right w:val="nil"/>
            </w:tcBorders>
            <w:shd w:val="clear" w:color="000000" w:fill="FFFFFF"/>
            <w:noWrap/>
            <w:vAlign w:val="center"/>
            <w:hideMark/>
          </w:tcPr>
          <w:p w14:paraId="533D47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192.4</w:t>
            </w:r>
          </w:p>
        </w:tc>
        <w:tc>
          <w:tcPr>
            <w:tcW w:w="599" w:type="dxa"/>
            <w:tcBorders>
              <w:top w:val="nil"/>
              <w:left w:val="nil"/>
              <w:bottom w:val="single" w:sz="8" w:space="0" w:color="DCDDDE"/>
              <w:right w:val="nil"/>
            </w:tcBorders>
            <w:shd w:val="clear" w:color="000000" w:fill="FFFFFF"/>
            <w:noWrap/>
            <w:vAlign w:val="center"/>
            <w:hideMark/>
          </w:tcPr>
          <w:p w14:paraId="70FE31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186.0</w:t>
            </w:r>
          </w:p>
        </w:tc>
        <w:tc>
          <w:tcPr>
            <w:tcW w:w="599" w:type="dxa"/>
            <w:tcBorders>
              <w:top w:val="nil"/>
              <w:left w:val="nil"/>
              <w:bottom w:val="single" w:sz="8" w:space="0" w:color="DCDDDE"/>
              <w:right w:val="nil"/>
            </w:tcBorders>
            <w:shd w:val="clear" w:color="000000" w:fill="FFFFFF"/>
            <w:noWrap/>
            <w:vAlign w:val="center"/>
            <w:hideMark/>
          </w:tcPr>
          <w:p w14:paraId="62CF67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181.7</w:t>
            </w:r>
          </w:p>
        </w:tc>
        <w:tc>
          <w:tcPr>
            <w:tcW w:w="599" w:type="dxa"/>
            <w:tcBorders>
              <w:top w:val="nil"/>
              <w:left w:val="nil"/>
              <w:bottom w:val="single" w:sz="8" w:space="0" w:color="DCDDDE"/>
              <w:right w:val="nil"/>
            </w:tcBorders>
            <w:shd w:val="clear" w:color="000000" w:fill="FFFFFF"/>
            <w:noWrap/>
            <w:vAlign w:val="center"/>
            <w:hideMark/>
          </w:tcPr>
          <w:p w14:paraId="49BFE8A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173.8</w:t>
            </w:r>
          </w:p>
        </w:tc>
        <w:tc>
          <w:tcPr>
            <w:tcW w:w="599" w:type="dxa"/>
            <w:tcBorders>
              <w:top w:val="nil"/>
              <w:left w:val="nil"/>
              <w:bottom w:val="single" w:sz="8" w:space="0" w:color="DCDDDE"/>
              <w:right w:val="nil"/>
            </w:tcBorders>
            <w:shd w:val="clear" w:color="000000" w:fill="FFFFFF"/>
            <w:noWrap/>
            <w:vAlign w:val="center"/>
            <w:hideMark/>
          </w:tcPr>
          <w:p w14:paraId="624D85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169.6</w:t>
            </w:r>
          </w:p>
        </w:tc>
        <w:tc>
          <w:tcPr>
            <w:tcW w:w="599" w:type="dxa"/>
            <w:tcBorders>
              <w:top w:val="nil"/>
              <w:left w:val="nil"/>
              <w:bottom w:val="single" w:sz="8" w:space="0" w:color="DCDDDE"/>
              <w:right w:val="nil"/>
            </w:tcBorders>
            <w:shd w:val="clear" w:color="000000" w:fill="FFFFFF"/>
            <w:noWrap/>
            <w:vAlign w:val="center"/>
            <w:hideMark/>
          </w:tcPr>
          <w:p w14:paraId="530154A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159.1</w:t>
            </w:r>
          </w:p>
        </w:tc>
        <w:tc>
          <w:tcPr>
            <w:tcW w:w="599" w:type="dxa"/>
            <w:tcBorders>
              <w:top w:val="nil"/>
              <w:left w:val="nil"/>
              <w:bottom w:val="single" w:sz="8" w:space="0" w:color="DCDDDE"/>
              <w:right w:val="nil"/>
            </w:tcBorders>
            <w:shd w:val="clear" w:color="000000" w:fill="FFFFFF"/>
            <w:noWrap/>
            <w:vAlign w:val="center"/>
            <w:hideMark/>
          </w:tcPr>
          <w:p w14:paraId="7519D37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146.6</w:t>
            </w:r>
          </w:p>
        </w:tc>
        <w:tc>
          <w:tcPr>
            <w:tcW w:w="599" w:type="dxa"/>
            <w:tcBorders>
              <w:top w:val="nil"/>
              <w:left w:val="nil"/>
              <w:bottom w:val="single" w:sz="8" w:space="0" w:color="DCDDDE"/>
              <w:right w:val="nil"/>
            </w:tcBorders>
            <w:shd w:val="clear" w:color="000000" w:fill="FFFFFF"/>
            <w:noWrap/>
            <w:vAlign w:val="center"/>
            <w:hideMark/>
          </w:tcPr>
          <w:p w14:paraId="7AD2C1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134.0</w:t>
            </w:r>
          </w:p>
        </w:tc>
      </w:tr>
      <w:tr w:rsidR="00181744" w:rsidRPr="00181744" w14:paraId="4DAFDBC1"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79D69E6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9" w:type="dxa"/>
            <w:tcBorders>
              <w:top w:val="nil"/>
              <w:left w:val="nil"/>
              <w:bottom w:val="single" w:sz="8" w:space="0" w:color="DCDDDE"/>
              <w:right w:val="nil"/>
            </w:tcBorders>
            <w:shd w:val="clear" w:color="000000" w:fill="FFFFFF"/>
            <w:noWrap/>
            <w:vAlign w:val="center"/>
            <w:hideMark/>
          </w:tcPr>
          <w:p w14:paraId="3986E61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w:t>
            </w:r>
          </w:p>
        </w:tc>
        <w:tc>
          <w:tcPr>
            <w:tcW w:w="599" w:type="dxa"/>
            <w:tcBorders>
              <w:top w:val="nil"/>
              <w:left w:val="nil"/>
              <w:bottom w:val="single" w:sz="8" w:space="0" w:color="DCDDDE"/>
              <w:right w:val="nil"/>
            </w:tcBorders>
            <w:shd w:val="clear" w:color="000000" w:fill="FFFFFF"/>
            <w:noWrap/>
            <w:vAlign w:val="center"/>
            <w:hideMark/>
          </w:tcPr>
          <w:p w14:paraId="07355AF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21.6</w:t>
            </w:r>
          </w:p>
        </w:tc>
        <w:tc>
          <w:tcPr>
            <w:tcW w:w="599" w:type="dxa"/>
            <w:tcBorders>
              <w:top w:val="nil"/>
              <w:left w:val="nil"/>
              <w:bottom w:val="single" w:sz="8" w:space="0" w:color="DCDDDE"/>
              <w:right w:val="nil"/>
            </w:tcBorders>
            <w:shd w:val="clear" w:color="000000" w:fill="FFFFFF"/>
            <w:noWrap/>
            <w:vAlign w:val="center"/>
            <w:hideMark/>
          </w:tcPr>
          <w:p w14:paraId="24EF9D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25.8</w:t>
            </w:r>
          </w:p>
        </w:tc>
        <w:tc>
          <w:tcPr>
            <w:tcW w:w="599" w:type="dxa"/>
            <w:tcBorders>
              <w:top w:val="nil"/>
              <w:left w:val="nil"/>
              <w:bottom w:val="single" w:sz="8" w:space="0" w:color="DCDDDE"/>
              <w:right w:val="nil"/>
            </w:tcBorders>
            <w:shd w:val="clear" w:color="000000" w:fill="FFFFFF"/>
            <w:noWrap/>
            <w:vAlign w:val="center"/>
            <w:hideMark/>
          </w:tcPr>
          <w:p w14:paraId="17776DC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32.9</w:t>
            </w:r>
          </w:p>
        </w:tc>
        <w:tc>
          <w:tcPr>
            <w:tcW w:w="599" w:type="dxa"/>
            <w:tcBorders>
              <w:top w:val="nil"/>
              <w:left w:val="nil"/>
              <w:bottom w:val="single" w:sz="8" w:space="0" w:color="DCDDDE"/>
              <w:right w:val="nil"/>
            </w:tcBorders>
            <w:shd w:val="clear" w:color="000000" w:fill="FFFFFF"/>
            <w:noWrap/>
            <w:vAlign w:val="center"/>
            <w:hideMark/>
          </w:tcPr>
          <w:p w14:paraId="5BBB96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37.0</w:t>
            </w:r>
          </w:p>
        </w:tc>
        <w:tc>
          <w:tcPr>
            <w:tcW w:w="599" w:type="dxa"/>
            <w:tcBorders>
              <w:top w:val="nil"/>
              <w:left w:val="nil"/>
              <w:bottom w:val="single" w:sz="8" w:space="0" w:color="DCDDDE"/>
              <w:right w:val="nil"/>
            </w:tcBorders>
            <w:shd w:val="clear" w:color="000000" w:fill="FFFFFF"/>
            <w:noWrap/>
            <w:vAlign w:val="center"/>
            <w:hideMark/>
          </w:tcPr>
          <w:p w14:paraId="46810E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41.2</w:t>
            </w:r>
          </w:p>
        </w:tc>
        <w:tc>
          <w:tcPr>
            <w:tcW w:w="599" w:type="dxa"/>
            <w:tcBorders>
              <w:top w:val="nil"/>
              <w:left w:val="nil"/>
              <w:bottom w:val="single" w:sz="8" w:space="0" w:color="DCDDDE"/>
              <w:right w:val="nil"/>
            </w:tcBorders>
            <w:shd w:val="clear" w:color="000000" w:fill="FFFFFF"/>
            <w:noWrap/>
            <w:vAlign w:val="center"/>
            <w:hideMark/>
          </w:tcPr>
          <w:p w14:paraId="6027E62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45.6</w:t>
            </w:r>
          </w:p>
        </w:tc>
        <w:tc>
          <w:tcPr>
            <w:tcW w:w="599" w:type="dxa"/>
            <w:tcBorders>
              <w:top w:val="nil"/>
              <w:left w:val="nil"/>
              <w:bottom w:val="single" w:sz="8" w:space="0" w:color="DCDDDE"/>
              <w:right w:val="nil"/>
            </w:tcBorders>
            <w:shd w:val="clear" w:color="000000" w:fill="FFFFFF"/>
            <w:noWrap/>
            <w:vAlign w:val="center"/>
            <w:hideMark/>
          </w:tcPr>
          <w:p w14:paraId="75B570D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50.6</w:t>
            </w:r>
          </w:p>
        </w:tc>
        <w:tc>
          <w:tcPr>
            <w:tcW w:w="599" w:type="dxa"/>
            <w:tcBorders>
              <w:top w:val="nil"/>
              <w:left w:val="nil"/>
              <w:bottom w:val="single" w:sz="8" w:space="0" w:color="DCDDDE"/>
              <w:right w:val="nil"/>
            </w:tcBorders>
            <w:shd w:val="clear" w:color="000000" w:fill="FFFFFF"/>
            <w:noWrap/>
            <w:vAlign w:val="center"/>
            <w:hideMark/>
          </w:tcPr>
          <w:p w14:paraId="4CB78A1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55.6</w:t>
            </w:r>
          </w:p>
        </w:tc>
        <w:tc>
          <w:tcPr>
            <w:tcW w:w="599" w:type="dxa"/>
            <w:tcBorders>
              <w:top w:val="nil"/>
              <w:left w:val="nil"/>
              <w:bottom w:val="single" w:sz="8" w:space="0" w:color="DCDDDE"/>
              <w:right w:val="nil"/>
            </w:tcBorders>
            <w:shd w:val="clear" w:color="000000" w:fill="FFFFFF"/>
            <w:noWrap/>
            <w:vAlign w:val="center"/>
            <w:hideMark/>
          </w:tcPr>
          <w:p w14:paraId="3838F94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60.9</w:t>
            </w:r>
          </w:p>
        </w:tc>
        <w:tc>
          <w:tcPr>
            <w:tcW w:w="599" w:type="dxa"/>
            <w:tcBorders>
              <w:top w:val="nil"/>
              <w:left w:val="nil"/>
              <w:bottom w:val="single" w:sz="8" w:space="0" w:color="DCDDDE"/>
              <w:right w:val="nil"/>
            </w:tcBorders>
            <w:shd w:val="clear" w:color="000000" w:fill="FFFFFF"/>
            <w:noWrap/>
            <w:vAlign w:val="center"/>
            <w:hideMark/>
          </w:tcPr>
          <w:p w14:paraId="7CC10F9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66.2</w:t>
            </w:r>
          </w:p>
        </w:tc>
        <w:tc>
          <w:tcPr>
            <w:tcW w:w="599" w:type="dxa"/>
            <w:tcBorders>
              <w:top w:val="nil"/>
              <w:left w:val="nil"/>
              <w:bottom w:val="single" w:sz="8" w:space="0" w:color="DCDDDE"/>
              <w:right w:val="nil"/>
            </w:tcBorders>
            <w:shd w:val="clear" w:color="000000" w:fill="FFFFFF"/>
            <w:noWrap/>
            <w:vAlign w:val="center"/>
            <w:hideMark/>
          </w:tcPr>
          <w:p w14:paraId="157FB6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71.8</w:t>
            </w:r>
          </w:p>
        </w:tc>
        <w:tc>
          <w:tcPr>
            <w:tcW w:w="599" w:type="dxa"/>
            <w:tcBorders>
              <w:top w:val="nil"/>
              <w:left w:val="nil"/>
              <w:bottom w:val="single" w:sz="8" w:space="0" w:color="DCDDDE"/>
              <w:right w:val="nil"/>
            </w:tcBorders>
            <w:shd w:val="clear" w:color="000000" w:fill="FFFFFF"/>
            <w:noWrap/>
            <w:vAlign w:val="center"/>
            <w:hideMark/>
          </w:tcPr>
          <w:p w14:paraId="5F90B6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77.7</w:t>
            </w:r>
          </w:p>
        </w:tc>
      </w:tr>
      <w:tr w:rsidR="00181744" w:rsidRPr="00181744" w14:paraId="7B8EE6BC"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6E8E652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9" w:type="dxa"/>
            <w:tcBorders>
              <w:top w:val="nil"/>
              <w:left w:val="nil"/>
              <w:bottom w:val="single" w:sz="8" w:space="0" w:color="DCDDDE"/>
              <w:right w:val="nil"/>
            </w:tcBorders>
            <w:shd w:val="clear" w:color="000000" w:fill="FFFFFF"/>
            <w:noWrap/>
            <w:vAlign w:val="center"/>
            <w:hideMark/>
          </w:tcPr>
          <w:p w14:paraId="67CACA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69C2BCF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6ED8EFE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1378616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C3CDF2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164A440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A2148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9E7C6B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BBF67B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8FAE6B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C72EC4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FDE3C4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7BBC22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r>
      <w:tr w:rsidR="00181744" w:rsidRPr="00181744" w14:paraId="727D5A88"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3436AE3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9" w:type="dxa"/>
            <w:tcBorders>
              <w:top w:val="nil"/>
              <w:left w:val="nil"/>
              <w:bottom w:val="single" w:sz="8" w:space="0" w:color="DCDDDE"/>
              <w:right w:val="nil"/>
            </w:tcBorders>
            <w:shd w:val="clear" w:color="000000" w:fill="FFFFFF"/>
            <w:noWrap/>
            <w:vAlign w:val="center"/>
            <w:hideMark/>
          </w:tcPr>
          <w:p w14:paraId="30C6277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245.6</w:t>
            </w:r>
          </w:p>
        </w:tc>
        <w:tc>
          <w:tcPr>
            <w:tcW w:w="599" w:type="dxa"/>
            <w:tcBorders>
              <w:top w:val="nil"/>
              <w:left w:val="nil"/>
              <w:bottom w:val="single" w:sz="8" w:space="0" w:color="DCDDDE"/>
              <w:right w:val="nil"/>
            </w:tcBorders>
            <w:shd w:val="clear" w:color="000000" w:fill="FFFFFF"/>
            <w:noWrap/>
            <w:vAlign w:val="center"/>
            <w:hideMark/>
          </w:tcPr>
          <w:p w14:paraId="3CE4852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261.7</w:t>
            </w:r>
          </w:p>
        </w:tc>
        <w:tc>
          <w:tcPr>
            <w:tcW w:w="599" w:type="dxa"/>
            <w:tcBorders>
              <w:top w:val="nil"/>
              <w:left w:val="nil"/>
              <w:bottom w:val="single" w:sz="8" w:space="0" w:color="DCDDDE"/>
              <w:right w:val="nil"/>
            </w:tcBorders>
            <w:shd w:val="clear" w:color="000000" w:fill="FFFFFF"/>
            <w:noWrap/>
            <w:vAlign w:val="center"/>
            <w:hideMark/>
          </w:tcPr>
          <w:p w14:paraId="25D5E8B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274.7</w:t>
            </w:r>
          </w:p>
        </w:tc>
        <w:tc>
          <w:tcPr>
            <w:tcW w:w="599" w:type="dxa"/>
            <w:tcBorders>
              <w:top w:val="nil"/>
              <w:left w:val="nil"/>
              <w:bottom w:val="single" w:sz="8" w:space="0" w:color="DCDDDE"/>
              <w:right w:val="nil"/>
            </w:tcBorders>
            <w:shd w:val="clear" w:color="000000" w:fill="FFFFFF"/>
            <w:noWrap/>
            <w:vAlign w:val="center"/>
            <w:hideMark/>
          </w:tcPr>
          <w:p w14:paraId="1A4E68E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302.6</w:t>
            </w:r>
          </w:p>
        </w:tc>
        <w:tc>
          <w:tcPr>
            <w:tcW w:w="599" w:type="dxa"/>
            <w:tcBorders>
              <w:top w:val="nil"/>
              <w:left w:val="nil"/>
              <w:bottom w:val="single" w:sz="8" w:space="0" w:color="DCDDDE"/>
              <w:right w:val="nil"/>
            </w:tcBorders>
            <w:shd w:val="clear" w:color="000000" w:fill="FFFFFF"/>
            <w:noWrap/>
            <w:vAlign w:val="center"/>
            <w:hideMark/>
          </w:tcPr>
          <w:p w14:paraId="4D1A983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308.7</w:t>
            </w:r>
          </w:p>
        </w:tc>
        <w:tc>
          <w:tcPr>
            <w:tcW w:w="599" w:type="dxa"/>
            <w:tcBorders>
              <w:top w:val="nil"/>
              <w:left w:val="nil"/>
              <w:bottom w:val="single" w:sz="8" w:space="0" w:color="DCDDDE"/>
              <w:right w:val="nil"/>
            </w:tcBorders>
            <w:shd w:val="clear" w:color="000000" w:fill="FFFFFF"/>
            <w:noWrap/>
            <w:vAlign w:val="center"/>
            <w:hideMark/>
          </w:tcPr>
          <w:p w14:paraId="104E685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331.7</w:t>
            </w:r>
          </w:p>
        </w:tc>
        <w:tc>
          <w:tcPr>
            <w:tcW w:w="599" w:type="dxa"/>
            <w:tcBorders>
              <w:top w:val="nil"/>
              <w:left w:val="nil"/>
              <w:bottom w:val="single" w:sz="8" w:space="0" w:color="DCDDDE"/>
              <w:right w:val="nil"/>
            </w:tcBorders>
            <w:shd w:val="clear" w:color="000000" w:fill="FFFFFF"/>
            <w:noWrap/>
            <w:vAlign w:val="center"/>
            <w:hideMark/>
          </w:tcPr>
          <w:p w14:paraId="2B04F2A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337.5</w:t>
            </w:r>
          </w:p>
        </w:tc>
        <w:tc>
          <w:tcPr>
            <w:tcW w:w="599" w:type="dxa"/>
            <w:tcBorders>
              <w:top w:val="nil"/>
              <w:left w:val="nil"/>
              <w:bottom w:val="single" w:sz="8" w:space="0" w:color="DCDDDE"/>
              <w:right w:val="nil"/>
            </w:tcBorders>
            <w:shd w:val="clear" w:color="000000" w:fill="FFFFFF"/>
            <w:noWrap/>
            <w:vAlign w:val="center"/>
            <w:hideMark/>
          </w:tcPr>
          <w:p w14:paraId="77DE850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347.1</w:t>
            </w:r>
          </w:p>
        </w:tc>
        <w:tc>
          <w:tcPr>
            <w:tcW w:w="599" w:type="dxa"/>
            <w:tcBorders>
              <w:top w:val="nil"/>
              <w:left w:val="nil"/>
              <w:bottom w:val="single" w:sz="8" w:space="0" w:color="DCDDDE"/>
              <w:right w:val="nil"/>
            </w:tcBorders>
            <w:shd w:val="clear" w:color="000000" w:fill="FFFFFF"/>
            <w:noWrap/>
            <w:vAlign w:val="center"/>
            <w:hideMark/>
          </w:tcPr>
          <w:p w14:paraId="2EA14D0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346.0</w:t>
            </w:r>
          </w:p>
        </w:tc>
        <w:tc>
          <w:tcPr>
            <w:tcW w:w="599" w:type="dxa"/>
            <w:tcBorders>
              <w:top w:val="nil"/>
              <w:left w:val="nil"/>
              <w:bottom w:val="single" w:sz="8" w:space="0" w:color="DCDDDE"/>
              <w:right w:val="nil"/>
            </w:tcBorders>
            <w:shd w:val="clear" w:color="000000" w:fill="FFFFFF"/>
            <w:noWrap/>
            <w:vAlign w:val="center"/>
            <w:hideMark/>
          </w:tcPr>
          <w:p w14:paraId="7D1410E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349.2</w:t>
            </w:r>
          </w:p>
        </w:tc>
        <w:tc>
          <w:tcPr>
            <w:tcW w:w="599" w:type="dxa"/>
            <w:tcBorders>
              <w:top w:val="nil"/>
              <w:left w:val="nil"/>
              <w:bottom w:val="single" w:sz="8" w:space="0" w:color="DCDDDE"/>
              <w:right w:val="nil"/>
            </w:tcBorders>
            <w:shd w:val="clear" w:color="000000" w:fill="FFFFFF"/>
            <w:noWrap/>
            <w:vAlign w:val="center"/>
            <w:hideMark/>
          </w:tcPr>
          <w:p w14:paraId="05D868B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345.1</w:t>
            </w:r>
          </w:p>
        </w:tc>
        <w:tc>
          <w:tcPr>
            <w:tcW w:w="599" w:type="dxa"/>
            <w:tcBorders>
              <w:top w:val="nil"/>
              <w:left w:val="nil"/>
              <w:bottom w:val="single" w:sz="8" w:space="0" w:color="DCDDDE"/>
              <w:right w:val="nil"/>
            </w:tcBorders>
            <w:shd w:val="clear" w:color="000000" w:fill="FFFFFF"/>
            <w:noWrap/>
            <w:vAlign w:val="center"/>
            <w:hideMark/>
          </w:tcPr>
          <w:p w14:paraId="5A35504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337.4</w:t>
            </w:r>
          </w:p>
        </w:tc>
        <w:tc>
          <w:tcPr>
            <w:tcW w:w="599" w:type="dxa"/>
            <w:tcBorders>
              <w:top w:val="nil"/>
              <w:left w:val="nil"/>
              <w:bottom w:val="single" w:sz="8" w:space="0" w:color="DCDDDE"/>
              <w:right w:val="nil"/>
            </w:tcBorders>
            <w:shd w:val="clear" w:color="000000" w:fill="FFFFFF"/>
            <w:noWrap/>
            <w:vAlign w:val="center"/>
            <w:hideMark/>
          </w:tcPr>
          <w:p w14:paraId="4A56796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328.9</w:t>
            </w:r>
          </w:p>
        </w:tc>
      </w:tr>
      <w:tr w:rsidR="00181744" w:rsidRPr="00181744" w14:paraId="00237DE0" w14:textId="77777777" w:rsidTr="00181744">
        <w:trPr>
          <w:trHeight w:val="242"/>
        </w:trPr>
        <w:tc>
          <w:tcPr>
            <w:tcW w:w="9006" w:type="dxa"/>
            <w:gridSpan w:val="15"/>
            <w:tcBorders>
              <w:top w:val="single" w:sz="8" w:space="0" w:color="DCDDDE"/>
              <w:left w:val="nil"/>
              <w:bottom w:val="single" w:sz="8" w:space="0" w:color="DCDDDE"/>
              <w:right w:val="nil"/>
            </w:tcBorders>
            <w:shd w:val="clear" w:color="000000" w:fill="DADADA"/>
            <w:noWrap/>
            <w:vAlign w:val="center"/>
            <w:hideMark/>
          </w:tcPr>
          <w:p w14:paraId="4E0710F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181744" w:rsidRPr="00181744" w14:paraId="6F1997FF"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6CA0A42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9" w:type="dxa"/>
            <w:tcBorders>
              <w:top w:val="nil"/>
              <w:left w:val="nil"/>
              <w:bottom w:val="single" w:sz="8" w:space="0" w:color="DCDDDE"/>
              <w:right w:val="nil"/>
            </w:tcBorders>
            <w:shd w:val="clear" w:color="000000" w:fill="FFFFFF"/>
            <w:noWrap/>
            <w:vAlign w:val="center"/>
            <w:hideMark/>
          </w:tcPr>
          <w:p w14:paraId="69C7868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81.8</w:t>
            </w:r>
          </w:p>
        </w:tc>
        <w:tc>
          <w:tcPr>
            <w:tcW w:w="599" w:type="dxa"/>
            <w:tcBorders>
              <w:top w:val="nil"/>
              <w:left w:val="nil"/>
              <w:bottom w:val="single" w:sz="8" w:space="0" w:color="DCDDDE"/>
              <w:right w:val="nil"/>
            </w:tcBorders>
            <w:shd w:val="clear" w:color="000000" w:fill="FFFFFF"/>
            <w:noWrap/>
            <w:vAlign w:val="center"/>
            <w:hideMark/>
          </w:tcPr>
          <w:p w14:paraId="2681B1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85.4</w:t>
            </w:r>
          </w:p>
        </w:tc>
        <w:tc>
          <w:tcPr>
            <w:tcW w:w="599" w:type="dxa"/>
            <w:tcBorders>
              <w:top w:val="nil"/>
              <w:left w:val="nil"/>
              <w:bottom w:val="single" w:sz="8" w:space="0" w:color="DCDDDE"/>
              <w:right w:val="nil"/>
            </w:tcBorders>
            <w:shd w:val="clear" w:color="000000" w:fill="FFFFFF"/>
            <w:noWrap/>
            <w:vAlign w:val="center"/>
            <w:hideMark/>
          </w:tcPr>
          <w:p w14:paraId="58874D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84.9</w:t>
            </w:r>
          </w:p>
        </w:tc>
        <w:tc>
          <w:tcPr>
            <w:tcW w:w="599" w:type="dxa"/>
            <w:tcBorders>
              <w:top w:val="nil"/>
              <w:left w:val="nil"/>
              <w:bottom w:val="single" w:sz="8" w:space="0" w:color="DCDDDE"/>
              <w:right w:val="nil"/>
            </w:tcBorders>
            <w:shd w:val="clear" w:color="000000" w:fill="FFFFFF"/>
            <w:noWrap/>
            <w:vAlign w:val="center"/>
            <w:hideMark/>
          </w:tcPr>
          <w:p w14:paraId="59BE41F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92.5</w:t>
            </w:r>
          </w:p>
        </w:tc>
        <w:tc>
          <w:tcPr>
            <w:tcW w:w="599" w:type="dxa"/>
            <w:tcBorders>
              <w:top w:val="nil"/>
              <w:left w:val="nil"/>
              <w:bottom w:val="single" w:sz="8" w:space="0" w:color="DCDDDE"/>
              <w:right w:val="nil"/>
            </w:tcBorders>
            <w:shd w:val="clear" w:color="000000" w:fill="FFFFFF"/>
            <w:noWrap/>
            <w:vAlign w:val="center"/>
            <w:hideMark/>
          </w:tcPr>
          <w:p w14:paraId="72F5C00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95.0</w:t>
            </w:r>
          </w:p>
        </w:tc>
        <w:tc>
          <w:tcPr>
            <w:tcW w:w="599" w:type="dxa"/>
            <w:tcBorders>
              <w:top w:val="nil"/>
              <w:left w:val="nil"/>
              <w:bottom w:val="single" w:sz="8" w:space="0" w:color="DCDDDE"/>
              <w:right w:val="nil"/>
            </w:tcBorders>
            <w:shd w:val="clear" w:color="000000" w:fill="FFFFFF"/>
            <w:noWrap/>
            <w:vAlign w:val="center"/>
            <w:hideMark/>
          </w:tcPr>
          <w:p w14:paraId="58D4ACD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97.6</w:t>
            </w:r>
          </w:p>
        </w:tc>
        <w:tc>
          <w:tcPr>
            <w:tcW w:w="599" w:type="dxa"/>
            <w:tcBorders>
              <w:top w:val="nil"/>
              <w:left w:val="nil"/>
              <w:bottom w:val="single" w:sz="8" w:space="0" w:color="DCDDDE"/>
              <w:right w:val="nil"/>
            </w:tcBorders>
            <w:shd w:val="clear" w:color="000000" w:fill="FFFFFF"/>
            <w:noWrap/>
            <w:vAlign w:val="center"/>
            <w:hideMark/>
          </w:tcPr>
          <w:p w14:paraId="71F7043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101.9</w:t>
            </w:r>
          </w:p>
        </w:tc>
        <w:tc>
          <w:tcPr>
            <w:tcW w:w="599" w:type="dxa"/>
            <w:tcBorders>
              <w:top w:val="nil"/>
              <w:left w:val="nil"/>
              <w:bottom w:val="single" w:sz="8" w:space="0" w:color="DCDDDE"/>
              <w:right w:val="nil"/>
            </w:tcBorders>
            <w:shd w:val="clear" w:color="000000" w:fill="FFFFFF"/>
            <w:noWrap/>
            <w:vAlign w:val="center"/>
            <w:hideMark/>
          </w:tcPr>
          <w:p w14:paraId="2C69FC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104.4</w:t>
            </w:r>
          </w:p>
        </w:tc>
        <w:tc>
          <w:tcPr>
            <w:tcW w:w="599" w:type="dxa"/>
            <w:tcBorders>
              <w:top w:val="nil"/>
              <w:left w:val="nil"/>
              <w:bottom w:val="single" w:sz="8" w:space="0" w:color="DCDDDE"/>
              <w:right w:val="nil"/>
            </w:tcBorders>
            <w:shd w:val="clear" w:color="000000" w:fill="FFFFFF"/>
            <w:noWrap/>
            <w:vAlign w:val="center"/>
            <w:hideMark/>
          </w:tcPr>
          <w:p w14:paraId="790066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106.6</w:t>
            </w:r>
          </w:p>
        </w:tc>
        <w:tc>
          <w:tcPr>
            <w:tcW w:w="599" w:type="dxa"/>
            <w:tcBorders>
              <w:top w:val="nil"/>
              <w:left w:val="nil"/>
              <w:bottom w:val="single" w:sz="8" w:space="0" w:color="DCDDDE"/>
              <w:right w:val="nil"/>
            </w:tcBorders>
            <w:shd w:val="clear" w:color="000000" w:fill="FFFFFF"/>
            <w:noWrap/>
            <w:vAlign w:val="center"/>
            <w:hideMark/>
          </w:tcPr>
          <w:p w14:paraId="1F763CA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108.1</w:t>
            </w:r>
          </w:p>
        </w:tc>
        <w:tc>
          <w:tcPr>
            <w:tcW w:w="599" w:type="dxa"/>
            <w:tcBorders>
              <w:top w:val="nil"/>
              <w:left w:val="nil"/>
              <w:bottom w:val="single" w:sz="8" w:space="0" w:color="DCDDDE"/>
              <w:right w:val="nil"/>
            </w:tcBorders>
            <w:shd w:val="clear" w:color="000000" w:fill="FFFFFF"/>
            <w:noWrap/>
            <w:vAlign w:val="center"/>
            <w:hideMark/>
          </w:tcPr>
          <w:p w14:paraId="1601473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109.2</w:t>
            </w:r>
          </w:p>
        </w:tc>
        <w:tc>
          <w:tcPr>
            <w:tcW w:w="599" w:type="dxa"/>
            <w:tcBorders>
              <w:top w:val="nil"/>
              <w:left w:val="nil"/>
              <w:bottom w:val="single" w:sz="8" w:space="0" w:color="DCDDDE"/>
              <w:right w:val="nil"/>
            </w:tcBorders>
            <w:shd w:val="clear" w:color="000000" w:fill="FFFFFF"/>
            <w:noWrap/>
            <w:vAlign w:val="center"/>
            <w:hideMark/>
          </w:tcPr>
          <w:p w14:paraId="4A1577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108.9</w:t>
            </w:r>
          </w:p>
        </w:tc>
        <w:tc>
          <w:tcPr>
            <w:tcW w:w="599" w:type="dxa"/>
            <w:tcBorders>
              <w:top w:val="nil"/>
              <w:left w:val="nil"/>
              <w:bottom w:val="single" w:sz="8" w:space="0" w:color="DCDDDE"/>
              <w:right w:val="nil"/>
            </w:tcBorders>
            <w:shd w:val="clear" w:color="000000" w:fill="FFFFFF"/>
            <w:noWrap/>
            <w:vAlign w:val="center"/>
            <w:hideMark/>
          </w:tcPr>
          <w:p w14:paraId="349FBC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107.6</w:t>
            </w:r>
          </w:p>
        </w:tc>
      </w:tr>
      <w:tr w:rsidR="00181744" w:rsidRPr="00181744" w14:paraId="40DC4585"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43E907F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9" w:type="dxa"/>
            <w:tcBorders>
              <w:top w:val="nil"/>
              <w:left w:val="nil"/>
              <w:bottom w:val="single" w:sz="8" w:space="0" w:color="DCDDDE"/>
              <w:right w:val="nil"/>
            </w:tcBorders>
            <w:shd w:val="clear" w:color="000000" w:fill="FFFFFF"/>
            <w:noWrap/>
            <w:vAlign w:val="center"/>
            <w:hideMark/>
          </w:tcPr>
          <w:p w14:paraId="5DE2C7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162.4</w:t>
            </w:r>
          </w:p>
        </w:tc>
        <w:tc>
          <w:tcPr>
            <w:tcW w:w="599" w:type="dxa"/>
            <w:tcBorders>
              <w:top w:val="nil"/>
              <w:left w:val="nil"/>
              <w:bottom w:val="single" w:sz="8" w:space="0" w:color="DCDDDE"/>
              <w:right w:val="nil"/>
            </w:tcBorders>
            <w:shd w:val="clear" w:color="000000" w:fill="FFFFFF"/>
            <w:noWrap/>
            <w:vAlign w:val="center"/>
            <w:hideMark/>
          </w:tcPr>
          <w:p w14:paraId="601C8FF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166.4</w:t>
            </w:r>
          </w:p>
        </w:tc>
        <w:tc>
          <w:tcPr>
            <w:tcW w:w="599" w:type="dxa"/>
            <w:tcBorders>
              <w:top w:val="nil"/>
              <w:left w:val="nil"/>
              <w:bottom w:val="single" w:sz="8" w:space="0" w:color="DCDDDE"/>
              <w:right w:val="nil"/>
            </w:tcBorders>
            <w:shd w:val="clear" w:color="000000" w:fill="FFFFFF"/>
            <w:noWrap/>
            <w:vAlign w:val="center"/>
            <w:hideMark/>
          </w:tcPr>
          <w:p w14:paraId="42CC9B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169.8</w:t>
            </w:r>
          </w:p>
        </w:tc>
        <w:tc>
          <w:tcPr>
            <w:tcW w:w="599" w:type="dxa"/>
            <w:tcBorders>
              <w:top w:val="nil"/>
              <w:left w:val="nil"/>
              <w:bottom w:val="single" w:sz="8" w:space="0" w:color="DCDDDE"/>
              <w:right w:val="nil"/>
            </w:tcBorders>
            <w:shd w:val="clear" w:color="000000" w:fill="FFFFFF"/>
            <w:noWrap/>
            <w:vAlign w:val="center"/>
            <w:hideMark/>
          </w:tcPr>
          <w:p w14:paraId="3E86A3B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180.7</w:t>
            </w:r>
          </w:p>
        </w:tc>
        <w:tc>
          <w:tcPr>
            <w:tcW w:w="599" w:type="dxa"/>
            <w:tcBorders>
              <w:top w:val="nil"/>
              <w:left w:val="nil"/>
              <w:bottom w:val="single" w:sz="8" w:space="0" w:color="DCDDDE"/>
              <w:right w:val="nil"/>
            </w:tcBorders>
            <w:shd w:val="clear" w:color="000000" w:fill="FFFFFF"/>
            <w:noWrap/>
            <w:vAlign w:val="center"/>
            <w:hideMark/>
          </w:tcPr>
          <w:p w14:paraId="4E43B4C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177.6</w:t>
            </w:r>
          </w:p>
        </w:tc>
        <w:tc>
          <w:tcPr>
            <w:tcW w:w="599" w:type="dxa"/>
            <w:tcBorders>
              <w:top w:val="nil"/>
              <w:left w:val="nil"/>
              <w:bottom w:val="single" w:sz="8" w:space="0" w:color="DCDDDE"/>
              <w:right w:val="nil"/>
            </w:tcBorders>
            <w:shd w:val="clear" w:color="000000" w:fill="FFFFFF"/>
            <w:noWrap/>
            <w:vAlign w:val="center"/>
            <w:hideMark/>
          </w:tcPr>
          <w:p w14:paraId="167AA4C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192.4</w:t>
            </w:r>
          </w:p>
        </w:tc>
        <w:tc>
          <w:tcPr>
            <w:tcW w:w="599" w:type="dxa"/>
            <w:tcBorders>
              <w:top w:val="nil"/>
              <w:left w:val="nil"/>
              <w:bottom w:val="single" w:sz="8" w:space="0" w:color="DCDDDE"/>
              <w:right w:val="nil"/>
            </w:tcBorders>
            <w:shd w:val="clear" w:color="000000" w:fill="FFFFFF"/>
            <w:noWrap/>
            <w:vAlign w:val="center"/>
            <w:hideMark/>
          </w:tcPr>
          <w:p w14:paraId="7A0F935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186.0</w:t>
            </w:r>
          </w:p>
        </w:tc>
        <w:tc>
          <w:tcPr>
            <w:tcW w:w="599" w:type="dxa"/>
            <w:tcBorders>
              <w:top w:val="nil"/>
              <w:left w:val="nil"/>
              <w:bottom w:val="single" w:sz="8" w:space="0" w:color="DCDDDE"/>
              <w:right w:val="nil"/>
            </w:tcBorders>
            <w:shd w:val="clear" w:color="000000" w:fill="FFFFFF"/>
            <w:noWrap/>
            <w:vAlign w:val="center"/>
            <w:hideMark/>
          </w:tcPr>
          <w:p w14:paraId="429494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181.7</w:t>
            </w:r>
          </w:p>
        </w:tc>
        <w:tc>
          <w:tcPr>
            <w:tcW w:w="599" w:type="dxa"/>
            <w:tcBorders>
              <w:top w:val="nil"/>
              <w:left w:val="nil"/>
              <w:bottom w:val="single" w:sz="8" w:space="0" w:color="DCDDDE"/>
              <w:right w:val="nil"/>
            </w:tcBorders>
            <w:shd w:val="clear" w:color="000000" w:fill="FFFFFF"/>
            <w:noWrap/>
            <w:vAlign w:val="center"/>
            <w:hideMark/>
          </w:tcPr>
          <w:p w14:paraId="590829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173.8</w:t>
            </w:r>
          </w:p>
        </w:tc>
        <w:tc>
          <w:tcPr>
            <w:tcW w:w="599" w:type="dxa"/>
            <w:tcBorders>
              <w:top w:val="nil"/>
              <w:left w:val="nil"/>
              <w:bottom w:val="single" w:sz="8" w:space="0" w:color="DCDDDE"/>
              <w:right w:val="nil"/>
            </w:tcBorders>
            <w:shd w:val="clear" w:color="000000" w:fill="FFFFFF"/>
            <w:noWrap/>
            <w:vAlign w:val="center"/>
            <w:hideMark/>
          </w:tcPr>
          <w:p w14:paraId="293498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169.6</w:t>
            </w:r>
          </w:p>
        </w:tc>
        <w:tc>
          <w:tcPr>
            <w:tcW w:w="599" w:type="dxa"/>
            <w:tcBorders>
              <w:top w:val="nil"/>
              <w:left w:val="nil"/>
              <w:bottom w:val="single" w:sz="8" w:space="0" w:color="DCDDDE"/>
              <w:right w:val="nil"/>
            </w:tcBorders>
            <w:shd w:val="clear" w:color="000000" w:fill="FFFFFF"/>
            <w:noWrap/>
            <w:vAlign w:val="center"/>
            <w:hideMark/>
          </w:tcPr>
          <w:p w14:paraId="61D2578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159.1</w:t>
            </w:r>
          </w:p>
        </w:tc>
        <w:tc>
          <w:tcPr>
            <w:tcW w:w="599" w:type="dxa"/>
            <w:tcBorders>
              <w:top w:val="nil"/>
              <w:left w:val="nil"/>
              <w:bottom w:val="single" w:sz="8" w:space="0" w:color="DCDDDE"/>
              <w:right w:val="nil"/>
            </w:tcBorders>
            <w:shd w:val="clear" w:color="000000" w:fill="FFFFFF"/>
            <w:noWrap/>
            <w:vAlign w:val="center"/>
            <w:hideMark/>
          </w:tcPr>
          <w:p w14:paraId="5D759E3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146.6</w:t>
            </w:r>
          </w:p>
        </w:tc>
        <w:tc>
          <w:tcPr>
            <w:tcW w:w="599" w:type="dxa"/>
            <w:tcBorders>
              <w:top w:val="nil"/>
              <w:left w:val="nil"/>
              <w:bottom w:val="single" w:sz="8" w:space="0" w:color="DCDDDE"/>
              <w:right w:val="nil"/>
            </w:tcBorders>
            <w:shd w:val="clear" w:color="000000" w:fill="FFFFFF"/>
            <w:noWrap/>
            <w:vAlign w:val="center"/>
            <w:hideMark/>
          </w:tcPr>
          <w:p w14:paraId="0444076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134.0</w:t>
            </w:r>
          </w:p>
        </w:tc>
      </w:tr>
      <w:tr w:rsidR="00181744" w:rsidRPr="00181744" w14:paraId="1734A12D"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5D63D00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9" w:type="dxa"/>
            <w:tcBorders>
              <w:top w:val="nil"/>
              <w:left w:val="nil"/>
              <w:bottom w:val="single" w:sz="8" w:space="0" w:color="DCDDDE"/>
              <w:right w:val="nil"/>
            </w:tcBorders>
            <w:shd w:val="clear" w:color="000000" w:fill="FFFFFF"/>
            <w:noWrap/>
            <w:vAlign w:val="center"/>
            <w:hideMark/>
          </w:tcPr>
          <w:p w14:paraId="592FF4F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w:t>
            </w:r>
          </w:p>
        </w:tc>
        <w:tc>
          <w:tcPr>
            <w:tcW w:w="599" w:type="dxa"/>
            <w:tcBorders>
              <w:top w:val="nil"/>
              <w:left w:val="nil"/>
              <w:bottom w:val="single" w:sz="8" w:space="0" w:color="DCDDDE"/>
              <w:right w:val="nil"/>
            </w:tcBorders>
            <w:shd w:val="clear" w:color="000000" w:fill="FFFFFF"/>
            <w:noWrap/>
            <w:vAlign w:val="center"/>
            <w:hideMark/>
          </w:tcPr>
          <w:p w14:paraId="1FD61E9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21.6</w:t>
            </w:r>
          </w:p>
        </w:tc>
        <w:tc>
          <w:tcPr>
            <w:tcW w:w="599" w:type="dxa"/>
            <w:tcBorders>
              <w:top w:val="nil"/>
              <w:left w:val="nil"/>
              <w:bottom w:val="single" w:sz="8" w:space="0" w:color="DCDDDE"/>
              <w:right w:val="nil"/>
            </w:tcBorders>
            <w:shd w:val="clear" w:color="000000" w:fill="FFFFFF"/>
            <w:noWrap/>
            <w:vAlign w:val="center"/>
            <w:hideMark/>
          </w:tcPr>
          <w:p w14:paraId="746180A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25.8</w:t>
            </w:r>
          </w:p>
        </w:tc>
        <w:tc>
          <w:tcPr>
            <w:tcW w:w="599" w:type="dxa"/>
            <w:tcBorders>
              <w:top w:val="nil"/>
              <w:left w:val="nil"/>
              <w:bottom w:val="single" w:sz="8" w:space="0" w:color="DCDDDE"/>
              <w:right w:val="nil"/>
            </w:tcBorders>
            <w:shd w:val="clear" w:color="000000" w:fill="FFFFFF"/>
            <w:noWrap/>
            <w:vAlign w:val="center"/>
            <w:hideMark/>
          </w:tcPr>
          <w:p w14:paraId="5B910D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32.9</w:t>
            </w:r>
          </w:p>
        </w:tc>
        <w:tc>
          <w:tcPr>
            <w:tcW w:w="599" w:type="dxa"/>
            <w:tcBorders>
              <w:top w:val="nil"/>
              <w:left w:val="nil"/>
              <w:bottom w:val="single" w:sz="8" w:space="0" w:color="DCDDDE"/>
              <w:right w:val="nil"/>
            </w:tcBorders>
            <w:shd w:val="clear" w:color="000000" w:fill="FFFFFF"/>
            <w:noWrap/>
            <w:vAlign w:val="center"/>
            <w:hideMark/>
          </w:tcPr>
          <w:p w14:paraId="66B97C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37.0</w:t>
            </w:r>
          </w:p>
        </w:tc>
        <w:tc>
          <w:tcPr>
            <w:tcW w:w="599" w:type="dxa"/>
            <w:tcBorders>
              <w:top w:val="nil"/>
              <w:left w:val="nil"/>
              <w:bottom w:val="single" w:sz="8" w:space="0" w:color="DCDDDE"/>
              <w:right w:val="nil"/>
            </w:tcBorders>
            <w:shd w:val="clear" w:color="000000" w:fill="FFFFFF"/>
            <w:noWrap/>
            <w:vAlign w:val="center"/>
            <w:hideMark/>
          </w:tcPr>
          <w:p w14:paraId="74EB0A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41.2</w:t>
            </w:r>
          </w:p>
        </w:tc>
        <w:tc>
          <w:tcPr>
            <w:tcW w:w="599" w:type="dxa"/>
            <w:tcBorders>
              <w:top w:val="nil"/>
              <w:left w:val="nil"/>
              <w:bottom w:val="single" w:sz="8" w:space="0" w:color="DCDDDE"/>
              <w:right w:val="nil"/>
            </w:tcBorders>
            <w:shd w:val="clear" w:color="000000" w:fill="FFFFFF"/>
            <w:noWrap/>
            <w:vAlign w:val="center"/>
            <w:hideMark/>
          </w:tcPr>
          <w:p w14:paraId="77F256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45.6</w:t>
            </w:r>
          </w:p>
        </w:tc>
        <w:tc>
          <w:tcPr>
            <w:tcW w:w="599" w:type="dxa"/>
            <w:tcBorders>
              <w:top w:val="nil"/>
              <w:left w:val="nil"/>
              <w:bottom w:val="single" w:sz="8" w:space="0" w:color="DCDDDE"/>
              <w:right w:val="nil"/>
            </w:tcBorders>
            <w:shd w:val="clear" w:color="000000" w:fill="FFFFFF"/>
            <w:noWrap/>
            <w:vAlign w:val="center"/>
            <w:hideMark/>
          </w:tcPr>
          <w:p w14:paraId="26FEE3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50.6</w:t>
            </w:r>
          </w:p>
        </w:tc>
        <w:tc>
          <w:tcPr>
            <w:tcW w:w="599" w:type="dxa"/>
            <w:tcBorders>
              <w:top w:val="nil"/>
              <w:left w:val="nil"/>
              <w:bottom w:val="single" w:sz="8" w:space="0" w:color="DCDDDE"/>
              <w:right w:val="nil"/>
            </w:tcBorders>
            <w:shd w:val="clear" w:color="000000" w:fill="FFFFFF"/>
            <w:noWrap/>
            <w:vAlign w:val="center"/>
            <w:hideMark/>
          </w:tcPr>
          <w:p w14:paraId="1B6B62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55.6</w:t>
            </w:r>
          </w:p>
        </w:tc>
        <w:tc>
          <w:tcPr>
            <w:tcW w:w="599" w:type="dxa"/>
            <w:tcBorders>
              <w:top w:val="nil"/>
              <w:left w:val="nil"/>
              <w:bottom w:val="single" w:sz="8" w:space="0" w:color="DCDDDE"/>
              <w:right w:val="nil"/>
            </w:tcBorders>
            <w:shd w:val="clear" w:color="000000" w:fill="FFFFFF"/>
            <w:noWrap/>
            <w:vAlign w:val="center"/>
            <w:hideMark/>
          </w:tcPr>
          <w:p w14:paraId="01AF76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60.9</w:t>
            </w:r>
          </w:p>
        </w:tc>
        <w:tc>
          <w:tcPr>
            <w:tcW w:w="599" w:type="dxa"/>
            <w:tcBorders>
              <w:top w:val="nil"/>
              <w:left w:val="nil"/>
              <w:bottom w:val="single" w:sz="8" w:space="0" w:color="DCDDDE"/>
              <w:right w:val="nil"/>
            </w:tcBorders>
            <w:shd w:val="clear" w:color="000000" w:fill="FFFFFF"/>
            <w:noWrap/>
            <w:vAlign w:val="center"/>
            <w:hideMark/>
          </w:tcPr>
          <w:p w14:paraId="4354E7A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66.2</w:t>
            </w:r>
          </w:p>
        </w:tc>
        <w:tc>
          <w:tcPr>
            <w:tcW w:w="599" w:type="dxa"/>
            <w:tcBorders>
              <w:top w:val="nil"/>
              <w:left w:val="nil"/>
              <w:bottom w:val="single" w:sz="8" w:space="0" w:color="DCDDDE"/>
              <w:right w:val="nil"/>
            </w:tcBorders>
            <w:shd w:val="clear" w:color="000000" w:fill="FFFFFF"/>
            <w:noWrap/>
            <w:vAlign w:val="center"/>
            <w:hideMark/>
          </w:tcPr>
          <w:p w14:paraId="2B48971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71.8</w:t>
            </w:r>
          </w:p>
        </w:tc>
        <w:tc>
          <w:tcPr>
            <w:tcW w:w="599" w:type="dxa"/>
            <w:tcBorders>
              <w:top w:val="nil"/>
              <w:left w:val="nil"/>
              <w:bottom w:val="single" w:sz="8" w:space="0" w:color="DCDDDE"/>
              <w:right w:val="nil"/>
            </w:tcBorders>
            <w:shd w:val="clear" w:color="000000" w:fill="FFFFFF"/>
            <w:noWrap/>
            <w:vAlign w:val="center"/>
            <w:hideMark/>
          </w:tcPr>
          <w:p w14:paraId="1AD923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77.7</w:t>
            </w:r>
          </w:p>
        </w:tc>
      </w:tr>
      <w:tr w:rsidR="00181744" w:rsidRPr="00181744" w14:paraId="389A926E"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5917F87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9" w:type="dxa"/>
            <w:tcBorders>
              <w:top w:val="nil"/>
              <w:left w:val="nil"/>
              <w:bottom w:val="single" w:sz="8" w:space="0" w:color="DCDDDE"/>
              <w:right w:val="nil"/>
            </w:tcBorders>
            <w:shd w:val="clear" w:color="000000" w:fill="FFFFFF"/>
            <w:noWrap/>
            <w:vAlign w:val="center"/>
            <w:hideMark/>
          </w:tcPr>
          <w:p w14:paraId="07A4B5A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54D9337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2B9727E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60E1B48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4DD8B94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E489EC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130004C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2C4CB0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52AE43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24E622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141921C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2331A97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433DE58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r>
      <w:tr w:rsidR="00181744" w:rsidRPr="00181744" w14:paraId="14BD2147"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1CF0568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9" w:type="dxa"/>
            <w:tcBorders>
              <w:top w:val="nil"/>
              <w:left w:val="nil"/>
              <w:bottom w:val="single" w:sz="8" w:space="0" w:color="DCDDDE"/>
              <w:right w:val="nil"/>
            </w:tcBorders>
            <w:shd w:val="clear" w:color="000000" w:fill="FFFFFF"/>
            <w:noWrap/>
            <w:vAlign w:val="center"/>
            <w:hideMark/>
          </w:tcPr>
          <w:p w14:paraId="4B339D2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267.6</w:t>
            </w:r>
          </w:p>
        </w:tc>
        <w:tc>
          <w:tcPr>
            <w:tcW w:w="599" w:type="dxa"/>
            <w:tcBorders>
              <w:top w:val="nil"/>
              <w:left w:val="nil"/>
              <w:bottom w:val="single" w:sz="8" w:space="0" w:color="DCDDDE"/>
              <w:right w:val="nil"/>
            </w:tcBorders>
            <w:shd w:val="clear" w:color="000000" w:fill="FFFFFF"/>
            <w:noWrap/>
            <w:vAlign w:val="center"/>
            <w:hideMark/>
          </w:tcPr>
          <w:p w14:paraId="1621D36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280.6</w:t>
            </w:r>
          </w:p>
        </w:tc>
        <w:tc>
          <w:tcPr>
            <w:tcW w:w="599" w:type="dxa"/>
            <w:tcBorders>
              <w:top w:val="nil"/>
              <w:left w:val="nil"/>
              <w:bottom w:val="single" w:sz="8" w:space="0" w:color="DCDDDE"/>
              <w:right w:val="nil"/>
            </w:tcBorders>
            <w:shd w:val="clear" w:color="000000" w:fill="FFFFFF"/>
            <w:noWrap/>
            <w:vAlign w:val="center"/>
            <w:hideMark/>
          </w:tcPr>
          <w:p w14:paraId="2AB7697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287.6</w:t>
            </w:r>
          </w:p>
        </w:tc>
        <w:tc>
          <w:tcPr>
            <w:tcW w:w="599" w:type="dxa"/>
            <w:tcBorders>
              <w:top w:val="nil"/>
              <w:left w:val="nil"/>
              <w:bottom w:val="single" w:sz="8" w:space="0" w:color="DCDDDE"/>
              <w:right w:val="nil"/>
            </w:tcBorders>
            <w:shd w:val="clear" w:color="000000" w:fill="FFFFFF"/>
            <w:noWrap/>
            <w:vAlign w:val="center"/>
            <w:hideMark/>
          </w:tcPr>
          <w:p w14:paraId="5955AE4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313.2</w:t>
            </w:r>
          </w:p>
        </w:tc>
        <w:tc>
          <w:tcPr>
            <w:tcW w:w="599" w:type="dxa"/>
            <w:tcBorders>
              <w:top w:val="nil"/>
              <w:left w:val="nil"/>
              <w:bottom w:val="single" w:sz="8" w:space="0" w:color="DCDDDE"/>
              <w:right w:val="nil"/>
            </w:tcBorders>
            <w:shd w:val="clear" w:color="000000" w:fill="FFFFFF"/>
            <w:noWrap/>
            <w:vAlign w:val="center"/>
            <w:hideMark/>
          </w:tcPr>
          <w:p w14:paraId="470CC96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316.7</w:t>
            </w:r>
          </w:p>
        </w:tc>
        <w:tc>
          <w:tcPr>
            <w:tcW w:w="599" w:type="dxa"/>
            <w:tcBorders>
              <w:top w:val="nil"/>
              <w:left w:val="nil"/>
              <w:bottom w:val="single" w:sz="8" w:space="0" w:color="DCDDDE"/>
              <w:right w:val="nil"/>
            </w:tcBorders>
            <w:shd w:val="clear" w:color="000000" w:fill="FFFFFF"/>
            <w:noWrap/>
            <w:vAlign w:val="center"/>
            <w:hideMark/>
          </w:tcPr>
          <w:p w14:paraId="5096E01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338.2</w:t>
            </w:r>
          </w:p>
        </w:tc>
        <w:tc>
          <w:tcPr>
            <w:tcW w:w="599" w:type="dxa"/>
            <w:tcBorders>
              <w:top w:val="nil"/>
              <w:left w:val="nil"/>
              <w:bottom w:val="single" w:sz="8" w:space="0" w:color="DCDDDE"/>
              <w:right w:val="nil"/>
            </w:tcBorders>
            <w:shd w:val="clear" w:color="000000" w:fill="FFFFFF"/>
            <w:noWrap/>
            <w:vAlign w:val="center"/>
            <w:hideMark/>
          </w:tcPr>
          <w:p w14:paraId="472089C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340.7</w:t>
            </w:r>
          </w:p>
        </w:tc>
        <w:tc>
          <w:tcPr>
            <w:tcW w:w="599" w:type="dxa"/>
            <w:tcBorders>
              <w:top w:val="nil"/>
              <w:left w:val="nil"/>
              <w:bottom w:val="single" w:sz="8" w:space="0" w:color="DCDDDE"/>
              <w:right w:val="nil"/>
            </w:tcBorders>
            <w:shd w:val="clear" w:color="000000" w:fill="FFFFFF"/>
            <w:noWrap/>
            <w:vAlign w:val="center"/>
            <w:hideMark/>
          </w:tcPr>
          <w:p w14:paraId="4651AD6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343.8</w:t>
            </w:r>
          </w:p>
        </w:tc>
        <w:tc>
          <w:tcPr>
            <w:tcW w:w="599" w:type="dxa"/>
            <w:tcBorders>
              <w:top w:val="nil"/>
              <w:left w:val="nil"/>
              <w:bottom w:val="single" w:sz="8" w:space="0" w:color="DCDDDE"/>
              <w:right w:val="nil"/>
            </w:tcBorders>
            <w:shd w:val="clear" w:color="000000" w:fill="FFFFFF"/>
            <w:noWrap/>
            <w:vAlign w:val="center"/>
            <w:hideMark/>
          </w:tcPr>
          <w:p w14:paraId="4676C8D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343.1</w:t>
            </w:r>
          </w:p>
        </w:tc>
        <w:tc>
          <w:tcPr>
            <w:tcW w:w="599" w:type="dxa"/>
            <w:tcBorders>
              <w:top w:val="nil"/>
              <w:left w:val="nil"/>
              <w:bottom w:val="single" w:sz="8" w:space="0" w:color="DCDDDE"/>
              <w:right w:val="nil"/>
            </w:tcBorders>
            <w:shd w:val="clear" w:color="000000" w:fill="FFFFFF"/>
            <w:noWrap/>
            <w:vAlign w:val="center"/>
            <w:hideMark/>
          </w:tcPr>
          <w:p w14:paraId="5603102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345.7</w:t>
            </w:r>
          </w:p>
        </w:tc>
        <w:tc>
          <w:tcPr>
            <w:tcW w:w="599" w:type="dxa"/>
            <w:tcBorders>
              <w:top w:val="nil"/>
              <w:left w:val="nil"/>
              <w:bottom w:val="single" w:sz="8" w:space="0" w:color="DCDDDE"/>
              <w:right w:val="nil"/>
            </w:tcBorders>
            <w:shd w:val="clear" w:color="000000" w:fill="FFFFFF"/>
            <w:noWrap/>
            <w:vAlign w:val="center"/>
            <w:hideMark/>
          </w:tcPr>
          <w:p w14:paraId="4E8FAFA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341.7</w:t>
            </w:r>
          </w:p>
        </w:tc>
        <w:tc>
          <w:tcPr>
            <w:tcW w:w="599" w:type="dxa"/>
            <w:tcBorders>
              <w:top w:val="nil"/>
              <w:left w:val="nil"/>
              <w:bottom w:val="single" w:sz="8" w:space="0" w:color="DCDDDE"/>
              <w:right w:val="nil"/>
            </w:tcBorders>
            <w:shd w:val="clear" w:color="000000" w:fill="FFFFFF"/>
            <w:noWrap/>
            <w:vAlign w:val="center"/>
            <w:hideMark/>
          </w:tcPr>
          <w:p w14:paraId="7951E9A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334.5</w:t>
            </w:r>
          </w:p>
        </w:tc>
        <w:tc>
          <w:tcPr>
            <w:tcW w:w="599" w:type="dxa"/>
            <w:tcBorders>
              <w:top w:val="nil"/>
              <w:left w:val="nil"/>
              <w:bottom w:val="single" w:sz="8" w:space="0" w:color="DCDDDE"/>
              <w:right w:val="nil"/>
            </w:tcBorders>
            <w:shd w:val="clear" w:color="000000" w:fill="FFFFFF"/>
            <w:noWrap/>
            <w:vAlign w:val="center"/>
            <w:hideMark/>
          </w:tcPr>
          <w:p w14:paraId="567D01D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326.3</w:t>
            </w:r>
          </w:p>
        </w:tc>
      </w:tr>
      <w:tr w:rsidR="00181744" w:rsidRPr="00181744" w14:paraId="72DEC6A8" w14:textId="77777777" w:rsidTr="00181744">
        <w:trPr>
          <w:trHeight w:val="242"/>
        </w:trPr>
        <w:tc>
          <w:tcPr>
            <w:tcW w:w="9006" w:type="dxa"/>
            <w:gridSpan w:val="15"/>
            <w:tcBorders>
              <w:top w:val="single" w:sz="8" w:space="0" w:color="DCDDDE"/>
              <w:left w:val="nil"/>
              <w:bottom w:val="single" w:sz="8" w:space="0" w:color="DCDDDE"/>
              <w:right w:val="nil"/>
            </w:tcBorders>
            <w:shd w:val="clear" w:color="000000" w:fill="DADADA"/>
            <w:noWrap/>
            <w:vAlign w:val="center"/>
            <w:hideMark/>
          </w:tcPr>
          <w:p w14:paraId="36B257C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181744" w:rsidRPr="00181744" w14:paraId="22004E79"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677818E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99" w:type="dxa"/>
            <w:tcBorders>
              <w:top w:val="nil"/>
              <w:left w:val="nil"/>
              <w:bottom w:val="single" w:sz="8" w:space="0" w:color="DCDDDE"/>
              <w:right w:val="nil"/>
            </w:tcBorders>
            <w:shd w:val="clear" w:color="000000" w:fill="FFFFFF"/>
            <w:noWrap/>
            <w:vAlign w:val="center"/>
            <w:hideMark/>
          </w:tcPr>
          <w:p w14:paraId="056082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85.7</w:t>
            </w:r>
          </w:p>
        </w:tc>
        <w:tc>
          <w:tcPr>
            <w:tcW w:w="599" w:type="dxa"/>
            <w:tcBorders>
              <w:top w:val="nil"/>
              <w:left w:val="nil"/>
              <w:bottom w:val="single" w:sz="8" w:space="0" w:color="DCDDDE"/>
              <w:right w:val="nil"/>
            </w:tcBorders>
            <w:shd w:val="clear" w:color="000000" w:fill="FFFFFF"/>
            <w:noWrap/>
            <w:vAlign w:val="center"/>
            <w:hideMark/>
          </w:tcPr>
          <w:p w14:paraId="627A685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90.2</w:t>
            </w:r>
          </w:p>
        </w:tc>
        <w:tc>
          <w:tcPr>
            <w:tcW w:w="599" w:type="dxa"/>
            <w:tcBorders>
              <w:top w:val="nil"/>
              <w:left w:val="nil"/>
              <w:bottom w:val="single" w:sz="8" w:space="0" w:color="DCDDDE"/>
              <w:right w:val="nil"/>
            </w:tcBorders>
            <w:shd w:val="clear" w:color="000000" w:fill="FFFFFF"/>
            <w:noWrap/>
            <w:vAlign w:val="center"/>
            <w:hideMark/>
          </w:tcPr>
          <w:p w14:paraId="0D02ED7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90.7</w:t>
            </w:r>
          </w:p>
        </w:tc>
        <w:tc>
          <w:tcPr>
            <w:tcW w:w="599" w:type="dxa"/>
            <w:tcBorders>
              <w:top w:val="nil"/>
              <w:left w:val="nil"/>
              <w:bottom w:val="single" w:sz="8" w:space="0" w:color="DCDDDE"/>
              <w:right w:val="nil"/>
            </w:tcBorders>
            <w:shd w:val="clear" w:color="000000" w:fill="FFFFFF"/>
            <w:noWrap/>
            <w:vAlign w:val="center"/>
            <w:hideMark/>
          </w:tcPr>
          <w:p w14:paraId="445D9A3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99.6</w:t>
            </w:r>
          </w:p>
        </w:tc>
        <w:tc>
          <w:tcPr>
            <w:tcW w:w="599" w:type="dxa"/>
            <w:tcBorders>
              <w:top w:val="nil"/>
              <w:left w:val="nil"/>
              <w:bottom w:val="single" w:sz="8" w:space="0" w:color="DCDDDE"/>
              <w:right w:val="nil"/>
            </w:tcBorders>
            <w:shd w:val="clear" w:color="000000" w:fill="FFFFFF"/>
            <w:noWrap/>
            <w:vAlign w:val="center"/>
            <w:hideMark/>
          </w:tcPr>
          <w:p w14:paraId="55F321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102.5</w:t>
            </w:r>
          </w:p>
        </w:tc>
        <w:tc>
          <w:tcPr>
            <w:tcW w:w="599" w:type="dxa"/>
            <w:tcBorders>
              <w:top w:val="nil"/>
              <w:left w:val="nil"/>
              <w:bottom w:val="single" w:sz="8" w:space="0" w:color="DCDDDE"/>
              <w:right w:val="nil"/>
            </w:tcBorders>
            <w:shd w:val="clear" w:color="000000" w:fill="FFFFFF"/>
            <w:noWrap/>
            <w:vAlign w:val="center"/>
            <w:hideMark/>
          </w:tcPr>
          <w:p w14:paraId="6B572C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105.2</w:t>
            </w:r>
          </w:p>
        </w:tc>
        <w:tc>
          <w:tcPr>
            <w:tcW w:w="599" w:type="dxa"/>
            <w:tcBorders>
              <w:top w:val="nil"/>
              <w:left w:val="nil"/>
              <w:bottom w:val="single" w:sz="8" w:space="0" w:color="DCDDDE"/>
              <w:right w:val="nil"/>
            </w:tcBorders>
            <w:shd w:val="clear" w:color="000000" w:fill="FFFFFF"/>
            <w:noWrap/>
            <w:vAlign w:val="center"/>
            <w:hideMark/>
          </w:tcPr>
          <w:p w14:paraId="0A4BFCB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109.5</w:t>
            </w:r>
          </w:p>
        </w:tc>
        <w:tc>
          <w:tcPr>
            <w:tcW w:w="599" w:type="dxa"/>
            <w:tcBorders>
              <w:top w:val="nil"/>
              <w:left w:val="nil"/>
              <w:bottom w:val="single" w:sz="8" w:space="0" w:color="DCDDDE"/>
              <w:right w:val="nil"/>
            </w:tcBorders>
            <w:shd w:val="clear" w:color="000000" w:fill="FFFFFF"/>
            <w:noWrap/>
            <w:vAlign w:val="center"/>
            <w:hideMark/>
          </w:tcPr>
          <w:p w14:paraId="202AB1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111.8</w:t>
            </w:r>
          </w:p>
        </w:tc>
        <w:tc>
          <w:tcPr>
            <w:tcW w:w="599" w:type="dxa"/>
            <w:tcBorders>
              <w:top w:val="nil"/>
              <w:left w:val="nil"/>
              <w:bottom w:val="single" w:sz="8" w:space="0" w:color="DCDDDE"/>
              <w:right w:val="nil"/>
            </w:tcBorders>
            <w:shd w:val="clear" w:color="000000" w:fill="FFFFFF"/>
            <w:noWrap/>
            <w:vAlign w:val="center"/>
            <w:hideMark/>
          </w:tcPr>
          <w:p w14:paraId="20E85E1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113.3</w:t>
            </w:r>
          </w:p>
        </w:tc>
        <w:tc>
          <w:tcPr>
            <w:tcW w:w="599" w:type="dxa"/>
            <w:tcBorders>
              <w:top w:val="nil"/>
              <w:left w:val="nil"/>
              <w:bottom w:val="single" w:sz="8" w:space="0" w:color="DCDDDE"/>
              <w:right w:val="nil"/>
            </w:tcBorders>
            <w:shd w:val="clear" w:color="000000" w:fill="FFFFFF"/>
            <w:noWrap/>
            <w:vAlign w:val="center"/>
            <w:hideMark/>
          </w:tcPr>
          <w:p w14:paraId="0D6F0D2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114.0</w:t>
            </w:r>
          </w:p>
        </w:tc>
        <w:tc>
          <w:tcPr>
            <w:tcW w:w="599" w:type="dxa"/>
            <w:tcBorders>
              <w:top w:val="nil"/>
              <w:left w:val="nil"/>
              <w:bottom w:val="single" w:sz="8" w:space="0" w:color="DCDDDE"/>
              <w:right w:val="nil"/>
            </w:tcBorders>
            <w:shd w:val="clear" w:color="000000" w:fill="FFFFFF"/>
            <w:noWrap/>
            <w:vAlign w:val="center"/>
            <w:hideMark/>
          </w:tcPr>
          <w:p w14:paraId="78582E6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114.2</w:t>
            </w:r>
          </w:p>
        </w:tc>
        <w:tc>
          <w:tcPr>
            <w:tcW w:w="599" w:type="dxa"/>
            <w:tcBorders>
              <w:top w:val="nil"/>
              <w:left w:val="nil"/>
              <w:bottom w:val="single" w:sz="8" w:space="0" w:color="DCDDDE"/>
              <w:right w:val="nil"/>
            </w:tcBorders>
            <w:shd w:val="clear" w:color="000000" w:fill="FFFFFF"/>
            <w:noWrap/>
            <w:vAlign w:val="center"/>
            <w:hideMark/>
          </w:tcPr>
          <w:p w14:paraId="69F8860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112.9</w:t>
            </w:r>
          </w:p>
        </w:tc>
        <w:tc>
          <w:tcPr>
            <w:tcW w:w="599" w:type="dxa"/>
            <w:tcBorders>
              <w:top w:val="nil"/>
              <w:left w:val="nil"/>
              <w:bottom w:val="single" w:sz="8" w:space="0" w:color="DCDDDE"/>
              <w:right w:val="nil"/>
            </w:tcBorders>
            <w:shd w:val="clear" w:color="000000" w:fill="FFFFFF"/>
            <w:noWrap/>
            <w:vAlign w:val="center"/>
            <w:hideMark/>
          </w:tcPr>
          <w:p w14:paraId="7E3A69F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110.7</w:t>
            </w:r>
          </w:p>
        </w:tc>
      </w:tr>
      <w:tr w:rsidR="00181744" w:rsidRPr="00181744" w14:paraId="13469A61"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00CF49B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99" w:type="dxa"/>
            <w:tcBorders>
              <w:top w:val="nil"/>
              <w:left w:val="nil"/>
              <w:bottom w:val="single" w:sz="8" w:space="0" w:color="DCDDDE"/>
              <w:right w:val="nil"/>
            </w:tcBorders>
            <w:shd w:val="clear" w:color="000000" w:fill="FFFFFF"/>
            <w:noWrap/>
            <w:vAlign w:val="center"/>
            <w:hideMark/>
          </w:tcPr>
          <w:p w14:paraId="2B4B5EC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162.4</w:t>
            </w:r>
          </w:p>
        </w:tc>
        <w:tc>
          <w:tcPr>
            <w:tcW w:w="599" w:type="dxa"/>
            <w:tcBorders>
              <w:top w:val="nil"/>
              <w:left w:val="nil"/>
              <w:bottom w:val="single" w:sz="8" w:space="0" w:color="DCDDDE"/>
              <w:right w:val="nil"/>
            </w:tcBorders>
            <w:shd w:val="clear" w:color="000000" w:fill="FFFFFF"/>
            <w:noWrap/>
            <w:vAlign w:val="center"/>
            <w:hideMark/>
          </w:tcPr>
          <w:p w14:paraId="057EB5D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166.4</w:t>
            </w:r>
          </w:p>
        </w:tc>
        <w:tc>
          <w:tcPr>
            <w:tcW w:w="599" w:type="dxa"/>
            <w:tcBorders>
              <w:top w:val="nil"/>
              <w:left w:val="nil"/>
              <w:bottom w:val="single" w:sz="8" w:space="0" w:color="DCDDDE"/>
              <w:right w:val="nil"/>
            </w:tcBorders>
            <w:shd w:val="clear" w:color="000000" w:fill="FFFFFF"/>
            <w:noWrap/>
            <w:vAlign w:val="center"/>
            <w:hideMark/>
          </w:tcPr>
          <w:p w14:paraId="69136A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169.8</w:t>
            </w:r>
          </w:p>
        </w:tc>
        <w:tc>
          <w:tcPr>
            <w:tcW w:w="599" w:type="dxa"/>
            <w:tcBorders>
              <w:top w:val="nil"/>
              <w:left w:val="nil"/>
              <w:bottom w:val="single" w:sz="8" w:space="0" w:color="DCDDDE"/>
              <w:right w:val="nil"/>
            </w:tcBorders>
            <w:shd w:val="clear" w:color="000000" w:fill="FFFFFF"/>
            <w:noWrap/>
            <w:vAlign w:val="center"/>
            <w:hideMark/>
          </w:tcPr>
          <w:p w14:paraId="28DD8A8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180.7</w:t>
            </w:r>
          </w:p>
        </w:tc>
        <w:tc>
          <w:tcPr>
            <w:tcW w:w="599" w:type="dxa"/>
            <w:tcBorders>
              <w:top w:val="nil"/>
              <w:left w:val="nil"/>
              <w:bottom w:val="single" w:sz="8" w:space="0" w:color="DCDDDE"/>
              <w:right w:val="nil"/>
            </w:tcBorders>
            <w:shd w:val="clear" w:color="000000" w:fill="FFFFFF"/>
            <w:noWrap/>
            <w:vAlign w:val="center"/>
            <w:hideMark/>
          </w:tcPr>
          <w:p w14:paraId="5618C33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177.6</w:t>
            </w:r>
          </w:p>
        </w:tc>
        <w:tc>
          <w:tcPr>
            <w:tcW w:w="599" w:type="dxa"/>
            <w:tcBorders>
              <w:top w:val="nil"/>
              <w:left w:val="nil"/>
              <w:bottom w:val="single" w:sz="8" w:space="0" w:color="DCDDDE"/>
              <w:right w:val="nil"/>
            </w:tcBorders>
            <w:shd w:val="clear" w:color="000000" w:fill="FFFFFF"/>
            <w:noWrap/>
            <w:vAlign w:val="center"/>
            <w:hideMark/>
          </w:tcPr>
          <w:p w14:paraId="0F063B8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192.4</w:t>
            </w:r>
          </w:p>
        </w:tc>
        <w:tc>
          <w:tcPr>
            <w:tcW w:w="599" w:type="dxa"/>
            <w:tcBorders>
              <w:top w:val="nil"/>
              <w:left w:val="nil"/>
              <w:bottom w:val="single" w:sz="8" w:space="0" w:color="DCDDDE"/>
              <w:right w:val="nil"/>
            </w:tcBorders>
            <w:shd w:val="clear" w:color="000000" w:fill="FFFFFF"/>
            <w:noWrap/>
            <w:vAlign w:val="center"/>
            <w:hideMark/>
          </w:tcPr>
          <w:p w14:paraId="7D273B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186.0</w:t>
            </w:r>
          </w:p>
        </w:tc>
        <w:tc>
          <w:tcPr>
            <w:tcW w:w="599" w:type="dxa"/>
            <w:tcBorders>
              <w:top w:val="nil"/>
              <w:left w:val="nil"/>
              <w:bottom w:val="single" w:sz="8" w:space="0" w:color="DCDDDE"/>
              <w:right w:val="nil"/>
            </w:tcBorders>
            <w:shd w:val="clear" w:color="000000" w:fill="FFFFFF"/>
            <w:noWrap/>
            <w:vAlign w:val="center"/>
            <w:hideMark/>
          </w:tcPr>
          <w:p w14:paraId="6523A9C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181.7</w:t>
            </w:r>
          </w:p>
        </w:tc>
        <w:tc>
          <w:tcPr>
            <w:tcW w:w="599" w:type="dxa"/>
            <w:tcBorders>
              <w:top w:val="nil"/>
              <w:left w:val="nil"/>
              <w:bottom w:val="single" w:sz="8" w:space="0" w:color="DCDDDE"/>
              <w:right w:val="nil"/>
            </w:tcBorders>
            <w:shd w:val="clear" w:color="000000" w:fill="FFFFFF"/>
            <w:noWrap/>
            <w:vAlign w:val="center"/>
            <w:hideMark/>
          </w:tcPr>
          <w:p w14:paraId="2435C56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173.8</w:t>
            </w:r>
          </w:p>
        </w:tc>
        <w:tc>
          <w:tcPr>
            <w:tcW w:w="599" w:type="dxa"/>
            <w:tcBorders>
              <w:top w:val="nil"/>
              <w:left w:val="nil"/>
              <w:bottom w:val="single" w:sz="8" w:space="0" w:color="DCDDDE"/>
              <w:right w:val="nil"/>
            </w:tcBorders>
            <w:shd w:val="clear" w:color="000000" w:fill="FFFFFF"/>
            <w:noWrap/>
            <w:vAlign w:val="center"/>
            <w:hideMark/>
          </w:tcPr>
          <w:p w14:paraId="3DE31FD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169.6</w:t>
            </w:r>
          </w:p>
        </w:tc>
        <w:tc>
          <w:tcPr>
            <w:tcW w:w="599" w:type="dxa"/>
            <w:tcBorders>
              <w:top w:val="nil"/>
              <w:left w:val="nil"/>
              <w:bottom w:val="single" w:sz="8" w:space="0" w:color="DCDDDE"/>
              <w:right w:val="nil"/>
            </w:tcBorders>
            <w:shd w:val="clear" w:color="000000" w:fill="FFFFFF"/>
            <w:noWrap/>
            <w:vAlign w:val="center"/>
            <w:hideMark/>
          </w:tcPr>
          <w:p w14:paraId="4D4A4F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159.1</w:t>
            </w:r>
          </w:p>
        </w:tc>
        <w:tc>
          <w:tcPr>
            <w:tcW w:w="599" w:type="dxa"/>
            <w:tcBorders>
              <w:top w:val="nil"/>
              <w:left w:val="nil"/>
              <w:bottom w:val="single" w:sz="8" w:space="0" w:color="DCDDDE"/>
              <w:right w:val="nil"/>
            </w:tcBorders>
            <w:shd w:val="clear" w:color="000000" w:fill="FFFFFF"/>
            <w:noWrap/>
            <w:vAlign w:val="center"/>
            <w:hideMark/>
          </w:tcPr>
          <w:p w14:paraId="36D8E91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146.6</w:t>
            </w:r>
          </w:p>
        </w:tc>
        <w:tc>
          <w:tcPr>
            <w:tcW w:w="599" w:type="dxa"/>
            <w:tcBorders>
              <w:top w:val="nil"/>
              <w:left w:val="nil"/>
              <w:bottom w:val="single" w:sz="8" w:space="0" w:color="DCDDDE"/>
              <w:right w:val="nil"/>
            </w:tcBorders>
            <w:shd w:val="clear" w:color="000000" w:fill="FFFFFF"/>
            <w:noWrap/>
            <w:vAlign w:val="center"/>
            <w:hideMark/>
          </w:tcPr>
          <w:p w14:paraId="3A741B4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134.0</w:t>
            </w:r>
          </w:p>
        </w:tc>
      </w:tr>
      <w:tr w:rsidR="00181744" w:rsidRPr="00181744" w14:paraId="77D17F8C"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169D483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99" w:type="dxa"/>
            <w:tcBorders>
              <w:top w:val="nil"/>
              <w:left w:val="nil"/>
              <w:bottom w:val="single" w:sz="8" w:space="0" w:color="DCDDDE"/>
              <w:right w:val="nil"/>
            </w:tcBorders>
            <w:shd w:val="clear" w:color="000000" w:fill="FFFFFF"/>
            <w:noWrap/>
            <w:vAlign w:val="center"/>
            <w:hideMark/>
          </w:tcPr>
          <w:p w14:paraId="2AE748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21.0</w:t>
            </w:r>
          </w:p>
        </w:tc>
        <w:tc>
          <w:tcPr>
            <w:tcW w:w="599" w:type="dxa"/>
            <w:tcBorders>
              <w:top w:val="nil"/>
              <w:left w:val="nil"/>
              <w:bottom w:val="single" w:sz="8" w:space="0" w:color="DCDDDE"/>
              <w:right w:val="nil"/>
            </w:tcBorders>
            <w:shd w:val="clear" w:color="000000" w:fill="FFFFFF"/>
            <w:noWrap/>
            <w:vAlign w:val="center"/>
            <w:hideMark/>
          </w:tcPr>
          <w:p w14:paraId="05C8F86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39.6</w:t>
            </w:r>
          </w:p>
        </w:tc>
        <w:tc>
          <w:tcPr>
            <w:tcW w:w="599" w:type="dxa"/>
            <w:tcBorders>
              <w:top w:val="nil"/>
              <w:left w:val="nil"/>
              <w:bottom w:val="single" w:sz="8" w:space="0" w:color="DCDDDE"/>
              <w:right w:val="nil"/>
            </w:tcBorders>
            <w:shd w:val="clear" w:color="000000" w:fill="FFFFFF"/>
            <w:noWrap/>
            <w:vAlign w:val="center"/>
            <w:hideMark/>
          </w:tcPr>
          <w:p w14:paraId="09EDA21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47.2</w:t>
            </w:r>
          </w:p>
        </w:tc>
        <w:tc>
          <w:tcPr>
            <w:tcW w:w="599" w:type="dxa"/>
            <w:tcBorders>
              <w:top w:val="nil"/>
              <w:left w:val="nil"/>
              <w:bottom w:val="single" w:sz="8" w:space="0" w:color="DCDDDE"/>
              <w:right w:val="nil"/>
            </w:tcBorders>
            <w:shd w:val="clear" w:color="000000" w:fill="FFFFFF"/>
            <w:noWrap/>
            <w:vAlign w:val="center"/>
            <w:hideMark/>
          </w:tcPr>
          <w:p w14:paraId="7C711C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55.2</w:t>
            </w:r>
          </w:p>
        </w:tc>
        <w:tc>
          <w:tcPr>
            <w:tcW w:w="599" w:type="dxa"/>
            <w:tcBorders>
              <w:top w:val="nil"/>
              <w:left w:val="nil"/>
              <w:bottom w:val="single" w:sz="8" w:space="0" w:color="DCDDDE"/>
              <w:right w:val="nil"/>
            </w:tcBorders>
            <w:shd w:val="clear" w:color="000000" w:fill="FFFFFF"/>
            <w:noWrap/>
            <w:vAlign w:val="center"/>
            <w:hideMark/>
          </w:tcPr>
          <w:p w14:paraId="1A6174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64.8</w:t>
            </w:r>
          </w:p>
        </w:tc>
        <w:tc>
          <w:tcPr>
            <w:tcW w:w="599" w:type="dxa"/>
            <w:tcBorders>
              <w:top w:val="nil"/>
              <w:left w:val="nil"/>
              <w:bottom w:val="single" w:sz="8" w:space="0" w:color="DCDDDE"/>
              <w:right w:val="nil"/>
            </w:tcBorders>
            <w:shd w:val="clear" w:color="000000" w:fill="FFFFFF"/>
            <w:noWrap/>
            <w:vAlign w:val="center"/>
            <w:hideMark/>
          </w:tcPr>
          <w:p w14:paraId="27C37CC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73.8</w:t>
            </w:r>
          </w:p>
        </w:tc>
        <w:tc>
          <w:tcPr>
            <w:tcW w:w="599" w:type="dxa"/>
            <w:tcBorders>
              <w:top w:val="nil"/>
              <w:left w:val="nil"/>
              <w:bottom w:val="single" w:sz="8" w:space="0" w:color="DCDDDE"/>
              <w:right w:val="nil"/>
            </w:tcBorders>
            <w:shd w:val="clear" w:color="000000" w:fill="FFFFFF"/>
            <w:noWrap/>
            <w:vAlign w:val="center"/>
            <w:hideMark/>
          </w:tcPr>
          <w:p w14:paraId="1196E50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90.6</w:t>
            </w:r>
          </w:p>
        </w:tc>
        <w:tc>
          <w:tcPr>
            <w:tcW w:w="599" w:type="dxa"/>
            <w:tcBorders>
              <w:top w:val="nil"/>
              <w:left w:val="nil"/>
              <w:bottom w:val="single" w:sz="8" w:space="0" w:color="DCDDDE"/>
              <w:right w:val="nil"/>
            </w:tcBorders>
            <w:shd w:val="clear" w:color="000000" w:fill="FFFFFF"/>
            <w:noWrap/>
            <w:vAlign w:val="center"/>
            <w:hideMark/>
          </w:tcPr>
          <w:p w14:paraId="64DC94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102.0</w:t>
            </w:r>
          </w:p>
        </w:tc>
        <w:tc>
          <w:tcPr>
            <w:tcW w:w="599" w:type="dxa"/>
            <w:tcBorders>
              <w:top w:val="nil"/>
              <w:left w:val="nil"/>
              <w:bottom w:val="single" w:sz="8" w:space="0" w:color="DCDDDE"/>
              <w:right w:val="nil"/>
            </w:tcBorders>
            <w:shd w:val="clear" w:color="000000" w:fill="FFFFFF"/>
            <w:noWrap/>
            <w:vAlign w:val="center"/>
            <w:hideMark/>
          </w:tcPr>
          <w:p w14:paraId="7D3BFE1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113.9</w:t>
            </w:r>
          </w:p>
        </w:tc>
        <w:tc>
          <w:tcPr>
            <w:tcW w:w="599" w:type="dxa"/>
            <w:tcBorders>
              <w:top w:val="nil"/>
              <w:left w:val="nil"/>
              <w:bottom w:val="single" w:sz="8" w:space="0" w:color="DCDDDE"/>
              <w:right w:val="nil"/>
            </w:tcBorders>
            <w:shd w:val="clear" w:color="000000" w:fill="FFFFFF"/>
            <w:noWrap/>
            <w:vAlign w:val="center"/>
            <w:hideMark/>
          </w:tcPr>
          <w:p w14:paraId="018F0D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127.0</w:t>
            </w:r>
          </w:p>
        </w:tc>
        <w:tc>
          <w:tcPr>
            <w:tcW w:w="599" w:type="dxa"/>
            <w:tcBorders>
              <w:top w:val="nil"/>
              <w:left w:val="nil"/>
              <w:bottom w:val="single" w:sz="8" w:space="0" w:color="DCDDDE"/>
              <w:right w:val="nil"/>
            </w:tcBorders>
            <w:shd w:val="clear" w:color="000000" w:fill="FFFFFF"/>
            <w:noWrap/>
            <w:vAlign w:val="center"/>
            <w:hideMark/>
          </w:tcPr>
          <w:p w14:paraId="680E3E8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141.2</w:t>
            </w:r>
          </w:p>
        </w:tc>
        <w:tc>
          <w:tcPr>
            <w:tcW w:w="599" w:type="dxa"/>
            <w:tcBorders>
              <w:top w:val="nil"/>
              <w:left w:val="nil"/>
              <w:bottom w:val="single" w:sz="8" w:space="0" w:color="DCDDDE"/>
              <w:right w:val="nil"/>
            </w:tcBorders>
            <w:shd w:val="clear" w:color="000000" w:fill="FFFFFF"/>
            <w:noWrap/>
            <w:vAlign w:val="center"/>
            <w:hideMark/>
          </w:tcPr>
          <w:p w14:paraId="0582D15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154.9</w:t>
            </w:r>
          </w:p>
        </w:tc>
        <w:tc>
          <w:tcPr>
            <w:tcW w:w="599" w:type="dxa"/>
            <w:tcBorders>
              <w:top w:val="nil"/>
              <w:left w:val="nil"/>
              <w:bottom w:val="single" w:sz="8" w:space="0" w:color="DCDDDE"/>
              <w:right w:val="nil"/>
            </w:tcBorders>
            <w:shd w:val="clear" w:color="000000" w:fill="FFFFFF"/>
            <w:noWrap/>
            <w:vAlign w:val="center"/>
            <w:hideMark/>
          </w:tcPr>
          <w:p w14:paraId="06A4B5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166.9</w:t>
            </w:r>
          </w:p>
        </w:tc>
      </w:tr>
      <w:tr w:rsidR="00181744" w:rsidRPr="00181744" w14:paraId="68A16475" w14:textId="77777777" w:rsidTr="00181744">
        <w:trPr>
          <w:gridAfter w:val="1"/>
          <w:wAfter w:w="13" w:type="dxa"/>
          <w:trHeight w:val="426"/>
        </w:trPr>
        <w:tc>
          <w:tcPr>
            <w:tcW w:w="1206" w:type="dxa"/>
            <w:tcBorders>
              <w:top w:val="nil"/>
              <w:left w:val="nil"/>
              <w:bottom w:val="single" w:sz="8" w:space="0" w:color="DCDDDE"/>
              <w:right w:val="nil"/>
            </w:tcBorders>
            <w:shd w:val="clear" w:color="000000" w:fill="FFFFFF"/>
            <w:vAlign w:val="center"/>
            <w:hideMark/>
          </w:tcPr>
          <w:p w14:paraId="3B17135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99" w:type="dxa"/>
            <w:tcBorders>
              <w:top w:val="nil"/>
              <w:left w:val="nil"/>
              <w:bottom w:val="single" w:sz="8" w:space="0" w:color="DCDDDE"/>
              <w:right w:val="nil"/>
            </w:tcBorders>
            <w:shd w:val="clear" w:color="000000" w:fill="FFFFFF"/>
            <w:noWrap/>
            <w:vAlign w:val="center"/>
            <w:hideMark/>
          </w:tcPr>
          <w:p w14:paraId="7F4E0FF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70C7D11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7.3</w:t>
            </w:r>
          </w:p>
        </w:tc>
        <w:tc>
          <w:tcPr>
            <w:tcW w:w="599" w:type="dxa"/>
            <w:tcBorders>
              <w:top w:val="nil"/>
              <w:left w:val="nil"/>
              <w:bottom w:val="single" w:sz="8" w:space="0" w:color="DCDDDE"/>
              <w:right w:val="nil"/>
            </w:tcBorders>
            <w:shd w:val="clear" w:color="000000" w:fill="FFFFFF"/>
            <w:noWrap/>
            <w:vAlign w:val="center"/>
            <w:hideMark/>
          </w:tcPr>
          <w:p w14:paraId="3CAC851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4179BB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7626DD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4C19AC0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FE8FBB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780E0C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4E0077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02F981C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8F55F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384C5DC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9" w:type="dxa"/>
            <w:tcBorders>
              <w:top w:val="nil"/>
              <w:left w:val="nil"/>
              <w:bottom w:val="single" w:sz="8" w:space="0" w:color="DCDDDE"/>
              <w:right w:val="nil"/>
            </w:tcBorders>
            <w:shd w:val="clear" w:color="000000" w:fill="FFFFFF"/>
            <w:noWrap/>
            <w:vAlign w:val="center"/>
            <w:hideMark/>
          </w:tcPr>
          <w:p w14:paraId="64B7576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r>
      <w:tr w:rsidR="00181744" w:rsidRPr="00181744" w14:paraId="6858CC05" w14:textId="77777777" w:rsidTr="00181744">
        <w:trPr>
          <w:gridAfter w:val="1"/>
          <w:wAfter w:w="13" w:type="dxa"/>
          <w:trHeight w:val="242"/>
        </w:trPr>
        <w:tc>
          <w:tcPr>
            <w:tcW w:w="1206" w:type="dxa"/>
            <w:tcBorders>
              <w:top w:val="nil"/>
              <w:left w:val="nil"/>
              <w:bottom w:val="single" w:sz="8" w:space="0" w:color="DCDDDE"/>
              <w:right w:val="nil"/>
            </w:tcBorders>
            <w:shd w:val="clear" w:color="000000" w:fill="FFFFFF"/>
            <w:vAlign w:val="center"/>
            <w:hideMark/>
          </w:tcPr>
          <w:p w14:paraId="1297CC6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99" w:type="dxa"/>
            <w:tcBorders>
              <w:top w:val="nil"/>
              <w:left w:val="nil"/>
              <w:bottom w:val="single" w:sz="8" w:space="0" w:color="DCDDDE"/>
              <w:right w:val="nil"/>
            </w:tcBorders>
            <w:shd w:val="clear" w:color="000000" w:fill="FFFFFF"/>
            <w:noWrap/>
            <w:vAlign w:val="center"/>
            <w:hideMark/>
          </w:tcPr>
          <w:p w14:paraId="6488399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276.4</w:t>
            </w:r>
          </w:p>
        </w:tc>
        <w:tc>
          <w:tcPr>
            <w:tcW w:w="599" w:type="dxa"/>
            <w:tcBorders>
              <w:top w:val="nil"/>
              <w:left w:val="nil"/>
              <w:bottom w:val="single" w:sz="8" w:space="0" w:color="DCDDDE"/>
              <w:right w:val="nil"/>
            </w:tcBorders>
            <w:shd w:val="clear" w:color="000000" w:fill="FFFFFF"/>
            <w:noWrap/>
            <w:vAlign w:val="center"/>
            <w:hideMark/>
          </w:tcPr>
          <w:p w14:paraId="59174BD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303.5</w:t>
            </w:r>
          </w:p>
        </w:tc>
        <w:tc>
          <w:tcPr>
            <w:tcW w:w="599" w:type="dxa"/>
            <w:tcBorders>
              <w:top w:val="nil"/>
              <w:left w:val="nil"/>
              <w:bottom w:val="single" w:sz="8" w:space="0" w:color="DCDDDE"/>
              <w:right w:val="nil"/>
            </w:tcBorders>
            <w:shd w:val="clear" w:color="000000" w:fill="FFFFFF"/>
            <w:noWrap/>
            <w:vAlign w:val="center"/>
            <w:hideMark/>
          </w:tcPr>
          <w:p w14:paraId="6DC4A6E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314.8</w:t>
            </w:r>
          </w:p>
        </w:tc>
        <w:tc>
          <w:tcPr>
            <w:tcW w:w="599" w:type="dxa"/>
            <w:tcBorders>
              <w:top w:val="nil"/>
              <w:left w:val="nil"/>
              <w:bottom w:val="single" w:sz="8" w:space="0" w:color="DCDDDE"/>
              <w:right w:val="nil"/>
            </w:tcBorders>
            <w:shd w:val="clear" w:color="000000" w:fill="FFFFFF"/>
            <w:noWrap/>
            <w:vAlign w:val="center"/>
            <w:hideMark/>
          </w:tcPr>
          <w:p w14:paraId="2C44EB0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342.7</w:t>
            </w:r>
          </w:p>
        </w:tc>
        <w:tc>
          <w:tcPr>
            <w:tcW w:w="599" w:type="dxa"/>
            <w:tcBorders>
              <w:top w:val="nil"/>
              <w:left w:val="nil"/>
              <w:bottom w:val="single" w:sz="8" w:space="0" w:color="DCDDDE"/>
              <w:right w:val="nil"/>
            </w:tcBorders>
            <w:shd w:val="clear" w:color="000000" w:fill="FFFFFF"/>
            <w:noWrap/>
            <w:vAlign w:val="center"/>
            <w:hideMark/>
          </w:tcPr>
          <w:p w14:paraId="6AF93B0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352.0</w:t>
            </w:r>
          </w:p>
        </w:tc>
        <w:tc>
          <w:tcPr>
            <w:tcW w:w="599" w:type="dxa"/>
            <w:tcBorders>
              <w:top w:val="nil"/>
              <w:left w:val="nil"/>
              <w:bottom w:val="single" w:sz="8" w:space="0" w:color="DCDDDE"/>
              <w:right w:val="nil"/>
            </w:tcBorders>
            <w:shd w:val="clear" w:color="000000" w:fill="FFFFFF"/>
            <w:noWrap/>
            <w:vAlign w:val="center"/>
            <w:hideMark/>
          </w:tcPr>
          <w:p w14:paraId="765AE41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378.5</w:t>
            </w:r>
          </w:p>
        </w:tc>
        <w:tc>
          <w:tcPr>
            <w:tcW w:w="599" w:type="dxa"/>
            <w:tcBorders>
              <w:top w:val="nil"/>
              <w:left w:val="nil"/>
              <w:bottom w:val="single" w:sz="8" w:space="0" w:color="DCDDDE"/>
              <w:right w:val="nil"/>
            </w:tcBorders>
            <w:shd w:val="clear" w:color="000000" w:fill="FFFFFF"/>
            <w:noWrap/>
            <w:vAlign w:val="center"/>
            <w:hideMark/>
          </w:tcPr>
          <w:p w14:paraId="17EE4BE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393.3</w:t>
            </w:r>
          </w:p>
        </w:tc>
        <w:tc>
          <w:tcPr>
            <w:tcW w:w="599" w:type="dxa"/>
            <w:tcBorders>
              <w:top w:val="nil"/>
              <w:left w:val="nil"/>
              <w:bottom w:val="single" w:sz="8" w:space="0" w:color="DCDDDE"/>
              <w:right w:val="nil"/>
            </w:tcBorders>
            <w:shd w:val="clear" w:color="000000" w:fill="FFFFFF"/>
            <w:noWrap/>
            <w:vAlign w:val="center"/>
            <w:hideMark/>
          </w:tcPr>
          <w:p w14:paraId="2BE2EA9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402.6</w:t>
            </w:r>
          </w:p>
        </w:tc>
        <w:tc>
          <w:tcPr>
            <w:tcW w:w="599" w:type="dxa"/>
            <w:tcBorders>
              <w:top w:val="nil"/>
              <w:left w:val="nil"/>
              <w:bottom w:val="single" w:sz="8" w:space="0" w:color="DCDDDE"/>
              <w:right w:val="nil"/>
            </w:tcBorders>
            <w:shd w:val="clear" w:color="000000" w:fill="FFFFFF"/>
            <w:noWrap/>
            <w:vAlign w:val="center"/>
            <w:hideMark/>
          </w:tcPr>
          <w:p w14:paraId="3B4F28A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408.1</w:t>
            </w:r>
          </w:p>
        </w:tc>
        <w:tc>
          <w:tcPr>
            <w:tcW w:w="599" w:type="dxa"/>
            <w:tcBorders>
              <w:top w:val="nil"/>
              <w:left w:val="nil"/>
              <w:bottom w:val="single" w:sz="8" w:space="0" w:color="DCDDDE"/>
              <w:right w:val="nil"/>
            </w:tcBorders>
            <w:shd w:val="clear" w:color="000000" w:fill="FFFFFF"/>
            <w:noWrap/>
            <w:vAlign w:val="center"/>
            <w:hideMark/>
          </w:tcPr>
          <w:p w14:paraId="66D7818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417.7</w:t>
            </w:r>
          </w:p>
        </w:tc>
        <w:tc>
          <w:tcPr>
            <w:tcW w:w="599" w:type="dxa"/>
            <w:tcBorders>
              <w:top w:val="nil"/>
              <w:left w:val="nil"/>
              <w:bottom w:val="single" w:sz="8" w:space="0" w:color="DCDDDE"/>
              <w:right w:val="nil"/>
            </w:tcBorders>
            <w:shd w:val="clear" w:color="000000" w:fill="FFFFFF"/>
            <w:noWrap/>
            <w:vAlign w:val="center"/>
            <w:hideMark/>
          </w:tcPr>
          <w:p w14:paraId="749129B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421.6</w:t>
            </w:r>
          </w:p>
        </w:tc>
        <w:tc>
          <w:tcPr>
            <w:tcW w:w="599" w:type="dxa"/>
            <w:tcBorders>
              <w:top w:val="nil"/>
              <w:left w:val="nil"/>
              <w:bottom w:val="single" w:sz="8" w:space="0" w:color="DCDDDE"/>
              <w:right w:val="nil"/>
            </w:tcBorders>
            <w:shd w:val="clear" w:color="000000" w:fill="FFFFFF"/>
            <w:noWrap/>
            <w:vAlign w:val="center"/>
            <w:hideMark/>
          </w:tcPr>
          <w:p w14:paraId="7FF9BC6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421.5</w:t>
            </w:r>
          </w:p>
        </w:tc>
        <w:tc>
          <w:tcPr>
            <w:tcW w:w="599" w:type="dxa"/>
            <w:tcBorders>
              <w:top w:val="nil"/>
              <w:left w:val="nil"/>
              <w:bottom w:val="single" w:sz="8" w:space="0" w:color="DCDDDE"/>
              <w:right w:val="nil"/>
            </w:tcBorders>
            <w:shd w:val="clear" w:color="000000" w:fill="FFFFFF"/>
            <w:noWrap/>
            <w:vAlign w:val="center"/>
            <w:hideMark/>
          </w:tcPr>
          <w:p w14:paraId="2ABE79F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418.7</w:t>
            </w:r>
          </w:p>
        </w:tc>
      </w:tr>
    </w:tbl>
    <w:p w14:paraId="3197C1DF" w14:textId="77777777" w:rsidR="00D823AE" w:rsidRDefault="00D823AE" w:rsidP="00D823AE"/>
    <w:p w14:paraId="25F54AA0" w14:textId="77777777" w:rsidR="00181744" w:rsidRDefault="00181744" w:rsidP="00D823AE"/>
    <w:p w14:paraId="4E3CA1F5" w14:textId="77777777" w:rsidR="00D823AE" w:rsidRDefault="00D823AE" w:rsidP="00D823AE">
      <w:pPr>
        <w:pStyle w:val="Caption"/>
      </w:pPr>
      <w:bookmarkStart w:id="1122" w:name="_Toc485125637"/>
      <w:r w:rsidRPr="00122CD3">
        <w:lastRenderedPageBreak/>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8</w:t>
      </w:r>
      <w:r w:rsidR="00272F76">
        <w:rPr>
          <w:noProof/>
        </w:rPr>
        <w:fldChar w:fldCharType="end"/>
      </w:r>
      <w:r w:rsidRPr="006F2DA9">
        <w:t xml:space="preserve">. </w:t>
      </w:r>
      <w:r>
        <w:t>SDG&amp;E Demand Savings</w:t>
      </w:r>
      <w:bookmarkEnd w:id="1122"/>
    </w:p>
    <w:tbl>
      <w:tblPr>
        <w:tblW w:w="8745" w:type="dxa"/>
        <w:tblLook w:val="04A0" w:firstRow="1" w:lastRow="0" w:firstColumn="1" w:lastColumn="0" w:noHBand="0" w:noVBand="1"/>
      </w:tblPr>
      <w:tblGrid>
        <w:gridCol w:w="1154"/>
        <w:gridCol w:w="545"/>
        <w:gridCol w:w="545"/>
        <w:gridCol w:w="545"/>
        <w:gridCol w:w="595"/>
        <w:gridCol w:w="595"/>
        <w:gridCol w:w="595"/>
        <w:gridCol w:w="595"/>
        <w:gridCol w:w="595"/>
        <w:gridCol w:w="595"/>
        <w:gridCol w:w="595"/>
        <w:gridCol w:w="595"/>
        <w:gridCol w:w="595"/>
        <w:gridCol w:w="595"/>
        <w:gridCol w:w="6"/>
      </w:tblGrid>
      <w:tr w:rsidR="00181744" w:rsidRPr="00181744" w14:paraId="28AF5601" w14:textId="77777777" w:rsidTr="00181744">
        <w:trPr>
          <w:trHeight w:val="280"/>
        </w:trPr>
        <w:tc>
          <w:tcPr>
            <w:tcW w:w="8745" w:type="dxa"/>
            <w:gridSpan w:val="15"/>
            <w:tcBorders>
              <w:top w:val="nil"/>
              <w:left w:val="nil"/>
              <w:bottom w:val="single" w:sz="12" w:space="0" w:color="95D600"/>
              <w:right w:val="nil"/>
            </w:tcBorders>
            <w:shd w:val="clear" w:color="000000" w:fill="555759"/>
            <w:noWrap/>
            <w:vAlign w:val="center"/>
            <w:hideMark/>
          </w:tcPr>
          <w:p w14:paraId="071E18F0" w14:textId="77777777" w:rsidR="00181744" w:rsidRPr="00181744" w:rsidRDefault="00181744">
            <w:pPr>
              <w:spacing w:line="240" w:lineRule="auto"/>
              <w:jc w:val="center"/>
              <w:rPr>
                <w:rFonts w:ascii="Arial Narrow" w:hAnsi="Arial Narrow"/>
                <w:b/>
                <w:bCs/>
                <w:color w:val="FFFFFF"/>
                <w:sz w:val="18"/>
                <w:szCs w:val="18"/>
              </w:rPr>
            </w:pPr>
            <w:r w:rsidRPr="00181744">
              <w:rPr>
                <w:rFonts w:ascii="Arial Narrow" w:hAnsi="Arial Narrow"/>
                <w:b/>
                <w:bCs/>
                <w:color w:val="FFFFFF"/>
                <w:sz w:val="18"/>
                <w:szCs w:val="18"/>
              </w:rPr>
              <w:t>Electric Demand (MW)</w:t>
            </w:r>
          </w:p>
        </w:tc>
      </w:tr>
      <w:tr w:rsidR="00181744" w:rsidRPr="00181744" w14:paraId="3FEAD8B7" w14:textId="77777777" w:rsidTr="00181744">
        <w:trPr>
          <w:gridAfter w:val="1"/>
          <w:wAfter w:w="10" w:type="dxa"/>
          <w:trHeight w:val="294"/>
        </w:trPr>
        <w:tc>
          <w:tcPr>
            <w:tcW w:w="1177" w:type="dxa"/>
            <w:tcBorders>
              <w:top w:val="nil"/>
              <w:left w:val="nil"/>
              <w:bottom w:val="single" w:sz="8" w:space="0" w:color="DCDDDE"/>
              <w:right w:val="nil"/>
            </w:tcBorders>
            <w:shd w:val="clear" w:color="auto" w:fill="auto"/>
            <w:vAlign w:val="center"/>
            <w:hideMark/>
          </w:tcPr>
          <w:p w14:paraId="69831B4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536" w:type="dxa"/>
            <w:tcBorders>
              <w:top w:val="nil"/>
              <w:left w:val="nil"/>
              <w:bottom w:val="single" w:sz="8" w:space="0" w:color="DCDDDE"/>
              <w:right w:val="nil"/>
            </w:tcBorders>
            <w:shd w:val="clear" w:color="auto" w:fill="auto"/>
            <w:noWrap/>
            <w:vAlign w:val="center"/>
            <w:hideMark/>
          </w:tcPr>
          <w:p w14:paraId="65BA9ED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536" w:type="dxa"/>
            <w:tcBorders>
              <w:top w:val="nil"/>
              <w:left w:val="nil"/>
              <w:bottom w:val="single" w:sz="8" w:space="0" w:color="DCDDDE"/>
              <w:right w:val="nil"/>
            </w:tcBorders>
            <w:shd w:val="clear" w:color="auto" w:fill="auto"/>
            <w:noWrap/>
            <w:vAlign w:val="center"/>
            <w:hideMark/>
          </w:tcPr>
          <w:p w14:paraId="436C06A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536" w:type="dxa"/>
            <w:tcBorders>
              <w:top w:val="nil"/>
              <w:left w:val="nil"/>
              <w:bottom w:val="single" w:sz="8" w:space="0" w:color="DCDDDE"/>
              <w:right w:val="nil"/>
            </w:tcBorders>
            <w:shd w:val="clear" w:color="auto" w:fill="auto"/>
            <w:noWrap/>
            <w:vAlign w:val="center"/>
            <w:hideMark/>
          </w:tcPr>
          <w:p w14:paraId="2248142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595" w:type="dxa"/>
            <w:tcBorders>
              <w:top w:val="nil"/>
              <w:left w:val="nil"/>
              <w:bottom w:val="single" w:sz="8" w:space="0" w:color="DCDDDE"/>
              <w:right w:val="nil"/>
            </w:tcBorders>
            <w:shd w:val="clear" w:color="auto" w:fill="auto"/>
            <w:noWrap/>
            <w:vAlign w:val="center"/>
            <w:hideMark/>
          </w:tcPr>
          <w:p w14:paraId="4238F93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595" w:type="dxa"/>
            <w:tcBorders>
              <w:top w:val="nil"/>
              <w:left w:val="nil"/>
              <w:bottom w:val="single" w:sz="8" w:space="0" w:color="DCDDDE"/>
              <w:right w:val="nil"/>
            </w:tcBorders>
            <w:shd w:val="clear" w:color="auto" w:fill="auto"/>
            <w:noWrap/>
            <w:vAlign w:val="center"/>
            <w:hideMark/>
          </w:tcPr>
          <w:p w14:paraId="1EBCF0B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595" w:type="dxa"/>
            <w:tcBorders>
              <w:top w:val="nil"/>
              <w:left w:val="nil"/>
              <w:bottom w:val="single" w:sz="8" w:space="0" w:color="DCDDDE"/>
              <w:right w:val="nil"/>
            </w:tcBorders>
            <w:shd w:val="clear" w:color="auto" w:fill="auto"/>
            <w:noWrap/>
            <w:vAlign w:val="center"/>
            <w:hideMark/>
          </w:tcPr>
          <w:p w14:paraId="516C935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595" w:type="dxa"/>
            <w:tcBorders>
              <w:top w:val="nil"/>
              <w:left w:val="nil"/>
              <w:bottom w:val="single" w:sz="8" w:space="0" w:color="DCDDDE"/>
              <w:right w:val="nil"/>
            </w:tcBorders>
            <w:shd w:val="clear" w:color="auto" w:fill="auto"/>
            <w:noWrap/>
            <w:vAlign w:val="center"/>
            <w:hideMark/>
          </w:tcPr>
          <w:p w14:paraId="4D5D8D8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595" w:type="dxa"/>
            <w:tcBorders>
              <w:top w:val="nil"/>
              <w:left w:val="nil"/>
              <w:bottom w:val="single" w:sz="8" w:space="0" w:color="DCDDDE"/>
              <w:right w:val="nil"/>
            </w:tcBorders>
            <w:shd w:val="clear" w:color="auto" w:fill="auto"/>
            <w:noWrap/>
            <w:vAlign w:val="center"/>
            <w:hideMark/>
          </w:tcPr>
          <w:p w14:paraId="190A755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595" w:type="dxa"/>
            <w:tcBorders>
              <w:top w:val="nil"/>
              <w:left w:val="nil"/>
              <w:bottom w:val="single" w:sz="8" w:space="0" w:color="DCDDDE"/>
              <w:right w:val="nil"/>
            </w:tcBorders>
            <w:shd w:val="clear" w:color="auto" w:fill="auto"/>
            <w:noWrap/>
            <w:vAlign w:val="center"/>
            <w:hideMark/>
          </w:tcPr>
          <w:p w14:paraId="41445E8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595" w:type="dxa"/>
            <w:tcBorders>
              <w:top w:val="nil"/>
              <w:left w:val="nil"/>
              <w:bottom w:val="single" w:sz="8" w:space="0" w:color="DCDDDE"/>
              <w:right w:val="nil"/>
            </w:tcBorders>
            <w:shd w:val="clear" w:color="auto" w:fill="auto"/>
            <w:noWrap/>
            <w:vAlign w:val="center"/>
            <w:hideMark/>
          </w:tcPr>
          <w:p w14:paraId="76EB254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595" w:type="dxa"/>
            <w:tcBorders>
              <w:top w:val="nil"/>
              <w:left w:val="nil"/>
              <w:bottom w:val="single" w:sz="8" w:space="0" w:color="DCDDDE"/>
              <w:right w:val="nil"/>
            </w:tcBorders>
            <w:shd w:val="clear" w:color="auto" w:fill="auto"/>
            <w:noWrap/>
            <w:vAlign w:val="center"/>
            <w:hideMark/>
          </w:tcPr>
          <w:p w14:paraId="3602E70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595" w:type="dxa"/>
            <w:tcBorders>
              <w:top w:val="nil"/>
              <w:left w:val="nil"/>
              <w:bottom w:val="single" w:sz="8" w:space="0" w:color="DCDDDE"/>
              <w:right w:val="nil"/>
            </w:tcBorders>
            <w:shd w:val="clear" w:color="auto" w:fill="auto"/>
            <w:noWrap/>
            <w:vAlign w:val="center"/>
            <w:hideMark/>
          </w:tcPr>
          <w:p w14:paraId="286581F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595" w:type="dxa"/>
            <w:tcBorders>
              <w:top w:val="nil"/>
              <w:left w:val="nil"/>
              <w:bottom w:val="single" w:sz="8" w:space="0" w:color="DCDDDE"/>
              <w:right w:val="nil"/>
            </w:tcBorders>
            <w:shd w:val="clear" w:color="auto" w:fill="auto"/>
            <w:noWrap/>
            <w:vAlign w:val="center"/>
            <w:hideMark/>
          </w:tcPr>
          <w:p w14:paraId="5937775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181744" w:rsidRPr="00181744" w14:paraId="2DF6EA92" w14:textId="77777777" w:rsidTr="00181744">
        <w:trPr>
          <w:trHeight w:val="280"/>
        </w:trPr>
        <w:tc>
          <w:tcPr>
            <w:tcW w:w="8745" w:type="dxa"/>
            <w:gridSpan w:val="15"/>
            <w:tcBorders>
              <w:top w:val="single" w:sz="8" w:space="0" w:color="DCDDDE"/>
              <w:left w:val="nil"/>
              <w:bottom w:val="single" w:sz="8" w:space="0" w:color="DCDDDE"/>
              <w:right w:val="nil"/>
            </w:tcBorders>
            <w:shd w:val="clear" w:color="000000" w:fill="DADADA"/>
            <w:noWrap/>
            <w:vAlign w:val="center"/>
            <w:hideMark/>
          </w:tcPr>
          <w:p w14:paraId="2F88CB9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181744" w:rsidRPr="00181744" w14:paraId="0F9556DE"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7491BBE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36" w:type="dxa"/>
            <w:tcBorders>
              <w:top w:val="nil"/>
              <w:left w:val="nil"/>
              <w:bottom w:val="single" w:sz="8" w:space="0" w:color="DCDDDE"/>
              <w:right w:val="nil"/>
            </w:tcBorders>
            <w:shd w:val="clear" w:color="000000" w:fill="FFFFFF"/>
            <w:noWrap/>
            <w:vAlign w:val="center"/>
            <w:hideMark/>
          </w:tcPr>
          <w:p w14:paraId="15E2771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9.2</w:t>
            </w:r>
          </w:p>
        </w:tc>
        <w:tc>
          <w:tcPr>
            <w:tcW w:w="536" w:type="dxa"/>
            <w:tcBorders>
              <w:top w:val="nil"/>
              <w:left w:val="nil"/>
              <w:bottom w:val="single" w:sz="8" w:space="0" w:color="DCDDDE"/>
              <w:right w:val="nil"/>
            </w:tcBorders>
            <w:shd w:val="clear" w:color="000000" w:fill="FFFFFF"/>
            <w:noWrap/>
            <w:vAlign w:val="center"/>
            <w:hideMark/>
          </w:tcPr>
          <w:p w14:paraId="2BFF960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10.1</w:t>
            </w:r>
          </w:p>
        </w:tc>
        <w:tc>
          <w:tcPr>
            <w:tcW w:w="536" w:type="dxa"/>
            <w:tcBorders>
              <w:top w:val="nil"/>
              <w:left w:val="nil"/>
              <w:bottom w:val="single" w:sz="8" w:space="0" w:color="DCDDDE"/>
              <w:right w:val="nil"/>
            </w:tcBorders>
            <w:shd w:val="clear" w:color="000000" w:fill="FFFFFF"/>
            <w:noWrap/>
            <w:vAlign w:val="center"/>
            <w:hideMark/>
          </w:tcPr>
          <w:p w14:paraId="072B813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9.9</w:t>
            </w:r>
          </w:p>
        </w:tc>
        <w:tc>
          <w:tcPr>
            <w:tcW w:w="595" w:type="dxa"/>
            <w:tcBorders>
              <w:top w:val="nil"/>
              <w:left w:val="nil"/>
              <w:bottom w:val="single" w:sz="8" w:space="0" w:color="DCDDDE"/>
              <w:right w:val="nil"/>
            </w:tcBorders>
            <w:shd w:val="clear" w:color="000000" w:fill="FFFFFF"/>
            <w:noWrap/>
            <w:vAlign w:val="center"/>
            <w:hideMark/>
          </w:tcPr>
          <w:p w14:paraId="2B0983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11.2</w:t>
            </w:r>
          </w:p>
        </w:tc>
        <w:tc>
          <w:tcPr>
            <w:tcW w:w="595" w:type="dxa"/>
            <w:tcBorders>
              <w:top w:val="nil"/>
              <w:left w:val="nil"/>
              <w:bottom w:val="single" w:sz="8" w:space="0" w:color="DCDDDE"/>
              <w:right w:val="nil"/>
            </w:tcBorders>
            <w:shd w:val="clear" w:color="000000" w:fill="FFFFFF"/>
            <w:noWrap/>
            <w:vAlign w:val="center"/>
            <w:hideMark/>
          </w:tcPr>
          <w:p w14:paraId="2705F7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12.0</w:t>
            </w:r>
          </w:p>
        </w:tc>
        <w:tc>
          <w:tcPr>
            <w:tcW w:w="595" w:type="dxa"/>
            <w:tcBorders>
              <w:top w:val="nil"/>
              <w:left w:val="nil"/>
              <w:bottom w:val="single" w:sz="8" w:space="0" w:color="DCDDDE"/>
              <w:right w:val="nil"/>
            </w:tcBorders>
            <w:shd w:val="clear" w:color="000000" w:fill="FFFFFF"/>
            <w:noWrap/>
            <w:vAlign w:val="center"/>
            <w:hideMark/>
          </w:tcPr>
          <w:p w14:paraId="2AFD5F9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13.4</w:t>
            </w:r>
          </w:p>
        </w:tc>
        <w:tc>
          <w:tcPr>
            <w:tcW w:w="595" w:type="dxa"/>
            <w:tcBorders>
              <w:top w:val="nil"/>
              <w:left w:val="nil"/>
              <w:bottom w:val="single" w:sz="8" w:space="0" w:color="DCDDDE"/>
              <w:right w:val="nil"/>
            </w:tcBorders>
            <w:shd w:val="clear" w:color="000000" w:fill="FFFFFF"/>
            <w:noWrap/>
            <w:vAlign w:val="center"/>
            <w:hideMark/>
          </w:tcPr>
          <w:p w14:paraId="554895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14.7</w:t>
            </w:r>
          </w:p>
        </w:tc>
        <w:tc>
          <w:tcPr>
            <w:tcW w:w="595" w:type="dxa"/>
            <w:tcBorders>
              <w:top w:val="nil"/>
              <w:left w:val="nil"/>
              <w:bottom w:val="single" w:sz="8" w:space="0" w:color="DCDDDE"/>
              <w:right w:val="nil"/>
            </w:tcBorders>
            <w:shd w:val="clear" w:color="000000" w:fill="FFFFFF"/>
            <w:noWrap/>
            <w:vAlign w:val="center"/>
            <w:hideMark/>
          </w:tcPr>
          <w:p w14:paraId="5CA67AB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16.0</w:t>
            </w:r>
          </w:p>
        </w:tc>
        <w:tc>
          <w:tcPr>
            <w:tcW w:w="595" w:type="dxa"/>
            <w:tcBorders>
              <w:top w:val="nil"/>
              <w:left w:val="nil"/>
              <w:bottom w:val="single" w:sz="8" w:space="0" w:color="DCDDDE"/>
              <w:right w:val="nil"/>
            </w:tcBorders>
            <w:shd w:val="clear" w:color="000000" w:fill="FFFFFF"/>
            <w:noWrap/>
            <w:vAlign w:val="center"/>
            <w:hideMark/>
          </w:tcPr>
          <w:p w14:paraId="79BE71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16.8</w:t>
            </w:r>
          </w:p>
        </w:tc>
        <w:tc>
          <w:tcPr>
            <w:tcW w:w="595" w:type="dxa"/>
            <w:tcBorders>
              <w:top w:val="nil"/>
              <w:left w:val="nil"/>
              <w:bottom w:val="single" w:sz="8" w:space="0" w:color="DCDDDE"/>
              <w:right w:val="nil"/>
            </w:tcBorders>
            <w:shd w:val="clear" w:color="000000" w:fill="FFFFFF"/>
            <w:noWrap/>
            <w:vAlign w:val="center"/>
            <w:hideMark/>
          </w:tcPr>
          <w:p w14:paraId="1A0CB6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17.2</w:t>
            </w:r>
          </w:p>
        </w:tc>
        <w:tc>
          <w:tcPr>
            <w:tcW w:w="595" w:type="dxa"/>
            <w:tcBorders>
              <w:top w:val="nil"/>
              <w:left w:val="nil"/>
              <w:bottom w:val="single" w:sz="8" w:space="0" w:color="DCDDDE"/>
              <w:right w:val="nil"/>
            </w:tcBorders>
            <w:shd w:val="clear" w:color="000000" w:fill="FFFFFF"/>
            <w:noWrap/>
            <w:vAlign w:val="center"/>
            <w:hideMark/>
          </w:tcPr>
          <w:p w14:paraId="74CF2E4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17.6</w:t>
            </w:r>
          </w:p>
        </w:tc>
        <w:tc>
          <w:tcPr>
            <w:tcW w:w="595" w:type="dxa"/>
            <w:tcBorders>
              <w:top w:val="nil"/>
              <w:left w:val="nil"/>
              <w:bottom w:val="single" w:sz="8" w:space="0" w:color="DCDDDE"/>
              <w:right w:val="nil"/>
            </w:tcBorders>
            <w:shd w:val="clear" w:color="000000" w:fill="FFFFFF"/>
            <w:noWrap/>
            <w:vAlign w:val="center"/>
            <w:hideMark/>
          </w:tcPr>
          <w:p w14:paraId="4B2FEB6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w:t>
            </w:r>
          </w:p>
        </w:tc>
        <w:tc>
          <w:tcPr>
            <w:tcW w:w="595" w:type="dxa"/>
            <w:tcBorders>
              <w:top w:val="nil"/>
              <w:left w:val="nil"/>
              <w:bottom w:val="single" w:sz="8" w:space="0" w:color="DCDDDE"/>
              <w:right w:val="nil"/>
            </w:tcBorders>
            <w:shd w:val="clear" w:color="000000" w:fill="FFFFFF"/>
            <w:noWrap/>
            <w:vAlign w:val="center"/>
            <w:hideMark/>
          </w:tcPr>
          <w:p w14:paraId="0867C2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17.5</w:t>
            </w:r>
          </w:p>
        </w:tc>
      </w:tr>
      <w:tr w:rsidR="00181744" w:rsidRPr="00181744" w14:paraId="65EE80E4"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6F324F2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36" w:type="dxa"/>
            <w:tcBorders>
              <w:top w:val="nil"/>
              <w:left w:val="nil"/>
              <w:bottom w:val="single" w:sz="8" w:space="0" w:color="DCDDDE"/>
              <w:right w:val="nil"/>
            </w:tcBorders>
            <w:shd w:val="clear" w:color="000000" w:fill="FFFFFF"/>
            <w:noWrap/>
            <w:vAlign w:val="center"/>
            <w:hideMark/>
          </w:tcPr>
          <w:p w14:paraId="7813501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42.3</w:t>
            </w:r>
          </w:p>
        </w:tc>
        <w:tc>
          <w:tcPr>
            <w:tcW w:w="536" w:type="dxa"/>
            <w:tcBorders>
              <w:top w:val="nil"/>
              <w:left w:val="nil"/>
              <w:bottom w:val="single" w:sz="8" w:space="0" w:color="DCDDDE"/>
              <w:right w:val="nil"/>
            </w:tcBorders>
            <w:shd w:val="clear" w:color="000000" w:fill="FFFFFF"/>
            <w:noWrap/>
            <w:vAlign w:val="center"/>
            <w:hideMark/>
          </w:tcPr>
          <w:p w14:paraId="17F4D3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42.6</w:t>
            </w:r>
          </w:p>
        </w:tc>
        <w:tc>
          <w:tcPr>
            <w:tcW w:w="536" w:type="dxa"/>
            <w:tcBorders>
              <w:top w:val="nil"/>
              <w:left w:val="nil"/>
              <w:bottom w:val="single" w:sz="8" w:space="0" w:color="DCDDDE"/>
              <w:right w:val="nil"/>
            </w:tcBorders>
            <w:shd w:val="clear" w:color="000000" w:fill="FFFFFF"/>
            <w:noWrap/>
            <w:vAlign w:val="center"/>
            <w:hideMark/>
          </w:tcPr>
          <w:p w14:paraId="2661EE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50.1</w:t>
            </w:r>
          </w:p>
        </w:tc>
        <w:tc>
          <w:tcPr>
            <w:tcW w:w="595" w:type="dxa"/>
            <w:tcBorders>
              <w:top w:val="nil"/>
              <w:left w:val="nil"/>
              <w:bottom w:val="single" w:sz="8" w:space="0" w:color="DCDDDE"/>
              <w:right w:val="nil"/>
            </w:tcBorders>
            <w:shd w:val="clear" w:color="000000" w:fill="FFFFFF"/>
            <w:noWrap/>
            <w:vAlign w:val="center"/>
            <w:hideMark/>
          </w:tcPr>
          <w:p w14:paraId="15F53BF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61.1</w:t>
            </w:r>
          </w:p>
        </w:tc>
        <w:tc>
          <w:tcPr>
            <w:tcW w:w="595" w:type="dxa"/>
            <w:tcBorders>
              <w:top w:val="nil"/>
              <w:left w:val="nil"/>
              <w:bottom w:val="single" w:sz="8" w:space="0" w:color="DCDDDE"/>
              <w:right w:val="nil"/>
            </w:tcBorders>
            <w:shd w:val="clear" w:color="000000" w:fill="FFFFFF"/>
            <w:noWrap/>
            <w:vAlign w:val="center"/>
            <w:hideMark/>
          </w:tcPr>
          <w:p w14:paraId="7C0945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60.5</w:t>
            </w:r>
          </w:p>
        </w:tc>
        <w:tc>
          <w:tcPr>
            <w:tcW w:w="595" w:type="dxa"/>
            <w:tcBorders>
              <w:top w:val="nil"/>
              <w:left w:val="nil"/>
              <w:bottom w:val="single" w:sz="8" w:space="0" w:color="DCDDDE"/>
              <w:right w:val="nil"/>
            </w:tcBorders>
            <w:shd w:val="clear" w:color="000000" w:fill="FFFFFF"/>
            <w:noWrap/>
            <w:vAlign w:val="center"/>
            <w:hideMark/>
          </w:tcPr>
          <w:p w14:paraId="0AB355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69.3</w:t>
            </w:r>
          </w:p>
        </w:tc>
        <w:tc>
          <w:tcPr>
            <w:tcW w:w="595" w:type="dxa"/>
            <w:tcBorders>
              <w:top w:val="nil"/>
              <w:left w:val="nil"/>
              <w:bottom w:val="single" w:sz="8" w:space="0" w:color="DCDDDE"/>
              <w:right w:val="nil"/>
            </w:tcBorders>
            <w:shd w:val="clear" w:color="000000" w:fill="FFFFFF"/>
            <w:noWrap/>
            <w:vAlign w:val="center"/>
            <w:hideMark/>
          </w:tcPr>
          <w:p w14:paraId="1CD6F1B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67.7</w:t>
            </w:r>
          </w:p>
        </w:tc>
        <w:tc>
          <w:tcPr>
            <w:tcW w:w="595" w:type="dxa"/>
            <w:tcBorders>
              <w:top w:val="nil"/>
              <w:left w:val="nil"/>
              <w:bottom w:val="single" w:sz="8" w:space="0" w:color="DCDDDE"/>
              <w:right w:val="nil"/>
            </w:tcBorders>
            <w:shd w:val="clear" w:color="000000" w:fill="FFFFFF"/>
            <w:noWrap/>
            <w:vAlign w:val="center"/>
            <w:hideMark/>
          </w:tcPr>
          <w:p w14:paraId="7D03E1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66.7</w:t>
            </w:r>
          </w:p>
        </w:tc>
        <w:tc>
          <w:tcPr>
            <w:tcW w:w="595" w:type="dxa"/>
            <w:tcBorders>
              <w:top w:val="nil"/>
              <w:left w:val="nil"/>
              <w:bottom w:val="single" w:sz="8" w:space="0" w:color="DCDDDE"/>
              <w:right w:val="nil"/>
            </w:tcBorders>
            <w:shd w:val="clear" w:color="000000" w:fill="FFFFFF"/>
            <w:noWrap/>
            <w:vAlign w:val="center"/>
            <w:hideMark/>
          </w:tcPr>
          <w:p w14:paraId="18FF49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65.2</w:t>
            </w:r>
          </w:p>
        </w:tc>
        <w:tc>
          <w:tcPr>
            <w:tcW w:w="595" w:type="dxa"/>
            <w:tcBorders>
              <w:top w:val="nil"/>
              <w:left w:val="nil"/>
              <w:bottom w:val="single" w:sz="8" w:space="0" w:color="DCDDDE"/>
              <w:right w:val="nil"/>
            </w:tcBorders>
            <w:shd w:val="clear" w:color="000000" w:fill="FFFFFF"/>
            <w:noWrap/>
            <w:vAlign w:val="center"/>
            <w:hideMark/>
          </w:tcPr>
          <w:p w14:paraId="14A9AB0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64.4</w:t>
            </w:r>
          </w:p>
        </w:tc>
        <w:tc>
          <w:tcPr>
            <w:tcW w:w="595" w:type="dxa"/>
            <w:tcBorders>
              <w:top w:val="nil"/>
              <w:left w:val="nil"/>
              <w:bottom w:val="single" w:sz="8" w:space="0" w:color="DCDDDE"/>
              <w:right w:val="nil"/>
            </w:tcBorders>
            <w:shd w:val="clear" w:color="000000" w:fill="FFFFFF"/>
            <w:noWrap/>
            <w:vAlign w:val="center"/>
            <w:hideMark/>
          </w:tcPr>
          <w:p w14:paraId="4C1263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62.4</w:t>
            </w:r>
          </w:p>
        </w:tc>
        <w:tc>
          <w:tcPr>
            <w:tcW w:w="595" w:type="dxa"/>
            <w:tcBorders>
              <w:top w:val="nil"/>
              <w:left w:val="nil"/>
              <w:bottom w:val="single" w:sz="8" w:space="0" w:color="DCDDDE"/>
              <w:right w:val="nil"/>
            </w:tcBorders>
            <w:shd w:val="clear" w:color="000000" w:fill="FFFFFF"/>
            <w:noWrap/>
            <w:vAlign w:val="center"/>
            <w:hideMark/>
          </w:tcPr>
          <w:p w14:paraId="788449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59.3</w:t>
            </w:r>
          </w:p>
        </w:tc>
        <w:tc>
          <w:tcPr>
            <w:tcW w:w="595" w:type="dxa"/>
            <w:tcBorders>
              <w:top w:val="nil"/>
              <w:left w:val="nil"/>
              <w:bottom w:val="single" w:sz="8" w:space="0" w:color="DCDDDE"/>
              <w:right w:val="nil"/>
            </w:tcBorders>
            <w:shd w:val="clear" w:color="000000" w:fill="FFFFFF"/>
            <w:noWrap/>
            <w:vAlign w:val="center"/>
            <w:hideMark/>
          </w:tcPr>
          <w:p w14:paraId="060416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56.3</w:t>
            </w:r>
          </w:p>
        </w:tc>
      </w:tr>
      <w:tr w:rsidR="00181744" w:rsidRPr="00181744" w14:paraId="7ABEB534"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09D38BC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36" w:type="dxa"/>
            <w:tcBorders>
              <w:top w:val="nil"/>
              <w:left w:val="nil"/>
              <w:bottom w:val="single" w:sz="8" w:space="0" w:color="DCDDDE"/>
              <w:right w:val="nil"/>
            </w:tcBorders>
            <w:shd w:val="clear" w:color="000000" w:fill="FFFFFF"/>
            <w:noWrap/>
            <w:vAlign w:val="center"/>
            <w:hideMark/>
          </w:tcPr>
          <w:p w14:paraId="13A6798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536" w:type="dxa"/>
            <w:tcBorders>
              <w:top w:val="nil"/>
              <w:left w:val="nil"/>
              <w:bottom w:val="single" w:sz="8" w:space="0" w:color="DCDDDE"/>
              <w:right w:val="nil"/>
            </w:tcBorders>
            <w:shd w:val="clear" w:color="000000" w:fill="FFFFFF"/>
            <w:noWrap/>
            <w:vAlign w:val="center"/>
            <w:hideMark/>
          </w:tcPr>
          <w:p w14:paraId="749041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536" w:type="dxa"/>
            <w:tcBorders>
              <w:top w:val="nil"/>
              <w:left w:val="nil"/>
              <w:bottom w:val="single" w:sz="8" w:space="0" w:color="DCDDDE"/>
              <w:right w:val="nil"/>
            </w:tcBorders>
            <w:shd w:val="clear" w:color="000000" w:fill="FFFFFF"/>
            <w:noWrap/>
            <w:vAlign w:val="center"/>
            <w:hideMark/>
          </w:tcPr>
          <w:p w14:paraId="5D372E3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w:t>
            </w:r>
          </w:p>
        </w:tc>
        <w:tc>
          <w:tcPr>
            <w:tcW w:w="595" w:type="dxa"/>
            <w:tcBorders>
              <w:top w:val="nil"/>
              <w:left w:val="nil"/>
              <w:bottom w:val="single" w:sz="8" w:space="0" w:color="DCDDDE"/>
              <w:right w:val="nil"/>
            </w:tcBorders>
            <w:shd w:val="clear" w:color="000000" w:fill="FFFFFF"/>
            <w:noWrap/>
            <w:vAlign w:val="center"/>
            <w:hideMark/>
          </w:tcPr>
          <w:p w14:paraId="28F457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w:t>
            </w:r>
          </w:p>
        </w:tc>
        <w:tc>
          <w:tcPr>
            <w:tcW w:w="595" w:type="dxa"/>
            <w:tcBorders>
              <w:top w:val="nil"/>
              <w:left w:val="nil"/>
              <w:bottom w:val="single" w:sz="8" w:space="0" w:color="DCDDDE"/>
              <w:right w:val="nil"/>
            </w:tcBorders>
            <w:shd w:val="clear" w:color="000000" w:fill="FFFFFF"/>
            <w:noWrap/>
            <w:vAlign w:val="center"/>
            <w:hideMark/>
          </w:tcPr>
          <w:p w14:paraId="40CB0F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w:t>
            </w:r>
          </w:p>
        </w:tc>
        <w:tc>
          <w:tcPr>
            <w:tcW w:w="595" w:type="dxa"/>
            <w:tcBorders>
              <w:top w:val="nil"/>
              <w:left w:val="nil"/>
              <w:bottom w:val="single" w:sz="8" w:space="0" w:color="DCDDDE"/>
              <w:right w:val="nil"/>
            </w:tcBorders>
            <w:shd w:val="clear" w:color="000000" w:fill="FFFFFF"/>
            <w:noWrap/>
            <w:vAlign w:val="center"/>
            <w:hideMark/>
          </w:tcPr>
          <w:p w14:paraId="4916A58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5" w:type="dxa"/>
            <w:tcBorders>
              <w:top w:val="nil"/>
              <w:left w:val="nil"/>
              <w:bottom w:val="single" w:sz="8" w:space="0" w:color="DCDDDE"/>
              <w:right w:val="nil"/>
            </w:tcBorders>
            <w:shd w:val="clear" w:color="000000" w:fill="FFFFFF"/>
            <w:noWrap/>
            <w:vAlign w:val="center"/>
            <w:hideMark/>
          </w:tcPr>
          <w:p w14:paraId="04D850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w:t>
            </w:r>
          </w:p>
        </w:tc>
        <w:tc>
          <w:tcPr>
            <w:tcW w:w="595" w:type="dxa"/>
            <w:tcBorders>
              <w:top w:val="nil"/>
              <w:left w:val="nil"/>
              <w:bottom w:val="single" w:sz="8" w:space="0" w:color="DCDDDE"/>
              <w:right w:val="nil"/>
            </w:tcBorders>
            <w:shd w:val="clear" w:color="000000" w:fill="FFFFFF"/>
            <w:noWrap/>
            <w:vAlign w:val="center"/>
            <w:hideMark/>
          </w:tcPr>
          <w:p w14:paraId="798E9A2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8.8</w:t>
            </w:r>
          </w:p>
        </w:tc>
        <w:tc>
          <w:tcPr>
            <w:tcW w:w="595" w:type="dxa"/>
            <w:tcBorders>
              <w:top w:val="nil"/>
              <w:left w:val="nil"/>
              <w:bottom w:val="single" w:sz="8" w:space="0" w:color="DCDDDE"/>
              <w:right w:val="nil"/>
            </w:tcBorders>
            <w:shd w:val="clear" w:color="000000" w:fill="FFFFFF"/>
            <w:noWrap/>
            <w:vAlign w:val="center"/>
            <w:hideMark/>
          </w:tcPr>
          <w:p w14:paraId="6EBBC83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w:t>
            </w:r>
          </w:p>
        </w:tc>
        <w:tc>
          <w:tcPr>
            <w:tcW w:w="595" w:type="dxa"/>
            <w:tcBorders>
              <w:top w:val="nil"/>
              <w:left w:val="nil"/>
              <w:bottom w:val="single" w:sz="8" w:space="0" w:color="DCDDDE"/>
              <w:right w:val="nil"/>
            </w:tcBorders>
            <w:shd w:val="clear" w:color="000000" w:fill="FFFFFF"/>
            <w:noWrap/>
            <w:vAlign w:val="center"/>
            <w:hideMark/>
          </w:tcPr>
          <w:p w14:paraId="34FDCD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10.6</w:t>
            </w:r>
          </w:p>
        </w:tc>
        <w:tc>
          <w:tcPr>
            <w:tcW w:w="595" w:type="dxa"/>
            <w:tcBorders>
              <w:top w:val="nil"/>
              <w:left w:val="nil"/>
              <w:bottom w:val="single" w:sz="8" w:space="0" w:color="DCDDDE"/>
              <w:right w:val="nil"/>
            </w:tcBorders>
            <w:shd w:val="clear" w:color="000000" w:fill="FFFFFF"/>
            <w:noWrap/>
            <w:vAlign w:val="center"/>
            <w:hideMark/>
          </w:tcPr>
          <w:p w14:paraId="07CF5AF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11.5</w:t>
            </w:r>
          </w:p>
        </w:tc>
        <w:tc>
          <w:tcPr>
            <w:tcW w:w="595" w:type="dxa"/>
            <w:tcBorders>
              <w:top w:val="nil"/>
              <w:left w:val="nil"/>
              <w:bottom w:val="single" w:sz="8" w:space="0" w:color="DCDDDE"/>
              <w:right w:val="nil"/>
            </w:tcBorders>
            <w:shd w:val="clear" w:color="000000" w:fill="FFFFFF"/>
            <w:noWrap/>
            <w:vAlign w:val="center"/>
            <w:hideMark/>
          </w:tcPr>
          <w:p w14:paraId="38E0D0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12.5</w:t>
            </w:r>
          </w:p>
        </w:tc>
        <w:tc>
          <w:tcPr>
            <w:tcW w:w="595" w:type="dxa"/>
            <w:tcBorders>
              <w:top w:val="nil"/>
              <w:left w:val="nil"/>
              <w:bottom w:val="single" w:sz="8" w:space="0" w:color="DCDDDE"/>
              <w:right w:val="nil"/>
            </w:tcBorders>
            <w:shd w:val="clear" w:color="000000" w:fill="FFFFFF"/>
            <w:noWrap/>
            <w:vAlign w:val="center"/>
            <w:hideMark/>
          </w:tcPr>
          <w:p w14:paraId="23AE8F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w:t>
            </w:r>
          </w:p>
        </w:tc>
      </w:tr>
      <w:tr w:rsidR="00181744" w:rsidRPr="00181744" w14:paraId="31A02A97"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013A849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36" w:type="dxa"/>
            <w:tcBorders>
              <w:top w:val="nil"/>
              <w:left w:val="nil"/>
              <w:bottom w:val="single" w:sz="8" w:space="0" w:color="DCDDDE"/>
              <w:right w:val="nil"/>
            </w:tcBorders>
            <w:shd w:val="clear" w:color="000000" w:fill="FFFFFF"/>
            <w:noWrap/>
            <w:vAlign w:val="center"/>
            <w:hideMark/>
          </w:tcPr>
          <w:p w14:paraId="3CFDD36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70A3C68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5603D9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6CAE51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68B04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4E4A2D0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0EAD5EE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C1E67B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57E6A6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DC4690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2FDFE3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150D971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456AEA0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r>
      <w:tr w:rsidR="00181744" w:rsidRPr="00181744" w14:paraId="6784F196"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688EB0D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36" w:type="dxa"/>
            <w:tcBorders>
              <w:top w:val="nil"/>
              <w:left w:val="nil"/>
              <w:bottom w:val="single" w:sz="8" w:space="0" w:color="DCDDDE"/>
              <w:right w:val="nil"/>
            </w:tcBorders>
            <w:shd w:val="clear" w:color="000000" w:fill="FFFFFF"/>
            <w:noWrap/>
            <w:vAlign w:val="center"/>
            <w:hideMark/>
          </w:tcPr>
          <w:p w14:paraId="45239EC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55.5</w:t>
            </w:r>
          </w:p>
        </w:tc>
        <w:tc>
          <w:tcPr>
            <w:tcW w:w="536" w:type="dxa"/>
            <w:tcBorders>
              <w:top w:val="nil"/>
              <w:left w:val="nil"/>
              <w:bottom w:val="single" w:sz="8" w:space="0" w:color="DCDDDE"/>
              <w:right w:val="nil"/>
            </w:tcBorders>
            <w:shd w:val="clear" w:color="000000" w:fill="FFFFFF"/>
            <w:noWrap/>
            <w:vAlign w:val="center"/>
            <w:hideMark/>
          </w:tcPr>
          <w:p w14:paraId="028EC3E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57.7</w:t>
            </w:r>
          </w:p>
        </w:tc>
        <w:tc>
          <w:tcPr>
            <w:tcW w:w="536" w:type="dxa"/>
            <w:tcBorders>
              <w:top w:val="nil"/>
              <w:left w:val="nil"/>
              <w:bottom w:val="single" w:sz="8" w:space="0" w:color="DCDDDE"/>
              <w:right w:val="nil"/>
            </w:tcBorders>
            <w:shd w:val="clear" w:color="000000" w:fill="FFFFFF"/>
            <w:noWrap/>
            <w:vAlign w:val="center"/>
            <w:hideMark/>
          </w:tcPr>
          <w:p w14:paraId="39FE7B0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65.6</w:t>
            </w:r>
          </w:p>
        </w:tc>
        <w:tc>
          <w:tcPr>
            <w:tcW w:w="595" w:type="dxa"/>
            <w:tcBorders>
              <w:top w:val="nil"/>
              <w:left w:val="nil"/>
              <w:bottom w:val="single" w:sz="8" w:space="0" w:color="DCDDDE"/>
              <w:right w:val="nil"/>
            </w:tcBorders>
            <w:shd w:val="clear" w:color="000000" w:fill="FFFFFF"/>
            <w:noWrap/>
            <w:vAlign w:val="center"/>
            <w:hideMark/>
          </w:tcPr>
          <w:p w14:paraId="72C30DB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78.9</w:t>
            </w:r>
          </w:p>
        </w:tc>
        <w:tc>
          <w:tcPr>
            <w:tcW w:w="595" w:type="dxa"/>
            <w:tcBorders>
              <w:top w:val="nil"/>
              <w:left w:val="nil"/>
              <w:bottom w:val="single" w:sz="8" w:space="0" w:color="DCDDDE"/>
              <w:right w:val="nil"/>
            </w:tcBorders>
            <w:shd w:val="clear" w:color="000000" w:fill="FFFFFF"/>
            <w:noWrap/>
            <w:vAlign w:val="center"/>
            <w:hideMark/>
          </w:tcPr>
          <w:p w14:paraId="3FF2299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80.0</w:t>
            </w:r>
          </w:p>
        </w:tc>
        <w:tc>
          <w:tcPr>
            <w:tcW w:w="595" w:type="dxa"/>
            <w:tcBorders>
              <w:top w:val="nil"/>
              <w:left w:val="nil"/>
              <w:bottom w:val="single" w:sz="8" w:space="0" w:color="DCDDDE"/>
              <w:right w:val="nil"/>
            </w:tcBorders>
            <w:shd w:val="clear" w:color="000000" w:fill="FFFFFF"/>
            <w:noWrap/>
            <w:vAlign w:val="center"/>
            <w:hideMark/>
          </w:tcPr>
          <w:p w14:paraId="4831F59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90.8</w:t>
            </w:r>
          </w:p>
        </w:tc>
        <w:tc>
          <w:tcPr>
            <w:tcW w:w="595" w:type="dxa"/>
            <w:tcBorders>
              <w:top w:val="nil"/>
              <w:left w:val="nil"/>
              <w:bottom w:val="single" w:sz="8" w:space="0" w:color="DCDDDE"/>
              <w:right w:val="nil"/>
            </w:tcBorders>
            <w:shd w:val="clear" w:color="000000" w:fill="FFFFFF"/>
            <w:noWrap/>
            <w:vAlign w:val="center"/>
            <w:hideMark/>
          </w:tcPr>
          <w:p w14:paraId="3FA7B87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91.3</w:t>
            </w:r>
          </w:p>
        </w:tc>
        <w:tc>
          <w:tcPr>
            <w:tcW w:w="595" w:type="dxa"/>
            <w:tcBorders>
              <w:top w:val="nil"/>
              <w:left w:val="nil"/>
              <w:bottom w:val="single" w:sz="8" w:space="0" w:color="DCDDDE"/>
              <w:right w:val="nil"/>
            </w:tcBorders>
            <w:shd w:val="clear" w:color="000000" w:fill="FFFFFF"/>
            <w:noWrap/>
            <w:vAlign w:val="center"/>
            <w:hideMark/>
          </w:tcPr>
          <w:p w14:paraId="205C647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92.5</w:t>
            </w:r>
          </w:p>
        </w:tc>
        <w:tc>
          <w:tcPr>
            <w:tcW w:w="595" w:type="dxa"/>
            <w:tcBorders>
              <w:top w:val="nil"/>
              <w:left w:val="nil"/>
              <w:bottom w:val="single" w:sz="8" w:space="0" w:color="DCDDDE"/>
              <w:right w:val="nil"/>
            </w:tcBorders>
            <w:shd w:val="clear" w:color="000000" w:fill="FFFFFF"/>
            <w:noWrap/>
            <w:vAlign w:val="center"/>
            <w:hideMark/>
          </w:tcPr>
          <w:p w14:paraId="13868AF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92.8</w:t>
            </w:r>
          </w:p>
        </w:tc>
        <w:tc>
          <w:tcPr>
            <w:tcW w:w="595" w:type="dxa"/>
            <w:tcBorders>
              <w:top w:val="nil"/>
              <w:left w:val="nil"/>
              <w:bottom w:val="single" w:sz="8" w:space="0" w:color="DCDDDE"/>
              <w:right w:val="nil"/>
            </w:tcBorders>
            <w:shd w:val="clear" w:color="000000" w:fill="FFFFFF"/>
            <w:noWrap/>
            <w:vAlign w:val="center"/>
            <w:hideMark/>
          </w:tcPr>
          <w:p w14:paraId="2B8DCA8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93.3</w:t>
            </w:r>
          </w:p>
        </w:tc>
        <w:tc>
          <w:tcPr>
            <w:tcW w:w="595" w:type="dxa"/>
            <w:tcBorders>
              <w:top w:val="nil"/>
              <w:left w:val="nil"/>
              <w:bottom w:val="single" w:sz="8" w:space="0" w:color="DCDDDE"/>
              <w:right w:val="nil"/>
            </w:tcBorders>
            <w:shd w:val="clear" w:color="000000" w:fill="FFFFFF"/>
            <w:noWrap/>
            <w:vAlign w:val="center"/>
            <w:hideMark/>
          </w:tcPr>
          <w:p w14:paraId="799F314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92.6</w:t>
            </w:r>
          </w:p>
        </w:tc>
        <w:tc>
          <w:tcPr>
            <w:tcW w:w="595" w:type="dxa"/>
            <w:tcBorders>
              <w:top w:val="nil"/>
              <w:left w:val="nil"/>
              <w:bottom w:val="single" w:sz="8" w:space="0" w:color="DCDDDE"/>
              <w:right w:val="nil"/>
            </w:tcBorders>
            <w:shd w:val="clear" w:color="000000" w:fill="FFFFFF"/>
            <w:noWrap/>
            <w:vAlign w:val="center"/>
            <w:hideMark/>
          </w:tcPr>
          <w:p w14:paraId="6B3225E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90.6</w:t>
            </w:r>
          </w:p>
        </w:tc>
        <w:tc>
          <w:tcPr>
            <w:tcW w:w="595" w:type="dxa"/>
            <w:tcBorders>
              <w:top w:val="nil"/>
              <w:left w:val="nil"/>
              <w:bottom w:val="single" w:sz="8" w:space="0" w:color="DCDDDE"/>
              <w:right w:val="nil"/>
            </w:tcBorders>
            <w:shd w:val="clear" w:color="000000" w:fill="FFFFFF"/>
            <w:noWrap/>
            <w:vAlign w:val="center"/>
            <w:hideMark/>
          </w:tcPr>
          <w:p w14:paraId="7DE579F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88.4</w:t>
            </w:r>
          </w:p>
        </w:tc>
      </w:tr>
      <w:tr w:rsidR="00181744" w:rsidRPr="00181744" w14:paraId="7763CA1C" w14:textId="77777777" w:rsidTr="00181744">
        <w:trPr>
          <w:trHeight w:val="280"/>
        </w:trPr>
        <w:tc>
          <w:tcPr>
            <w:tcW w:w="8745" w:type="dxa"/>
            <w:gridSpan w:val="15"/>
            <w:tcBorders>
              <w:top w:val="single" w:sz="8" w:space="0" w:color="DCDDDE"/>
              <w:left w:val="nil"/>
              <w:bottom w:val="single" w:sz="8" w:space="0" w:color="DCDDDE"/>
              <w:right w:val="nil"/>
            </w:tcBorders>
            <w:shd w:val="clear" w:color="000000" w:fill="DADADA"/>
            <w:noWrap/>
            <w:vAlign w:val="center"/>
            <w:hideMark/>
          </w:tcPr>
          <w:p w14:paraId="7235073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181744" w:rsidRPr="00181744" w14:paraId="7D4730BF"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4A4D864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36" w:type="dxa"/>
            <w:tcBorders>
              <w:top w:val="nil"/>
              <w:left w:val="nil"/>
              <w:bottom w:val="single" w:sz="8" w:space="0" w:color="DCDDDE"/>
              <w:right w:val="nil"/>
            </w:tcBorders>
            <w:shd w:val="clear" w:color="000000" w:fill="FFFFFF"/>
            <w:noWrap/>
            <w:vAlign w:val="center"/>
            <w:hideMark/>
          </w:tcPr>
          <w:p w14:paraId="1B2590F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12.0</w:t>
            </w:r>
          </w:p>
        </w:tc>
        <w:tc>
          <w:tcPr>
            <w:tcW w:w="536" w:type="dxa"/>
            <w:tcBorders>
              <w:top w:val="nil"/>
              <w:left w:val="nil"/>
              <w:bottom w:val="single" w:sz="8" w:space="0" w:color="DCDDDE"/>
              <w:right w:val="nil"/>
            </w:tcBorders>
            <w:shd w:val="clear" w:color="000000" w:fill="FFFFFF"/>
            <w:noWrap/>
            <w:vAlign w:val="center"/>
            <w:hideMark/>
          </w:tcPr>
          <w:p w14:paraId="0B3608A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13.9</w:t>
            </w:r>
          </w:p>
        </w:tc>
        <w:tc>
          <w:tcPr>
            <w:tcW w:w="536" w:type="dxa"/>
            <w:tcBorders>
              <w:top w:val="nil"/>
              <w:left w:val="nil"/>
              <w:bottom w:val="single" w:sz="8" w:space="0" w:color="DCDDDE"/>
              <w:right w:val="nil"/>
            </w:tcBorders>
            <w:shd w:val="clear" w:color="000000" w:fill="FFFFFF"/>
            <w:noWrap/>
            <w:vAlign w:val="center"/>
            <w:hideMark/>
          </w:tcPr>
          <w:p w14:paraId="32F7A5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13.9</w:t>
            </w:r>
          </w:p>
        </w:tc>
        <w:tc>
          <w:tcPr>
            <w:tcW w:w="595" w:type="dxa"/>
            <w:tcBorders>
              <w:top w:val="nil"/>
              <w:left w:val="nil"/>
              <w:bottom w:val="single" w:sz="8" w:space="0" w:color="DCDDDE"/>
              <w:right w:val="nil"/>
            </w:tcBorders>
            <w:shd w:val="clear" w:color="000000" w:fill="FFFFFF"/>
            <w:noWrap/>
            <w:vAlign w:val="center"/>
            <w:hideMark/>
          </w:tcPr>
          <w:p w14:paraId="618B37E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15.5</w:t>
            </w:r>
          </w:p>
        </w:tc>
        <w:tc>
          <w:tcPr>
            <w:tcW w:w="595" w:type="dxa"/>
            <w:tcBorders>
              <w:top w:val="nil"/>
              <w:left w:val="nil"/>
              <w:bottom w:val="single" w:sz="8" w:space="0" w:color="DCDDDE"/>
              <w:right w:val="nil"/>
            </w:tcBorders>
            <w:shd w:val="clear" w:color="000000" w:fill="FFFFFF"/>
            <w:noWrap/>
            <w:vAlign w:val="center"/>
            <w:hideMark/>
          </w:tcPr>
          <w:p w14:paraId="34EC86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16.3</w:t>
            </w:r>
          </w:p>
        </w:tc>
        <w:tc>
          <w:tcPr>
            <w:tcW w:w="595" w:type="dxa"/>
            <w:tcBorders>
              <w:top w:val="nil"/>
              <w:left w:val="nil"/>
              <w:bottom w:val="single" w:sz="8" w:space="0" w:color="DCDDDE"/>
              <w:right w:val="nil"/>
            </w:tcBorders>
            <w:shd w:val="clear" w:color="000000" w:fill="FFFFFF"/>
            <w:noWrap/>
            <w:vAlign w:val="center"/>
            <w:hideMark/>
          </w:tcPr>
          <w:p w14:paraId="70FDAB7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17.4</w:t>
            </w:r>
          </w:p>
        </w:tc>
        <w:tc>
          <w:tcPr>
            <w:tcW w:w="595" w:type="dxa"/>
            <w:tcBorders>
              <w:top w:val="nil"/>
              <w:left w:val="nil"/>
              <w:bottom w:val="single" w:sz="8" w:space="0" w:color="DCDDDE"/>
              <w:right w:val="nil"/>
            </w:tcBorders>
            <w:shd w:val="clear" w:color="000000" w:fill="FFFFFF"/>
            <w:noWrap/>
            <w:vAlign w:val="center"/>
            <w:hideMark/>
          </w:tcPr>
          <w:p w14:paraId="4EA8BB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19.0</w:t>
            </w:r>
          </w:p>
        </w:tc>
        <w:tc>
          <w:tcPr>
            <w:tcW w:w="595" w:type="dxa"/>
            <w:tcBorders>
              <w:top w:val="nil"/>
              <w:left w:val="nil"/>
              <w:bottom w:val="single" w:sz="8" w:space="0" w:color="DCDDDE"/>
              <w:right w:val="nil"/>
            </w:tcBorders>
            <w:shd w:val="clear" w:color="000000" w:fill="FFFFFF"/>
            <w:noWrap/>
            <w:vAlign w:val="center"/>
            <w:hideMark/>
          </w:tcPr>
          <w:p w14:paraId="3A3CFFC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20.3</w:t>
            </w:r>
          </w:p>
        </w:tc>
        <w:tc>
          <w:tcPr>
            <w:tcW w:w="595" w:type="dxa"/>
            <w:tcBorders>
              <w:top w:val="nil"/>
              <w:left w:val="nil"/>
              <w:bottom w:val="single" w:sz="8" w:space="0" w:color="DCDDDE"/>
              <w:right w:val="nil"/>
            </w:tcBorders>
            <w:shd w:val="clear" w:color="000000" w:fill="FFFFFF"/>
            <w:noWrap/>
            <w:vAlign w:val="center"/>
            <w:hideMark/>
          </w:tcPr>
          <w:p w14:paraId="512E63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20.8</w:t>
            </w:r>
          </w:p>
        </w:tc>
        <w:tc>
          <w:tcPr>
            <w:tcW w:w="595" w:type="dxa"/>
            <w:tcBorders>
              <w:top w:val="nil"/>
              <w:left w:val="nil"/>
              <w:bottom w:val="single" w:sz="8" w:space="0" w:color="DCDDDE"/>
              <w:right w:val="nil"/>
            </w:tcBorders>
            <w:shd w:val="clear" w:color="000000" w:fill="FFFFFF"/>
            <w:noWrap/>
            <w:vAlign w:val="center"/>
            <w:hideMark/>
          </w:tcPr>
          <w:p w14:paraId="7BB91F6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21.4</w:t>
            </w:r>
          </w:p>
        </w:tc>
        <w:tc>
          <w:tcPr>
            <w:tcW w:w="595" w:type="dxa"/>
            <w:tcBorders>
              <w:top w:val="nil"/>
              <w:left w:val="nil"/>
              <w:bottom w:val="single" w:sz="8" w:space="0" w:color="DCDDDE"/>
              <w:right w:val="nil"/>
            </w:tcBorders>
            <w:shd w:val="clear" w:color="000000" w:fill="FFFFFF"/>
            <w:noWrap/>
            <w:vAlign w:val="center"/>
            <w:hideMark/>
          </w:tcPr>
          <w:p w14:paraId="07F756C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5" w:type="dxa"/>
            <w:tcBorders>
              <w:top w:val="nil"/>
              <w:left w:val="nil"/>
              <w:bottom w:val="single" w:sz="8" w:space="0" w:color="DCDDDE"/>
              <w:right w:val="nil"/>
            </w:tcBorders>
            <w:shd w:val="clear" w:color="000000" w:fill="FFFFFF"/>
            <w:noWrap/>
            <w:vAlign w:val="center"/>
            <w:hideMark/>
          </w:tcPr>
          <w:p w14:paraId="36C9543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21.8</w:t>
            </w:r>
          </w:p>
        </w:tc>
        <w:tc>
          <w:tcPr>
            <w:tcW w:w="595" w:type="dxa"/>
            <w:tcBorders>
              <w:top w:val="nil"/>
              <w:left w:val="nil"/>
              <w:bottom w:val="single" w:sz="8" w:space="0" w:color="DCDDDE"/>
              <w:right w:val="nil"/>
            </w:tcBorders>
            <w:shd w:val="clear" w:color="000000" w:fill="FFFFFF"/>
            <w:noWrap/>
            <w:vAlign w:val="center"/>
            <w:hideMark/>
          </w:tcPr>
          <w:p w14:paraId="64B134E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21.6</w:t>
            </w:r>
          </w:p>
        </w:tc>
      </w:tr>
      <w:tr w:rsidR="00181744" w:rsidRPr="00181744" w14:paraId="3E02B12B"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2F25FD6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36" w:type="dxa"/>
            <w:tcBorders>
              <w:top w:val="nil"/>
              <w:left w:val="nil"/>
              <w:bottom w:val="single" w:sz="8" w:space="0" w:color="DCDDDE"/>
              <w:right w:val="nil"/>
            </w:tcBorders>
            <w:shd w:val="clear" w:color="000000" w:fill="FFFFFF"/>
            <w:noWrap/>
            <w:vAlign w:val="center"/>
            <w:hideMark/>
          </w:tcPr>
          <w:p w14:paraId="5F7664F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42.3</w:t>
            </w:r>
          </w:p>
        </w:tc>
        <w:tc>
          <w:tcPr>
            <w:tcW w:w="536" w:type="dxa"/>
            <w:tcBorders>
              <w:top w:val="nil"/>
              <w:left w:val="nil"/>
              <w:bottom w:val="single" w:sz="8" w:space="0" w:color="DCDDDE"/>
              <w:right w:val="nil"/>
            </w:tcBorders>
            <w:shd w:val="clear" w:color="000000" w:fill="FFFFFF"/>
            <w:noWrap/>
            <w:vAlign w:val="center"/>
            <w:hideMark/>
          </w:tcPr>
          <w:p w14:paraId="5C0BC2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42.6</w:t>
            </w:r>
          </w:p>
        </w:tc>
        <w:tc>
          <w:tcPr>
            <w:tcW w:w="536" w:type="dxa"/>
            <w:tcBorders>
              <w:top w:val="nil"/>
              <w:left w:val="nil"/>
              <w:bottom w:val="single" w:sz="8" w:space="0" w:color="DCDDDE"/>
              <w:right w:val="nil"/>
            </w:tcBorders>
            <w:shd w:val="clear" w:color="000000" w:fill="FFFFFF"/>
            <w:noWrap/>
            <w:vAlign w:val="center"/>
            <w:hideMark/>
          </w:tcPr>
          <w:p w14:paraId="4A1E60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50.1</w:t>
            </w:r>
          </w:p>
        </w:tc>
        <w:tc>
          <w:tcPr>
            <w:tcW w:w="595" w:type="dxa"/>
            <w:tcBorders>
              <w:top w:val="nil"/>
              <w:left w:val="nil"/>
              <w:bottom w:val="single" w:sz="8" w:space="0" w:color="DCDDDE"/>
              <w:right w:val="nil"/>
            </w:tcBorders>
            <w:shd w:val="clear" w:color="000000" w:fill="FFFFFF"/>
            <w:noWrap/>
            <w:vAlign w:val="center"/>
            <w:hideMark/>
          </w:tcPr>
          <w:p w14:paraId="0A605B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61.1</w:t>
            </w:r>
          </w:p>
        </w:tc>
        <w:tc>
          <w:tcPr>
            <w:tcW w:w="595" w:type="dxa"/>
            <w:tcBorders>
              <w:top w:val="nil"/>
              <w:left w:val="nil"/>
              <w:bottom w:val="single" w:sz="8" w:space="0" w:color="DCDDDE"/>
              <w:right w:val="nil"/>
            </w:tcBorders>
            <w:shd w:val="clear" w:color="000000" w:fill="FFFFFF"/>
            <w:noWrap/>
            <w:vAlign w:val="center"/>
            <w:hideMark/>
          </w:tcPr>
          <w:p w14:paraId="2D9BC58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60.5</w:t>
            </w:r>
          </w:p>
        </w:tc>
        <w:tc>
          <w:tcPr>
            <w:tcW w:w="595" w:type="dxa"/>
            <w:tcBorders>
              <w:top w:val="nil"/>
              <w:left w:val="nil"/>
              <w:bottom w:val="single" w:sz="8" w:space="0" w:color="DCDDDE"/>
              <w:right w:val="nil"/>
            </w:tcBorders>
            <w:shd w:val="clear" w:color="000000" w:fill="FFFFFF"/>
            <w:noWrap/>
            <w:vAlign w:val="center"/>
            <w:hideMark/>
          </w:tcPr>
          <w:p w14:paraId="4BF5D87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69.3</w:t>
            </w:r>
          </w:p>
        </w:tc>
        <w:tc>
          <w:tcPr>
            <w:tcW w:w="595" w:type="dxa"/>
            <w:tcBorders>
              <w:top w:val="nil"/>
              <w:left w:val="nil"/>
              <w:bottom w:val="single" w:sz="8" w:space="0" w:color="DCDDDE"/>
              <w:right w:val="nil"/>
            </w:tcBorders>
            <w:shd w:val="clear" w:color="000000" w:fill="FFFFFF"/>
            <w:noWrap/>
            <w:vAlign w:val="center"/>
            <w:hideMark/>
          </w:tcPr>
          <w:p w14:paraId="317DE9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67.7</w:t>
            </w:r>
          </w:p>
        </w:tc>
        <w:tc>
          <w:tcPr>
            <w:tcW w:w="595" w:type="dxa"/>
            <w:tcBorders>
              <w:top w:val="nil"/>
              <w:left w:val="nil"/>
              <w:bottom w:val="single" w:sz="8" w:space="0" w:color="DCDDDE"/>
              <w:right w:val="nil"/>
            </w:tcBorders>
            <w:shd w:val="clear" w:color="000000" w:fill="FFFFFF"/>
            <w:noWrap/>
            <w:vAlign w:val="center"/>
            <w:hideMark/>
          </w:tcPr>
          <w:p w14:paraId="4672D9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66.7</w:t>
            </w:r>
          </w:p>
        </w:tc>
        <w:tc>
          <w:tcPr>
            <w:tcW w:w="595" w:type="dxa"/>
            <w:tcBorders>
              <w:top w:val="nil"/>
              <w:left w:val="nil"/>
              <w:bottom w:val="single" w:sz="8" w:space="0" w:color="DCDDDE"/>
              <w:right w:val="nil"/>
            </w:tcBorders>
            <w:shd w:val="clear" w:color="000000" w:fill="FFFFFF"/>
            <w:noWrap/>
            <w:vAlign w:val="center"/>
            <w:hideMark/>
          </w:tcPr>
          <w:p w14:paraId="3F0F81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65.2</w:t>
            </w:r>
          </w:p>
        </w:tc>
        <w:tc>
          <w:tcPr>
            <w:tcW w:w="595" w:type="dxa"/>
            <w:tcBorders>
              <w:top w:val="nil"/>
              <w:left w:val="nil"/>
              <w:bottom w:val="single" w:sz="8" w:space="0" w:color="DCDDDE"/>
              <w:right w:val="nil"/>
            </w:tcBorders>
            <w:shd w:val="clear" w:color="000000" w:fill="FFFFFF"/>
            <w:noWrap/>
            <w:vAlign w:val="center"/>
            <w:hideMark/>
          </w:tcPr>
          <w:p w14:paraId="50F688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64.4</w:t>
            </w:r>
          </w:p>
        </w:tc>
        <w:tc>
          <w:tcPr>
            <w:tcW w:w="595" w:type="dxa"/>
            <w:tcBorders>
              <w:top w:val="nil"/>
              <w:left w:val="nil"/>
              <w:bottom w:val="single" w:sz="8" w:space="0" w:color="DCDDDE"/>
              <w:right w:val="nil"/>
            </w:tcBorders>
            <w:shd w:val="clear" w:color="000000" w:fill="FFFFFF"/>
            <w:noWrap/>
            <w:vAlign w:val="center"/>
            <w:hideMark/>
          </w:tcPr>
          <w:p w14:paraId="1CD6E9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62.4</w:t>
            </w:r>
          </w:p>
        </w:tc>
        <w:tc>
          <w:tcPr>
            <w:tcW w:w="595" w:type="dxa"/>
            <w:tcBorders>
              <w:top w:val="nil"/>
              <w:left w:val="nil"/>
              <w:bottom w:val="single" w:sz="8" w:space="0" w:color="DCDDDE"/>
              <w:right w:val="nil"/>
            </w:tcBorders>
            <w:shd w:val="clear" w:color="000000" w:fill="FFFFFF"/>
            <w:noWrap/>
            <w:vAlign w:val="center"/>
            <w:hideMark/>
          </w:tcPr>
          <w:p w14:paraId="7BB8839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59.3</w:t>
            </w:r>
          </w:p>
        </w:tc>
        <w:tc>
          <w:tcPr>
            <w:tcW w:w="595" w:type="dxa"/>
            <w:tcBorders>
              <w:top w:val="nil"/>
              <w:left w:val="nil"/>
              <w:bottom w:val="single" w:sz="8" w:space="0" w:color="DCDDDE"/>
              <w:right w:val="nil"/>
            </w:tcBorders>
            <w:shd w:val="clear" w:color="000000" w:fill="FFFFFF"/>
            <w:noWrap/>
            <w:vAlign w:val="center"/>
            <w:hideMark/>
          </w:tcPr>
          <w:p w14:paraId="709C7A0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56.3</w:t>
            </w:r>
          </w:p>
        </w:tc>
      </w:tr>
      <w:tr w:rsidR="00181744" w:rsidRPr="00181744" w14:paraId="77C72217"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085388E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36" w:type="dxa"/>
            <w:tcBorders>
              <w:top w:val="nil"/>
              <w:left w:val="nil"/>
              <w:bottom w:val="single" w:sz="8" w:space="0" w:color="DCDDDE"/>
              <w:right w:val="nil"/>
            </w:tcBorders>
            <w:shd w:val="clear" w:color="000000" w:fill="FFFFFF"/>
            <w:noWrap/>
            <w:vAlign w:val="center"/>
            <w:hideMark/>
          </w:tcPr>
          <w:p w14:paraId="07B6D37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536" w:type="dxa"/>
            <w:tcBorders>
              <w:top w:val="nil"/>
              <w:left w:val="nil"/>
              <w:bottom w:val="single" w:sz="8" w:space="0" w:color="DCDDDE"/>
              <w:right w:val="nil"/>
            </w:tcBorders>
            <w:shd w:val="clear" w:color="000000" w:fill="FFFFFF"/>
            <w:noWrap/>
            <w:vAlign w:val="center"/>
            <w:hideMark/>
          </w:tcPr>
          <w:p w14:paraId="0BDA56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536" w:type="dxa"/>
            <w:tcBorders>
              <w:top w:val="nil"/>
              <w:left w:val="nil"/>
              <w:bottom w:val="single" w:sz="8" w:space="0" w:color="DCDDDE"/>
              <w:right w:val="nil"/>
            </w:tcBorders>
            <w:shd w:val="clear" w:color="000000" w:fill="FFFFFF"/>
            <w:noWrap/>
            <w:vAlign w:val="center"/>
            <w:hideMark/>
          </w:tcPr>
          <w:p w14:paraId="522C3BB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w:t>
            </w:r>
          </w:p>
        </w:tc>
        <w:tc>
          <w:tcPr>
            <w:tcW w:w="595" w:type="dxa"/>
            <w:tcBorders>
              <w:top w:val="nil"/>
              <w:left w:val="nil"/>
              <w:bottom w:val="single" w:sz="8" w:space="0" w:color="DCDDDE"/>
              <w:right w:val="nil"/>
            </w:tcBorders>
            <w:shd w:val="clear" w:color="000000" w:fill="FFFFFF"/>
            <w:noWrap/>
            <w:vAlign w:val="center"/>
            <w:hideMark/>
          </w:tcPr>
          <w:p w14:paraId="05FC44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w:t>
            </w:r>
          </w:p>
        </w:tc>
        <w:tc>
          <w:tcPr>
            <w:tcW w:w="595" w:type="dxa"/>
            <w:tcBorders>
              <w:top w:val="nil"/>
              <w:left w:val="nil"/>
              <w:bottom w:val="single" w:sz="8" w:space="0" w:color="DCDDDE"/>
              <w:right w:val="nil"/>
            </w:tcBorders>
            <w:shd w:val="clear" w:color="000000" w:fill="FFFFFF"/>
            <w:noWrap/>
            <w:vAlign w:val="center"/>
            <w:hideMark/>
          </w:tcPr>
          <w:p w14:paraId="39D465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w:t>
            </w:r>
          </w:p>
        </w:tc>
        <w:tc>
          <w:tcPr>
            <w:tcW w:w="595" w:type="dxa"/>
            <w:tcBorders>
              <w:top w:val="nil"/>
              <w:left w:val="nil"/>
              <w:bottom w:val="single" w:sz="8" w:space="0" w:color="DCDDDE"/>
              <w:right w:val="nil"/>
            </w:tcBorders>
            <w:shd w:val="clear" w:color="000000" w:fill="FFFFFF"/>
            <w:noWrap/>
            <w:vAlign w:val="center"/>
            <w:hideMark/>
          </w:tcPr>
          <w:p w14:paraId="244EABA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5" w:type="dxa"/>
            <w:tcBorders>
              <w:top w:val="nil"/>
              <w:left w:val="nil"/>
              <w:bottom w:val="single" w:sz="8" w:space="0" w:color="DCDDDE"/>
              <w:right w:val="nil"/>
            </w:tcBorders>
            <w:shd w:val="clear" w:color="000000" w:fill="FFFFFF"/>
            <w:noWrap/>
            <w:vAlign w:val="center"/>
            <w:hideMark/>
          </w:tcPr>
          <w:p w14:paraId="791B991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w:t>
            </w:r>
          </w:p>
        </w:tc>
        <w:tc>
          <w:tcPr>
            <w:tcW w:w="595" w:type="dxa"/>
            <w:tcBorders>
              <w:top w:val="nil"/>
              <w:left w:val="nil"/>
              <w:bottom w:val="single" w:sz="8" w:space="0" w:color="DCDDDE"/>
              <w:right w:val="nil"/>
            </w:tcBorders>
            <w:shd w:val="clear" w:color="000000" w:fill="FFFFFF"/>
            <w:noWrap/>
            <w:vAlign w:val="center"/>
            <w:hideMark/>
          </w:tcPr>
          <w:p w14:paraId="32CC80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8.8</w:t>
            </w:r>
          </w:p>
        </w:tc>
        <w:tc>
          <w:tcPr>
            <w:tcW w:w="595" w:type="dxa"/>
            <w:tcBorders>
              <w:top w:val="nil"/>
              <w:left w:val="nil"/>
              <w:bottom w:val="single" w:sz="8" w:space="0" w:color="DCDDDE"/>
              <w:right w:val="nil"/>
            </w:tcBorders>
            <w:shd w:val="clear" w:color="000000" w:fill="FFFFFF"/>
            <w:noWrap/>
            <w:vAlign w:val="center"/>
            <w:hideMark/>
          </w:tcPr>
          <w:p w14:paraId="6A71B3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w:t>
            </w:r>
          </w:p>
        </w:tc>
        <w:tc>
          <w:tcPr>
            <w:tcW w:w="595" w:type="dxa"/>
            <w:tcBorders>
              <w:top w:val="nil"/>
              <w:left w:val="nil"/>
              <w:bottom w:val="single" w:sz="8" w:space="0" w:color="DCDDDE"/>
              <w:right w:val="nil"/>
            </w:tcBorders>
            <w:shd w:val="clear" w:color="000000" w:fill="FFFFFF"/>
            <w:noWrap/>
            <w:vAlign w:val="center"/>
            <w:hideMark/>
          </w:tcPr>
          <w:p w14:paraId="26FF63D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10.6</w:t>
            </w:r>
          </w:p>
        </w:tc>
        <w:tc>
          <w:tcPr>
            <w:tcW w:w="595" w:type="dxa"/>
            <w:tcBorders>
              <w:top w:val="nil"/>
              <w:left w:val="nil"/>
              <w:bottom w:val="single" w:sz="8" w:space="0" w:color="DCDDDE"/>
              <w:right w:val="nil"/>
            </w:tcBorders>
            <w:shd w:val="clear" w:color="000000" w:fill="FFFFFF"/>
            <w:noWrap/>
            <w:vAlign w:val="center"/>
            <w:hideMark/>
          </w:tcPr>
          <w:p w14:paraId="2EA5964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11.5</w:t>
            </w:r>
          </w:p>
        </w:tc>
        <w:tc>
          <w:tcPr>
            <w:tcW w:w="595" w:type="dxa"/>
            <w:tcBorders>
              <w:top w:val="nil"/>
              <w:left w:val="nil"/>
              <w:bottom w:val="single" w:sz="8" w:space="0" w:color="DCDDDE"/>
              <w:right w:val="nil"/>
            </w:tcBorders>
            <w:shd w:val="clear" w:color="000000" w:fill="FFFFFF"/>
            <w:noWrap/>
            <w:vAlign w:val="center"/>
            <w:hideMark/>
          </w:tcPr>
          <w:p w14:paraId="2184037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12.5</w:t>
            </w:r>
          </w:p>
        </w:tc>
        <w:tc>
          <w:tcPr>
            <w:tcW w:w="595" w:type="dxa"/>
            <w:tcBorders>
              <w:top w:val="nil"/>
              <w:left w:val="nil"/>
              <w:bottom w:val="single" w:sz="8" w:space="0" w:color="DCDDDE"/>
              <w:right w:val="nil"/>
            </w:tcBorders>
            <w:shd w:val="clear" w:color="000000" w:fill="FFFFFF"/>
            <w:noWrap/>
            <w:vAlign w:val="center"/>
            <w:hideMark/>
          </w:tcPr>
          <w:p w14:paraId="6085602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w:t>
            </w:r>
          </w:p>
        </w:tc>
      </w:tr>
      <w:tr w:rsidR="00181744" w:rsidRPr="00181744" w14:paraId="6089BC2B"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2D73CFB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36" w:type="dxa"/>
            <w:tcBorders>
              <w:top w:val="nil"/>
              <w:left w:val="nil"/>
              <w:bottom w:val="single" w:sz="8" w:space="0" w:color="DCDDDE"/>
              <w:right w:val="nil"/>
            </w:tcBorders>
            <w:shd w:val="clear" w:color="000000" w:fill="FFFFFF"/>
            <w:noWrap/>
            <w:vAlign w:val="center"/>
            <w:hideMark/>
          </w:tcPr>
          <w:p w14:paraId="4EF4164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0506FB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77E884C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E3B7E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3B632AF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6674BB5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74408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814133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35313F0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3D4ADB1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BC4A18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4175A88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59CE75C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r>
      <w:tr w:rsidR="00181744" w:rsidRPr="00181744" w14:paraId="04565085"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1F04AC2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36" w:type="dxa"/>
            <w:tcBorders>
              <w:top w:val="nil"/>
              <w:left w:val="nil"/>
              <w:bottom w:val="single" w:sz="8" w:space="0" w:color="DCDDDE"/>
              <w:right w:val="nil"/>
            </w:tcBorders>
            <w:shd w:val="clear" w:color="000000" w:fill="FFFFFF"/>
            <w:noWrap/>
            <w:vAlign w:val="center"/>
            <w:hideMark/>
          </w:tcPr>
          <w:p w14:paraId="114CB7D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58.2</w:t>
            </w:r>
          </w:p>
        </w:tc>
        <w:tc>
          <w:tcPr>
            <w:tcW w:w="536" w:type="dxa"/>
            <w:tcBorders>
              <w:top w:val="nil"/>
              <w:left w:val="nil"/>
              <w:bottom w:val="single" w:sz="8" w:space="0" w:color="DCDDDE"/>
              <w:right w:val="nil"/>
            </w:tcBorders>
            <w:shd w:val="clear" w:color="000000" w:fill="FFFFFF"/>
            <w:noWrap/>
            <w:vAlign w:val="center"/>
            <w:hideMark/>
          </w:tcPr>
          <w:p w14:paraId="4735C05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61.4</w:t>
            </w:r>
          </w:p>
        </w:tc>
        <w:tc>
          <w:tcPr>
            <w:tcW w:w="536" w:type="dxa"/>
            <w:tcBorders>
              <w:top w:val="nil"/>
              <w:left w:val="nil"/>
              <w:bottom w:val="single" w:sz="8" w:space="0" w:color="DCDDDE"/>
              <w:right w:val="nil"/>
            </w:tcBorders>
            <w:shd w:val="clear" w:color="000000" w:fill="FFFFFF"/>
            <w:noWrap/>
            <w:vAlign w:val="center"/>
            <w:hideMark/>
          </w:tcPr>
          <w:p w14:paraId="7420D8D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69.6</w:t>
            </w:r>
          </w:p>
        </w:tc>
        <w:tc>
          <w:tcPr>
            <w:tcW w:w="595" w:type="dxa"/>
            <w:tcBorders>
              <w:top w:val="nil"/>
              <w:left w:val="nil"/>
              <w:bottom w:val="single" w:sz="8" w:space="0" w:color="DCDDDE"/>
              <w:right w:val="nil"/>
            </w:tcBorders>
            <w:shd w:val="clear" w:color="000000" w:fill="FFFFFF"/>
            <w:noWrap/>
            <w:vAlign w:val="center"/>
            <w:hideMark/>
          </w:tcPr>
          <w:p w14:paraId="2B2CA1E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83.2</w:t>
            </w:r>
          </w:p>
        </w:tc>
        <w:tc>
          <w:tcPr>
            <w:tcW w:w="595" w:type="dxa"/>
            <w:tcBorders>
              <w:top w:val="nil"/>
              <w:left w:val="nil"/>
              <w:bottom w:val="single" w:sz="8" w:space="0" w:color="DCDDDE"/>
              <w:right w:val="nil"/>
            </w:tcBorders>
            <w:shd w:val="clear" w:color="000000" w:fill="FFFFFF"/>
            <w:noWrap/>
            <w:vAlign w:val="center"/>
            <w:hideMark/>
          </w:tcPr>
          <w:p w14:paraId="6A4AF77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84.2</w:t>
            </w:r>
          </w:p>
        </w:tc>
        <w:tc>
          <w:tcPr>
            <w:tcW w:w="595" w:type="dxa"/>
            <w:tcBorders>
              <w:top w:val="nil"/>
              <w:left w:val="nil"/>
              <w:bottom w:val="single" w:sz="8" w:space="0" w:color="DCDDDE"/>
              <w:right w:val="nil"/>
            </w:tcBorders>
            <w:shd w:val="clear" w:color="000000" w:fill="FFFFFF"/>
            <w:noWrap/>
            <w:vAlign w:val="center"/>
            <w:hideMark/>
          </w:tcPr>
          <w:p w14:paraId="5905BD4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94.9</w:t>
            </w:r>
          </w:p>
        </w:tc>
        <w:tc>
          <w:tcPr>
            <w:tcW w:w="595" w:type="dxa"/>
            <w:tcBorders>
              <w:top w:val="nil"/>
              <w:left w:val="nil"/>
              <w:bottom w:val="single" w:sz="8" w:space="0" w:color="DCDDDE"/>
              <w:right w:val="nil"/>
            </w:tcBorders>
            <w:shd w:val="clear" w:color="000000" w:fill="FFFFFF"/>
            <w:noWrap/>
            <w:vAlign w:val="center"/>
            <w:hideMark/>
          </w:tcPr>
          <w:p w14:paraId="4C3ADCC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95.6</w:t>
            </w:r>
          </w:p>
        </w:tc>
        <w:tc>
          <w:tcPr>
            <w:tcW w:w="595" w:type="dxa"/>
            <w:tcBorders>
              <w:top w:val="nil"/>
              <w:left w:val="nil"/>
              <w:bottom w:val="single" w:sz="8" w:space="0" w:color="DCDDDE"/>
              <w:right w:val="nil"/>
            </w:tcBorders>
            <w:shd w:val="clear" w:color="000000" w:fill="FFFFFF"/>
            <w:noWrap/>
            <w:vAlign w:val="center"/>
            <w:hideMark/>
          </w:tcPr>
          <w:p w14:paraId="0933A60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96.8</w:t>
            </w:r>
          </w:p>
        </w:tc>
        <w:tc>
          <w:tcPr>
            <w:tcW w:w="595" w:type="dxa"/>
            <w:tcBorders>
              <w:top w:val="nil"/>
              <w:left w:val="nil"/>
              <w:bottom w:val="single" w:sz="8" w:space="0" w:color="DCDDDE"/>
              <w:right w:val="nil"/>
            </w:tcBorders>
            <w:shd w:val="clear" w:color="000000" w:fill="FFFFFF"/>
            <w:noWrap/>
            <w:vAlign w:val="center"/>
            <w:hideMark/>
          </w:tcPr>
          <w:p w14:paraId="1D75A3E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96.7</w:t>
            </w:r>
          </w:p>
        </w:tc>
        <w:tc>
          <w:tcPr>
            <w:tcW w:w="595" w:type="dxa"/>
            <w:tcBorders>
              <w:top w:val="nil"/>
              <w:left w:val="nil"/>
              <w:bottom w:val="single" w:sz="8" w:space="0" w:color="DCDDDE"/>
              <w:right w:val="nil"/>
            </w:tcBorders>
            <w:shd w:val="clear" w:color="000000" w:fill="FFFFFF"/>
            <w:noWrap/>
            <w:vAlign w:val="center"/>
            <w:hideMark/>
          </w:tcPr>
          <w:p w14:paraId="451CA4D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97.4</w:t>
            </w:r>
          </w:p>
        </w:tc>
        <w:tc>
          <w:tcPr>
            <w:tcW w:w="595" w:type="dxa"/>
            <w:tcBorders>
              <w:top w:val="nil"/>
              <w:left w:val="nil"/>
              <w:bottom w:val="single" w:sz="8" w:space="0" w:color="DCDDDE"/>
              <w:right w:val="nil"/>
            </w:tcBorders>
            <w:shd w:val="clear" w:color="000000" w:fill="FFFFFF"/>
            <w:noWrap/>
            <w:vAlign w:val="center"/>
            <w:hideMark/>
          </w:tcPr>
          <w:p w14:paraId="76EC851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96.8</w:t>
            </w:r>
          </w:p>
        </w:tc>
        <w:tc>
          <w:tcPr>
            <w:tcW w:w="595" w:type="dxa"/>
            <w:tcBorders>
              <w:top w:val="nil"/>
              <w:left w:val="nil"/>
              <w:bottom w:val="single" w:sz="8" w:space="0" w:color="DCDDDE"/>
              <w:right w:val="nil"/>
            </w:tcBorders>
            <w:shd w:val="clear" w:color="000000" w:fill="FFFFFF"/>
            <w:noWrap/>
            <w:vAlign w:val="center"/>
            <w:hideMark/>
          </w:tcPr>
          <w:p w14:paraId="6ABBFF3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94.7</w:t>
            </w:r>
          </w:p>
        </w:tc>
        <w:tc>
          <w:tcPr>
            <w:tcW w:w="595" w:type="dxa"/>
            <w:tcBorders>
              <w:top w:val="nil"/>
              <w:left w:val="nil"/>
              <w:bottom w:val="single" w:sz="8" w:space="0" w:color="DCDDDE"/>
              <w:right w:val="nil"/>
            </w:tcBorders>
            <w:shd w:val="clear" w:color="000000" w:fill="FFFFFF"/>
            <w:noWrap/>
            <w:vAlign w:val="center"/>
            <w:hideMark/>
          </w:tcPr>
          <w:p w14:paraId="493B55C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92.5</w:t>
            </w:r>
          </w:p>
        </w:tc>
      </w:tr>
      <w:tr w:rsidR="00181744" w:rsidRPr="00181744" w14:paraId="1DD4D506" w14:textId="77777777" w:rsidTr="00181744">
        <w:trPr>
          <w:trHeight w:val="280"/>
        </w:trPr>
        <w:tc>
          <w:tcPr>
            <w:tcW w:w="8745" w:type="dxa"/>
            <w:gridSpan w:val="15"/>
            <w:tcBorders>
              <w:top w:val="single" w:sz="8" w:space="0" w:color="DCDDDE"/>
              <w:left w:val="nil"/>
              <w:bottom w:val="single" w:sz="8" w:space="0" w:color="DCDDDE"/>
              <w:right w:val="nil"/>
            </w:tcBorders>
            <w:shd w:val="clear" w:color="000000" w:fill="DADADA"/>
            <w:noWrap/>
            <w:vAlign w:val="center"/>
            <w:hideMark/>
          </w:tcPr>
          <w:p w14:paraId="7E5BABA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181744" w:rsidRPr="00181744" w14:paraId="50109086"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08FD193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36" w:type="dxa"/>
            <w:tcBorders>
              <w:top w:val="nil"/>
              <w:left w:val="nil"/>
              <w:bottom w:val="single" w:sz="8" w:space="0" w:color="DCDDDE"/>
              <w:right w:val="nil"/>
            </w:tcBorders>
            <w:shd w:val="clear" w:color="000000" w:fill="FFFFFF"/>
            <w:noWrap/>
            <w:vAlign w:val="center"/>
            <w:hideMark/>
          </w:tcPr>
          <w:p w14:paraId="70BD9BE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12.8</w:t>
            </w:r>
          </w:p>
        </w:tc>
        <w:tc>
          <w:tcPr>
            <w:tcW w:w="536" w:type="dxa"/>
            <w:tcBorders>
              <w:top w:val="nil"/>
              <w:left w:val="nil"/>
              <w:bottom w:val="single" w:sz="8" w:space="0" w:color="DCDDDE"/>
              <w:right w:val="nil"/>
            </w:tcBorders>
            <w:shd w:val="clear" w:color="000000" w:fill="FFFFFF"/>
            <w:noWrap/>
            <w:vAlign w:val="center"/>
            <w:hideMark/>
          </w:tcPr>
          <w:p w14:paraId="3514262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16.4</w:t>
            </w:r>
          </w:p>
        </w:tc>
        <w:tc>
          <w:tcPr>
            <w:tcW w:w="536" w:type="dxa"/>
            <w:tcBorders>
              <w:top w:val="nil"/>
              <w:left w:val="nil"/>
              <w:bottom w:val="single" w:sz="8" w:space="0" w:color="DCDDDE"/>
              <w:right w:val="nil"/>
            </w:tcBorders>
            <w:shd w:val="clear" w:color="000000" w:fill="FFFFFF"/>
            <w:noWrap/>
            <w:vAlign w:val="center"/>
            <w:hideMark/>
          </w:tcPr>
          <w:p w14:paraId="610933A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17.7</w:t>
            </w:r>
          </w:p>
        </w:tc>
        <w:tc>
          <w:tcPr>
            <w:tcW w:w="595" w:type="dxa"/>
            <w:tcBorders>
              <w:top w:val="nil"/>
              <w:left w:val="nil"/>
              <w:bottom w:val="single" w:sz="8" w:space="0" w:color="DCDDDE"/>
              <w:right w:val="nil"/>
            </w:tcBorders>
            <w:shd w:val="clear" w:color="000000" w:fill="FFFFFF"/>
            <w:noWrap/>
            <w:vAlign w:val="center"/>
            <w:hideMark/>
          </w:tcPr>
          <w:p w14:paraId="3910A84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20.0</w:t>
            </w:r>
          </w:p>
        </w:tc>
        <w:tc>
          <w:tcPr>
            <w:tcW w:w="595" w:type="dxa"/>
            <w:tcBorders>
              <w:top w:val="nil"/>
              <w:left w:val="nil"/>
              <w:bottom w:val="single" w:sz="8" w:space="0" w:color="DCDDDE"/>
              <w:right w:val="nil"/>
            </w:tcBorders>
            <w:shd w:val="clear" w:color="000000" w:fill="FFFFFF"/>
            <w:noWrap/>
            <w:vAlign w:val="center"/>
            <w:hideMark/>
          </w:tcPr>
          <w:p w14:paraId="4F146E4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21.0</w:t>
            </w:r>
          </w:p>
        </w:tc>
        <w:tc>
          <w:tcPr>
            <w:tcW w:w="595" w:type="dxa"/>
            <w:tcBorders>
              <w:top w:val="nil"/>
              <w:left w:val="nil"/>
              <w:bottom w:val="single" w:sz="8" w:space="0" w:color="DCDDDE"/>
              <w:right w:val="nil"/>
            </w:tcBorders>
            <w:shd w:val="clear" w:color="000000" w:fill="FFFFFF"/>
            <w:noWrap/>
            <w:vAlign w:val="center"/>
            <w:hideMark/>
          </w:tcPr>
          <w:p w14:paraId="5DD691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20.3</w:t>
            </w:r>
          </w:p>
        </w:tc>
        <w:tc>
          <w:tcPr>
            <w:tcW w:w="595" w:type="dxa"/>
            <w:tcBorders>
              <w:top w:val="nil"/>
              <w:left w:val="nil"/>
              <w:bottom w:val="single" w:sz="8" w:space="0" w:color="DCDDDE"/>
              <w:right w:val="nil"/>
            </w:tcBorders>
            <w:shd w:val="clear" w:color="000000" w:fill="FFFFFF"/>
            <w:noWrap/>
            <w:vAlign w:val="center"/>
            <w:hideMark/>
          </w:tcPr>
          <w:p w14:paraId="0BA7053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22.7</w:t>
            </w:r>
          </w:p>
        </w:tc>
        <w:tc>
          <w:tcPr>
            <w:tcW w:w="595" w:type="dxa"/>
            <w:tcBorders>
              <w:top w:val="nil"/>
              <w:left w:val="nil"/>
              <w:bottom w:val="single" w:sz="8" w:space="0" w:color="DCDDDE"/>
              <w:right w:val="nil"/>
            </w:tcBorders>
            <w:shd w:val="clear" w:color="000000" w:fill="FFFFFF"/>
            <w:noWrap/>
            <w:vAlign w:val="center"/>
            <w:hideMark/>
          </w:tcPr>
          <w:p w14:paraId="217EA8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26.6</w:t>
            </w:r>
          </w:p>
        </w:tc>
        <w:tc>
          <w:tcPr>
            <w:tcW w:w="595" w:type="dxa"/>
            <w:tcBorders>
              <w:top w:val="nil"/>
              <w:left w:val="nil"/>
              <w:bottom w:val="single" w:sz="8" w:space="0" w:color="DCDDDE"/>
              <w:right w:val="nil"/>
            </w:tcBorders>
            <w:shd w:val="clear" w:color="000000" w:fill="FFFFFF"/>
            <w:noWrap/>
            <w:vAlign w:val="center"/>
            <w:hideMark/>
          </w:tcPr>
          <w:p w14:paraId="13131AD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26.7</w:t>
            </w:r>
          </w:p>
        </w:tc>
        <w:tc>
          <w:tcPr>
            <w:tcW w:w="595" w:type="dxa"/>
            <w:tcBorders>
              <w:top w:val="nil"/>
              <w:left w:val="nil"/>
              <w:bottom w:val="single" w:sz="8" w:space="0" w:color="DCDDDE"/>
              <w:right w:val="nil"/>
            </w:tcBorders>
            <w:shd w:val="clear" w:color="000000" w:fill="FFFFFF"/>
            <w:noWrap/>
            <w:vAlign w:val="center"/>
            <w:hideMark/>
          </w:tcPr>
          <w:p w14:paraId="5EF9192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27.0</w:t>
            </w:r>
          </w:p>
        </w:tc>
        <w:tc>
          <w:tcPr>
            <w:tcW w:w="595" w:type="dxa"/>
            <w:tcBorders>
              <w:top w:val="nil"/>
              <w:left w:val="nil"/>
              <w:bottom w:val="single" w:sz="8" w:space="0" w:color="DCDDDE"/>
              <w:right w:val="nil"/>
            </w:tcBorders>
            <w:shd w:val="clear" w:color="000000" w:fill="FFFFFF"/>
            <w:noWrap/>
            <w:vAlign w:val="center"/>
            <w:hideMark/>
          </w:tcPr>
          <w:p w14:paraId="154784E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27.2</w:t>
            </w:r>
          </w:p>
        </w:tc>
        <w:tc>
          <w:tcPr>
            <w:tcW w:w="595" w:type="dxa"/>
            <w:tcBorders>
              <w:top w:val="nil"/>
              <w:left w:val="nil"/>
              <w:bottom w:val="single" w:sz="8" w:space="0" w:color="DCDDDE"/>
              <w:right w:val="nil"/>
            </w:tcBorders>
            <w:shd w:val="clear" w:color="000000" w:fill="FFFFFF"/>
            <w:noWrap/>
            <w:vAlign w:val="center"/>
            <w:hideMark/>
          </w:tcPr>
          <w:p w14:paraId="73C161A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26.9</w:t>
            </w:r>
          </w:p>
        </w:tc>
        <w:tc>
          <w:tcPr>
            <w:tcW w:w="595" w:type="dxa"/>
            <w:tcBorders>
              <w:top w:val="nil"/>
              <w:left w:val="nil"/>
              <w:bottom w:val="single" w:sz="8" w:space="0" w:color="DCDDDE"/>
              <w:right w:val="nil"/>
            </w:tcBorders>
            <w:shd w:val="clear" w:color="000000" w:fill="FFFFFF"/>
            <w:noWrap/>
            <w:vAlign w:val="center"/>
            <w:hideMark/>
          </w:tcPr>
          <w:p w14:paraId="5CCD6E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26.4</w:t>
            </w:r>
          </w:p>
        </w:tc>
      </w:tr>
      <w:tr w:rsidR="00181744" w:rsidRPr="00181744" w14:paraId="172CA35C"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2685463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36" w:type="dxa"/>
            <w:tcBorders>
              <w:top w:val="nil"/>
              <w:left w:val="nil"/>
              <w:bottom w:val="single" w:sz="8" w:space="0" w:color="DCDDDE"/>
              <w:right w:val="nil"/>
            </w:tcBorders>
            <w:shd w:val="clear" w:color="000000" w:fill="FFFFFF"/>
            <w:noWrap/>
            <w:vAlign w:val="center"/>
            <w:hideMark/>
          </w:tcPr>
          <w:p w14:paraId="61E458A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42.3</w:t>
            </w:r>
          </w:p>
        </w:tc>
        <w:tc>
          <w:tcPr>
            <w:tcW w:w="536" w:type="dxa"/>
            <w:tcBorders>
              <w:top w:val="nil"/>
              <w:left w:val="nil"/>
              <w:bottom w:val="single" w:sz="8" w:space="0" w:color="DCDDDE"/>
              <w:right w:val="nil"/>
            </w:tcBorders>
            <w:shd w:val="clear" w:color="000000" w:fill="FFFFFF"/>
            <w:noWrap/>
            <w:vAlign w:val="center"/>
            <w:hideMark/>
          </w:tcPr>
          <w:p w14:paraId="102A6F0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42.6</w:t>
            </w:r>
          </w:p>
        </w:tc>
        <w:tc>
          <w:tcPr>
            <w:tcW w:w="536" w:type="dxa"/>
            <w:tcBorders>
              <w:top w:val="nil"/>
              <w:left w:val="nil"/>
              <w:bottom w:val="single" w:sz="8" w:space="0" w:color="DCDDDE"/>
              <w:right w:val="nil"/>
            </w:tcBorders>
            <w:shd w:val="clear" w:color="000000" w:fill="FFFFFF"/>
            <w:noWrap/>
            <w:vAlign w:val="center"/>
            <w:hideMark/>
          </w:tcPr>
          <w:p w14:paraId="46F2A1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50.1</w:t>
            </w:r>
          </w:p>
        </w:tc>
        <w:tc>
          <w:tcPr>
            <w:tcW w:w="595" w:type="dxa"/>
            <w:tcBorders>
              <w:top w:val="nil"/>
              <w:left w:val="nil"/>
              <w:bottom w:val="single" w:sz="8" w:space="0" w:color="DCDDDE"/>
              <w:right w:val="nil"/>
            </w:tcBorders>
            <w:shd w:val="clear" w:color="000000" w:fill="FFFFFF"/>
            <w:noWrap/>
            <w:vAlign w:val="center"/>
            <w:hideMark/>
          </w:tcPr>
          <w:p w14:paraId="651A83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61.1</w:t>
            </w:r>
          </w:p>
        </w:tc>
        <w:tc>
          <w:tcPr>
            <w:tcW w:w="595" w:type="dxa"/>
            <w:tcBorders>
              <w:top w:val="nil"/>
              <w:left w:val="nil"/>
              <w:bottom w:val="single" w:sz="8" w:space="0" w:color="DCDDDE"/>
              <w:right w:val="nil"/>
            </w:tcBorders>
            <w:shd w:val="clear" w:color="000000" w:fill="FFFFFF"/>
            <w:noWrap/>
            <w:vAlign w:val="center"/>
            <w:hideMark/>
          </w:tcPr>
          <w:p w14:paraId="452B6D7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60.5</w:t>
            </w:r>
          </w:p>
        </w:tc>
        <w:tc>
          <w:tcPr>
            <w:tcW w:w="595" w:type="dxa"/>
            <w:tcBorders>
              <w:top w:val="nil"/>
              <w:left w:val="nil"/>
              <w:bottom w:val="single" w:sz="8" w:space="0" w:color="DCDDDE"/>
              <w:right w:val="nil"/>
            </w:tcBorders>
            <w:shd w:val="clear" w:color="000000" w:fill="FFFFFF"/>
            <w:noWrap/>
            <w:vAlign w:val="center"/>
            <w:hideMark/>
          </w:tcPr>
          <w:p w14:paraId="2E1483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69.3</w:t>
            </w:r>
          </w:p>
        </w:tc>
        <w:tc>
          <w:tcPr>
            <w:tcW w:w="595" w:type="dxa"/>
            <w:tcBorders>
              <w:top w:val="nil"/>
              <w:left w:val="nil"/>
              <w:bottom w:val="single" w:sz="8" w:space="0" w:color="DCDDDE"/>
              <w:right w:val="nil"/>
            </w:tcBorders>
            <w:shd w:val="clear" w:color="000000" w:fill="FFFFFF"/>
            <w:noWrap/>
            <w:vAlign w:val="center"/>
            <w:hideMark/>
          </w:tcPr>
          <w:p w14:paraId="63F7EC6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67.7</w:t>
            </w:r>
          </w:p>
        </w:tc>
        <w:tc>
          <w:tcPr>
            <w:tcW w:w="595" w:type="dxa"/>
            <w:tcBorders>
              <w:top w:val="nil"/>
              <w:left w:val="nil"/>
              <w:bottom w:val="single" w:sz="8" w:space="0" w:color="DCDDDE"/>
              <w:right w:val="nil"/>
            </w:tcBorders>
            <w:shd w:val="clear" w:color="000000" w:fill="FFFFFF"/>
            <w:noWrap/>
            <w:vAlign w:val="center"/>
            <w:hideMark/>
          </w:tcPr>
          <w:p w14:paraId="3934C3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66.7</w:t>
            </w:r>
          </w:p>
        </w:tc>
        <w:tc>
          <w:tcPr>
            <w:tcW w:w="595" w:type="dxa"/>
            <w:tcBorders>
              <w:top w:val="nil"/>
              <w:left w:val="nil"/>
              <w:bottom w:val="single" w:sz="8" w:space="0" w:color="DCDDDE"/>
              <w:right w:val="nil"/>
            </w:tcBorders>
            <w:shd w:val="clear" w:color="000000" w:fill="FFFFFF"/>
            <w:noWrap/>
            <w:vAlign w:val="center"/>
            <w:hideMark/>
          </w:tcPr>
          <w:p w14:paraId="3833189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65.2</w:t>
            </w:r>
          </w:p>
        </w:tc>
        <w:tc>
          <w:tcPr>
            <w:tcW w:w="595" w:type="dxa"/>
            <w:tcBorders>
              <w:top w:val="nil"/>
              <w:left w:val="nil"/>
              <w:bottom w:val="single" w:sz="8" w:space="0" w:color="DCDDDE"/>
              <w:right w:val="nil"/>
            </w:tcBorders>
            <w:shd w:val="clear" w:color="000000" w:fill="FFFFFF"/>
            <w:noWrap/>
            <w:vAlign w:val="center"/>
            <w:hideMark/>
          </w:tcPr>
          <w:p w14:paraId="1B42FE0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64.4</w:t>
            </w:r>
          </w:p>
        </w:tc>
        <w:tc>
          <w:tcPr>
            <w:tcW w:w="595" w:type="dxa"/>
            <w:tcBorders>
              <w:top w:val="nil"/>
              <w:left w:val="nil"/>
              <w:bottom w:val="single" w:sz="8" w:space="0" w:color="DCDDDE"/>
              <w:right w:val="nil"/>
            </w:tcBorders>
            <w:shd w:val="clear" w:color="000000" w:fill="FFFFFF"/>
            <w:noWrap/>
            <w:vAlign w:val="center"/>
            <w:hideMark/>
          </w:tcPr>
          <w:p w14:paraId="7417E3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62.4</w:t>
            </w:r>
          </w:p>
        </w:tc>
        <w:tc>
          <w:tcPr>
            <w:tcW w:w="595" w:type="dxa"/>
            <w:tcBorders>
              <w:top w:val="nil"/>
              <w:left w:val="nil"/>
              <w:bottom w:val="single" w:sz="8" w:space="0" w:color="DCDDDE"/>
              <w:right w:val="nil"/>
            </w:tcBorders>
            <w:shd w:val="clear" w:color="000000" w:fill="FFFFFF"/>
            <w:noWrap/>
            <w:vAlign w:val="center"/>
            <w:hideMark/>
          </w:tcPr>
          <w:p w14:paraId="5375FB7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59.3</w:t>
            </w:r>
          </w:p>
        </w:tc>
        <w:tc>
          <w:tcPr>
            <w:tcW w:w="595" w:type="dxa"/>
            <w:tcBorders>
              <w:top w:val="nil"/>
              <w:left w:val="nil"/>
              <w:bottom w:val="single" w:sz="8" w:space="0" w:color="DCDDDE"/>
              <w:right w:val="nil"/>
            </w:tcBorders>
            <w:shd w:val="clear" w:color="000000" w:fill="FFFFFF"/>
            <w:noWrap/>
            <w:vAlign w:val="center"/>
            <w:hideMark/>
          </w:tcPr>
          <w:p w14:paraId="703E0AA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56.3</w:t>
            </w:r>
          </w:p>
        </w:tc>
      </w:tr>
      <w:tr w:rsidR="00181744" w:rsidRPr="00181744" w14:paraId="0D7942E4"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2683B48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36" w:type="dxa"/>
            <w:tcBorders>
              <w:top w:val="nil"/>
              <w:left w:val="nil"/>
              <w:bottom w:val="single" w:sz="8" w:space="0" w:color="DCDDDE"/>
              <w:right w:val="nil"/>
            </w:tcBorders>
            <w:shd w:val="clear" w:color="000000" w:fill="FFFFFF"/>
            <w:noWrap/>
            <w:vAlign w:val="center"/>
            <w:hideMark/>
          </w:tcPr>
          <w:p w14:paraId="25B04F3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536" w:type="dxa"/>
            <w:tcBorders>
              <w:top w:val="nil"/>
              <w:left w:val="nil"/>
              <w:bottom w:val="single" w:sz="8" w:space="0" w:color="DCDDDE"/>
              <w:right w:val="nil"/>
            </w:tcBorders>
            <w:shd w:val="clear" w:color="000000" w:fill="FFFFFF"/>
            <w:noWrap/>
            <w:vAlign w:val="center"/>
            <w:hideMark/>
          </w:tcPr>
          <w:p w14:paraId="77DAE99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536" w:type="dxa"/>
            <w:tcBorders>
              <w:top w:val="nil"/>
              <w:left w:val="nil"/>
              <w:bottom w:val="single" w:sz="8" w:space="0" w:color="DCDDDE"/>
              <w:right w:val="nil"/>
            </w:tcBorders>
            <w:shd w:val="clear" w:color="000000" w:fill="FFFFFF"/>
            <w:noWrap/>
            <w:vAlign w:val="center"/>
            <w:hideMark/>
          </w:tcPr>
          <w:p w14:paraId="243FF0B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w:t>
            </w:r>
          </w:p>
        </w:tc>
        <w:tc>
          <w:tcPr>
            <w:tcW w:w="595" w:type="dxa"/>
            <w:tcBorders>
              <w:top w:val="nil"/>
              <w:left w:val="nil"/>
              <w:bottom w:val="single" w:sz="8" w:space="0" w:color="DCDDDE"/>
              <w:right w:val="nil"/>
            </w:tcBorders>
            <w:shd w:val="clear" w:color="000000" w:fill="FFFFFF"/>
            <w:noWrap/>
            <w:vAlign w:val="center"/>
            <w:hideMark/>
          </w:tcPr>
          <w:p w14:paraId="4402726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w:t>
            </w:r>
          </w:p>
        </w:tc>
        <w:tc>
          <w:tcPr>
            <w:tcW w:w="595" w:type="dxa"/>
            <w:tcBorders>
              <w:top w:val="nil"/>
              <w:left w:val="nil"/>
              <w:bottom w:val="single" w:sz="8" w:space="0" w:color="DCDDDE"/>
              <w:right w:val="nil"/>
            </w:tcBorders>
            <w:shd w:val="clear" w:color="000000" w:fill="FFFFFF"/>
            <w:noWrap/>
            <w:vAlign w:val="center"/>
            <w:hideMark/>
          </w:tcPr>
          <w:p w14:paraId="2CEC803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w:t>
            </w:r>
          </w:p>
        </w:tc>
        <w:tc>
          <w:tcPr>
            <w:tcW w:w="595" w:type="dxa"/>
            <w:tcBorders>
              <w:top w:val="nil"/>
              <w:left w:val="nil"/>
              <w:bottom w:val="single" w:sz="8" w:space="0" w:color="DCDDDE"/>
              <w:right w:val="nil"/>
            </w:tcBorders>
            <w:shd w:val="clear" w:color="000000" w:fill="FFFFFF"/>
            <w:noWrap/>
            <w:vAlign w:val="center"/>
            <w:hideMark/>
          </w:tcPr>
          <w:p w14:paraId="07FE7AF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5" w:type="dxa"/>
            <w:tcBorders>
              <w:top w:val="nil"/>
              <w:left w:val="nil"/>
              <w:bottom w:val="single" w:sz="8" w:space="0" w:color="DCDDDE"/>
              <w:right w:val="nil"/>
            </w:tcBorders>
            <w:shd w:val="clear" w:color="000000" w:fill="FFFFFF"/>
            <w:noWrap/>
            <w:vAlign w:val="center"/>
            <w:hideMark/>
          </w:tcPr>
          <w:p w14:paraId="48BF50A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w:t>
            </w:r>
          </w:p>
        </w:tc>
        <w:tc>
          <w:tcPr>
            <w:tcW w:w="595" w:type="dxa"/>
            <w:tcBorders>
              <w:top w:val="nil"/>
              <w:left w:val="nil"/>
              <w:bottom w:val="single" w:sz="8" w:space="0" w:color="DCDDDE"/>
              <w:right w:val="nil"/>
            </w:tcBorders>
            <w:shd w:val="clear" w:color="000000" w:fill="FFFFFF"/>
            <w:noWrap/>
            <w:vAlign w:val="center"/>
            <w:hideMark/>
          </w:tcPr>
          <w:p w14:paraId="6E86267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8.8</w:t>
            </w:r>
          </w:p>
        </w:tc>
        <w:tc>
          <w:tcPr>
            <w:tcW w:w="595" w:type="dxa"/>
            <w:tcBorders>
              <w:top w:val="nil"/>
              <w:left w:val="nil"/>
              <w:bottom w:val="single" w:sz="8" w:space="0" w:color="DCDDDE"/>
              <w:right w:val="nil"/>
            </w:tcBorders>
            <w:shd w:val="clear" w:color="000000" w:fill="FFFFFF"/>
            <w:noWrap/>
            <w:vAlign w:val="center"/>
            <w:hideMark/>
          </w:tcPr>
          <w:p w14:paraId="2B7E1FC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w:t>
            </w:r>
          </w:p>
        </w:tc>
        <w:tc>
          <w:tcPr>
            <w:tcW w:w="595" w:type="dxa"/>
            <w:tcBorders>
              <w:top w:val="nil"/>
              <w:left w:val="nil"/>
              <w:bottom w:val="single" w:sz="8" w:space="0" w:color="DCDDDE"/>
              <w:right w:val="nil"/>
            </w:tcBorders>
            <w:shd w:val="clear" w:color="000000" w:fill="FFFFFF"/>
            <w:noWrap/>
            <w:vAlign w:val="center"/>
            <w:hideMark/>
          </w:tcPr>
          <w:p w14:paraId="20962E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10.6</w:t>
            </w:r>
          </w:p>
        </w:tc>
        <w:tc>
          <w:tcPr>
            <w:tcW w:w="595" w:type="dxa"/>
            <w:tcBorders>
              <w:top w:val="nil"/>
              <w:left w:val="nil"/>
              <w:bottom w:val="single" w:sz="8" w:space="0" w:color="DCDDDE"/>
              <w:right w:val="nil"/>
            </w:tcBorders>
            <w:shd w:val="clear" w:color="000000" w:fill="FFFFFF"/>
            <w:noWrap/>
            <w:vAlign w:val="center"/>
            <w:hideMark/>
          </w:tcPr>
          <w:p w14:paraId="3C7DCF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11.5</w:t>
            </w:r>
          </w:p>
        </w:tc>
        <w:tc>
          <w:tcPr>
            <w:tcW w:w="595" w:type="dxa"/>
            <w:tcBorders>
              <w:top w:val="nil"/>
              <w:left w:val="nil"/>
              <w:bottom w:val="single" w:sz="8" w:space="0" w:color="DCDDDE"/>
              <w:right w:val="nil"/>
            </w:tcBorders>
            <w:shd w:val="clear" w:color="000000" w:fill="FFFFFF"/>
            <w:noWrap/>
            <w:vAlign w:val="center"/>
            <w:hideMark/>
          </w:tcPr>
          <w:p w14:paraId="419C84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12.5</w:t>
            </w:r>
          </w:p>
        </w:tc>
        <w:tc>
          <w:tcPr>
            <w:tcW w:w="595" w:type="dxa"/>
            <w:tcBorders>
              <w:top w:val="nil"/>
              <w:left w:val="nil"/>
              <w:bottom w:val="single" w:sz="8" w:space="0" w:color="DCDDDE"/>
              <w:right w:val="nil"/>
            </w:tcBorders>
            <w:shd w:val="clear" w:color="000000" w:fill="FFFFFF"/>
            <w:noWrap/>
            <w:vAlign w:val="center"/>
            <w:hideMark/>
          </w:tcPr>
          <w:p w14:paraId="2C8BE26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w:t>
            </w:r>
          </w:p>
        </w:tc>
      </w:tr>
      <w:tr w:rsidR="00181744" w:rsidRPr="00181744" w14:paraId="332A82A9"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0007E48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36" w:type="dxa"/>
            <w:tcBorders>
              <w:top w:val="nil"/>
              <w:left w:val="nil"/>
              <w:bottom w:val="single" w:sz="8" w:space="0" w:color="DCDDDE"/>
              <w:right w:val="nil"/>
            </w:tcBorders>
            <w:shd w:val="clear" w:color="000000" w:fill="FFFFFF"/>
            <w:noWrap/>
            <w:vAlign w:val="center"/>
            <w:hideMark/>
          </w:tcPr>
          <w:p w14:paraId="49D684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45B664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013283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09F791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9A85F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4B53F1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6E62719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51AD6D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05545C7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106AF41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22270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E3D9C7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0CA864A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r>
      <w:tr w:rsidR="00181744" w:rsidRPr="00181744" w14:paraId="15BC4D68"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00E34A0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36" w:type="dxa"/>
            <w:tcBorders>
              <w:top w:val="nil"/>
              <w:left w:val="nil"/>
              <w:bottom w:val="single" w:sz="8" w:space="0" w:color="DCDDDE"/>
              <w:right w:val="nil"/>
            </w:tcBorders>
            <w:shd w:val="clear" w:color="000000" w:fill="FFFFFF"/>
            <w:noWrap/>
            <w:vAlign w:val="center"/>
            <w:hideMark/>
          </w:tcPr>
          <w:p w14:paraId="2A9B2CE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59.0</w:t>
            </w:r>
          </w:p>
        </w:tc>
        <w:tc>
          <w:tcPr>
            <w:tcW w:w="536" w:type="dxa"/>
            <w:tcBorders>
              <w:top w:val="nil"/>
              <w:left w:val="nil"/>
              <w:bottom w:val="single" w:sz="8" w:space="0" w:color="DCDDDE"/>
              <w:right w:val="nil"/>
            </w:tcBorders>
            <w:shd w:val="clear" w:color="000000" w:fill="FFFFFF"/>
            <w:noWrap/>
            <w:vAlign w:val="center"/>
            <w:hideMark/>
          </w:tcPr>
          <w:p w14:paraId="1E1695A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63.9</w:t>
            </w:r>
          </w:p>
        </w:tc>
        <w:tc>
          <w:tcPr>
            <w:tcW w:w="536" w:type="dxa"/>
            <w:tcBorders>
              <w:top w:val="nil"/>
              <w:left w:val="nil"/>
              <w:bottom w:val="single" w:sz="8" w:space="0" w:color="DCDDDE"/>
              <w:right w:val="nil"/>
            </w:tcBorders>
            <w:shd w:val="clear" w:color="000000" w:fill="FFFFFF"/>
            <w:noWrap/>
            <w:vAlign w:val="center"/>
            <w:hideMark/>
          </w:tcPr>
          <w:p w14:paraId="6376FC3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73.4</w:t>
            </w:r>
          </w:p>
        </w:tc>
        <w:tc>
          <w:tcPr>
            <w:tcW w:w="595" w:type="dxa"/>
            <w:tcBorders>
              <w:top w:val="nil"/>
              <w:left w:val="nil"/>
              <w:bottom w:val="single" w:sz="8" w:space="0" w:color="DCDDDE"/>
              <w:right w:val="nil"/>
            </w:tcBorders>
            <w:shd w:val="clear" w:color="000000" w:fill="FFFFFF"/>
            <w:noWrap/>
            <w:vAlign w:val="center"/>
            <w:hideMark/>
          </w:tcPr>
          <w:p w14:paraId="66B5DCE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87.7</w:t>
            </w:r>
          </w:p>
        </w:tc>
        <w:tc>
          <w:tcPr>
            <w:tcW w:w="595" w:type="dxa"/>
            <w:tcBorders>
              <w:top w:val="nil"/>
              <w:left w:val="nil"/>
              <w:bottom w:val="single" w:sz="8" w:space="0" w:color="DCDDDE"/>
              <w:right w:val="nil"/>
            </w:tcBorders>
            <w:shd w:val="clear" w:color="000000" w:fill="FFFFFF"/>
            <w:noWrap/>
            <w:vAlign w:val="center"/>
            <w:hideMark/>
          </w:tcPr>
          <w:p w14:paraId="69E9284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88.9</w:t>
            </w:r>
          </w:p>
        </w:tc>
        <w:tc>
          <w:tcPr>
            <w:tcW w:w="595" w:type="dxa"/>
            <w:tcBorders>
              <w:top w:val="nil"/>
              <w:left w:val="nil"/>
              <w:bottom w:val="single" w:sz="8" w:space="0" w:color="DCDDDE"/>
              <w:right w:val="nil"/>
            </w:tcBorders>
            <w:shd w:val="clear" w:color="000000" w:fill="FFFFFF"/>
            <w:noWrap/>
            <w:vAlign w:val="center"/>
            <w:hideMark/>
          </w:tcPr>
          <w:p w14:paraId="30BBA7E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97.7</w:t>
            </w:r>
          </w:p>
        </w:tc>
        <w:tc>
          <w:tcPr>
            <w:tcW w:w="595" w:type="dxa"/>
            <w:tcBorders>
              <w:top w:val="nil"/>
              <w:left w:val="nil"/>
              <w:bottom w:val="single" w:sz="8" w:space="0" w:color="DCDDDE"/>
              <w:right w:val="nil"/>
            </w:tcBorders>
            <w:shd w:val="clear" w:color="000000" w:fill="FFFFFF"/>
            <w:noWrap/>
            <w:vAlign w:val="center"/>
            <w:hideMark/>
          </w:tcPr>
          <w:p w14:paraId="2A26116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99.2</w:t>
            </w:r>
          </w:p>
        </w:tc>
        <w:tc>
          <w:tcPr>
            <w:tcW w:w="595" w:type="dxa"/>
            <w:tcBorders>
              <w:top w:val="nil"/>
              <w:left w:val="nil"/>
              <w:bottom w:val="single" w:sz="8" w:space="0" w:color="DCDDDE"/>
              <w:right w:val="nil"/>
            </w:tcBorders>
            <w:shd w:val="clear" w:color="000000" w:fill="FFFFFF"/>
            <w:noWrap/>
            <w:vAlign w:val="center"/>
            <w:hideMark/>
          </w:tcPr>
          <w:p w14:paraId="1176824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103.1</w:t>
            </w:r>
          </w:p>
        </w:tc>
        <w:tc>
          <w:tcPr>
            <w:tcW w:w="595" w:type="dxa"/>
            <w:tcBorders>
              <w:top w:val="nil"/>
              <w:left w:val="nil"/>
              <w:bottom w:val="single" w:sz="8" w:space="0" w:color="DCDDDE"/>
              <w:right w:val="nil"/>
            </w:tcBorders>
            <w:shd w:val="clear" w:color="000000" w:fill="FFFFFF"/>
            <w:noWrap/>
            <w:vAlign w:val="center"/>
            <w:hideMark/>
          </w:tcPr>
          <w:p w14:paraId="0A6F7EF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102.6</w:t>
            </w:r>
          </w:p>
        </w:tc>
        <w:tc>
          <w:tcPr>
            <w:tcW w:w="595" w:type="dxa"/>
            <w:tcBorders>
              <w:top w:val="nil"/>
              <w:left w:val="nil"/>
              <w:bottom w:val="single" w:sz="8" w:space="0" w:color="DCDDDE"/>
              <w:right w:val="nil"/>
            </w:tcBorders>
            <w:shd w:val="clear" w:color="000000" w:fill="FFFFFF"/>
            <w:noWrap/>
            <w:vAlign w:val="center"/>
            <w:hideMark/>
          </w:tcPr>
          <w:p w14:paraId="72664F3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103.1</w:t>
            </w:r>
          </w:p>
        </w:tc>
        <w:tc>
          <w:tcPr>
            <w:tcW w:w="595" w:type="dxa"/>
            <w:tcBorders>
              <w:top w:val="nil"/>
              <w:left w:val="nil"/>
              <w:bottom w:val="single" w:sz="8" w:space="0" w:color="DCDDDE"/>
              <w:right w:val="nil"/>
            </w:tcBorders>
            <w:shd w:val="clear" w:color="000000" w:fill="FFFFFF"/>
            <w:noWrap/>
            <w:vAlign w:val="center"/>
            <w:hideMark/>
          </w:tcPr>
          <w:p w14:paraId="59F93B5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102.2</w:t>
            </w:r>
          </w:p>
        </w:tc>
        <w:tc>
          <w:tcPr>
            <w:tcW w:w="595" w:type="dxa"/>
            <w:tcBorders>
              <w:top w:val="nil"/>
              <w:left w:val="nil"/>
              <w:bottom w:val="single" w:sz="8" w:space="0" w:color="DCDDDE"/>
              <w:right w:val="nil"/>
            </w:tcBorders>
            <w:shd w:val="clear" w:color="000000" w:fill="FFFFFF"/>
            <w:noWrap/>
            <w:vAlign w:val="center"/>
            <w:hideMark/>
          </w:tcPr>
          <w:p w14:paraId="4966039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99.8</w:t>
            </w:r>
          </w:p>
        </w:tc>
        <w:tc>
          <w:tcPr>
            <w:tcW w:w="595" w:type="dxa"/>
            <w:tcBorders>
              <w:top w:val="nil"/>
              <w:left w:val="nil"/>
              <w:bottom w:val="single" w:sz="8" w:space="0" w:color="DCDDDE"/>
              <w:right w:val="nil"/>
            </w:tcBorders>
            <w:shd w:val="clear" w:color="000000" w:fill="FFFFFF"/>
            <w:noWrap/>
            <w:vAlign w:val="center"/>
            <w:hideMark/>
          </w:tcPr>
          <w:p w14:paraId="69A5B92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97.3</w:t>
            </w:r>
          </w:p>
        </w:tc>
      </w:tr>
      <w:tr w:rsidR="00181744" w:rsidRPr="00181744" w14:paraId="32547396" w14:textId="77777777" w:rsidTr="00181744">
        <w:trPr>
          <w:trHeight w:val="280"/>
        </w:trPr>
        <w:tc>
          <w:tcPr>
            <w:tcW w:w="8745" w:type="dxa"/>
            <w:gridSpan w:val="15"/>
            <w:tcBorders>
              <w:top w:val="single" w:sz="8" w:space="0" w:color="DCDDDE"/>
              <w:left w:val="nil"/>
              <w:bottom w:val="single" w:sz="8" w:space="0" w:color="DCDDDE"/>
              <w:right w:val="nil"/>
            </w:tcBorders>
            <w:shd w:val="clear" w:color="000000" w:fill="DADADA"/>
            <w:noWrap/>
            <w:vAlign w:val="center"/>
            <w:hideMark/>
          </w:tcPr>
          <w:p w14:paraId="73F2528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181744" w:rsidRPr="00181744" w14:paraId="7955A791"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6CE30F0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36" w:type="dxa"/>
            <w:tcBorders>
              <w:top w:val="nil"/>
              <w:left w:val="nil"/>
              <w:bottom w:val="single" w:sz="8" w:space="0" w:color="DCDDDE"/>
              <w:right w:val="nil"/>
            </w:tcBorders>
            <w:shd w:val="clear" w:color="000000" w:fill="FFFFFF"/>
            <w:noWrap/>
            <w:vAlign w:val="center"/>
            <w:hideMark/>
          </w:tcPr>
          <w:p w14:paraId="5DC4F2C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27.0</w:t>
            </w:r>
          </w:p>
        </w:tc>
        <w:tc>
          <w:tcPr>
            <w:tcW w:w="536" w:type="dxa"/>
            <w:tcBorders>
              <w:top w:val="nil"/>
              <w:left w:val="nil"/>
              <w:bottom w:val="single" w:sz="8" w:space="0" w:color="DCDDDE"/>
              <w:right w:val="nil"/>
            </w:tcBorders>
            <w:shd w:val="clear" w:color="000000" w:fill="FFFFFF"/>
            <w:noWrap/>
            <w:vAlign w:val="center"/>
            <w:hideMark/>
          </w:tcPr>
          <w:p w14:paraId="67A1EDB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28.9</w:t>
            </w:r>
          </w:p>
        </w:tc>
        <w:tc>
          <w:tcPr>
            <w:tcW w:w="536" w:type="dxa"/>
            <w:tcBorders>
              <w:top w:val="nil"/>
              <w:left w:val="nil"/>
              <w:bottom w:val="single" w:sz="8" w:space="0" w:color="DCDDDE"/>
              <w:right w:val="nil"/>
            </w:tcBorders>
            <w:shd w:val="clear" w:color="000000" w:fill="FFFFFF"/>
            <w:noWrap/>
            <w:vAlign w:val="center"/>
            <w:hideMark/>
          </w:tcPr>
          <w:p w14:paraId="4A288A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29.0</w:t>
            </w:r>
          </w:p>
        </w:tc>
        <w:tc>
          <w:tcPr>
            <w:tcW w:w="595" w:type="dxa"/>
            <w:tcBorders>
              <w:top w:val="nil"/>
              <w:left w:val="nil"/>
              <w:bottom w:val="single" w:sz="8" w:space="0" w:color="DCDDDE"/>
              <w:right w:val="nil"/>
            </w:tcBorders>
            <w:shd w:val="clear" w:color="000000" w:fill="FFFFFF"/>
            <w:noWrap/>
            <w:vAlign w:val="center"/>
            <w:hideMark/>
          </w:tcPr>
          <w:p w14:paraId="105FAD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30.4</w:t>
            </w:r>
          </w:p>
        </w:tc>
        <w:tc>
          <w:tcPr>
            <w:tcW w:w="595" w:type="dxa"/>
            <w:tcBorders>
              <w:top w:val="nil"/>
              <w:left w:val="nil"/>
              <w:bottom w:val="single" w:sz="8" w:space="0" w:color="DCDDDE"/>
              <w:right w:val="nil"/>
            </w:tcBorders>
            <w:shd w:val="clear" w:color="000000" w:fill="FFFFFF"/>
            <w:noWrap/>
            <w:vAlign w:val="center"/>
            <w:hideMark/>
          </w:tcPr>
          <w:p w14:paraId="418A72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30.2</w:t>
            </w:r>
          </w:p>
        </w:tc>
        <w:tc>
          <w:tcPr>
            <w:tcW w:w="595" w:type="dxa"/>
            <w:tcBorders>
              <w:top w:val="nil"/>
              <w:left w:val="nil"/>
              <w:bottom w:val="single" w:sz="8" w:space="0" w:color="DCDDDE"/>
              <w:right w:val="nil"/>
            </w:tcBorders>
            <w:shd w:val="clear" w:color="000000" w:fill="FFFFFF"/>
            <w:noWrap/>
            <w:vAlign w:val="center"/>
            <w:hideMark/>
          </w:tcPr>
          <w:p w14:paraId="775558F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30.2</w:t>
            </w:r>
          </w:p>
        </w:tc>
        <w:tc>
          <w:tcPr>
            <w:tcW w:w="595" w:type="dxa"/>
            <w:tcBorders>
              <w:top w:val="nil"/>
              <w:left w:val="nil"/>
              <w:bottom w:val="single" w:sz="8" w:space="0" w:color="DCDDDE"/>
              <w:right w:val="nil"/>
            </w:tcBorders>
            <w:shd w:val="clear" w:color="000000" w:fill="FFFFFF"/>
            <w:noWrap/>
            <w:vAlign w:val="center"/>
            <w:hideMark/>
          </w:tcPr>
          <w:p w14:paraId="204264C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30.3</w:t>
            </w:r>
          </w:p>
        </w:tc>
        <w:tc>
          <w:tcPr>
            <w:tcW w:w="595" w:type="dxa"/>
            <w:tcBorders>
              <w:top w:val="nil"/>
              <w:left w:val="nil"/>
              <w:bottom w:val="single" w:sz="8" w:space="0" w:color="DCDDDE"/>
              <w:right w:val="nil"/>
            </w:tcBorders>
            <w:shd w:val="clear" w:color="000000" w:fill="FFFFFF"/>
            <w:noWrap/>
            <w:vAlign w:val="center"/>
            <w:hideMark/>
          </w:tcPr>
          <w:p w14:paraId="2E21F67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29.8</w:t>
            </w:r>
          </w:p>
        </w:tc>
        <w:tc>
          <w:tcPr>
            <w:tcW w:w="595" w:type="dxa"/>
            <w:tcBorders>
              <w:top w:val="nil"/>
              <w:left w:val="nil"/>
              <w:bottom w:val="single" w:sz="8" w:space="0" w:color="DCDDDE"/>
              <w:right w:val="nil"/>
            </w:tcBorders>
            <w:shd w:val="clear" w:color="000000" w:fill="FFFFFF"/>
            <w:noWrap/>
            <w:vAlign w:val="center"/>
            <w:hideMark/>
          </w:tcPr>
          <w:p w14:paraId="67FA40C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29.6</w:t>
            </w:r>
          </w:p>
        </w:tc>
        <w:tc>
          <w:tcPr>
            <w:tcW w:w="595" w:type="dxa"/>
            <w:tcBorders>
              <w:top w:val="nil"/>
              <w:left w:val="nil"/>
              <w:bottom w:val="single" w:sz="8" w:space="0" w:color="DCDDDE"/>
              <w:right w:val="nil"/>
            </w:tcBorders>
            <w:shd w:val="clear" w:color="000000" w:fill="FFFFFF"/>
            <w:noWrap/>
            <w:vAlign w:val="center"/>
            <w:hideMark/>
          </w:tcPr>
          <w:p w14:paraId="0694CA1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29.3</w:t>
            </w:r>
          </w:p>
        </w:tc>
        <w:tc>
          <w:tcPr>
            <w:tcW w:w="595" w:type="dxa"/>
            <w:tcBorders>
              <w:top w:val="nil"/>
              <w:left w:val="nil"/>
              <w:bottom w:val="single" w:sz="8" w:space="0" w:color="DCDDDE"/>
              <w:right w:val="nil"/>
            </w:tcBorders>
            <w:shd w:val="clear" w:color="000000" w:fill="FFFFFF"/>
            <w:noWrap/>
            <w:vAlign w:val="center"/>
            <w:hideMark/>
          </w:tcPr>
          <w:p w14:paraId="1518E6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29.5</w:t>
            </w:r>
          </w:p>
        </w:tc>
        <w:tc>
          <w:tcPr>
            <w:tcW w:w="595" w:type="dxa"/>
            <w:tcBorders>
              <w:top w:val="nil"/>
              <w:left w:val="nil"/>
              <w:bottom w:val="single" w:sz="8" w:space="0" w:color="DCDDDE"/>
              <w:right w:val="nil"/>
            </w:tcBorders>
            <w:shd w:val="clear" w:color="000000" w:fill="FFFFFF"/>
            <w:noWrap/>
            <w:vAlign w:val="center"/>
            <w:hideMark/>
          </w:tcPr>
          <w:p w14:paraId="77613DB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29.3</w:t>
            </w:r>
          </w:p>
        </w:tc>
        <w:tc>
          <w:tcPr>
            <w:tcW w:w="595" w:type="dxa"/>
            <w:tcBorders>
              <w:top w:val="nil"/>
              <w:left w:val="nil"/>
              <w:bottom w:val="single" w:sz="8" w:space="0" w:color="DCDDDE"/>
              <w:right w:val="nil"/>
            </w:tcBorders>
            <w:shd w:val="clear" w:color="000000" w:fill="FFFFFF"/>
            <w:noWrap/>
            <w:vAlign w:val="center"/>
            <w:hideMark/>
          </w:tcPr>
          <w:p w14:paraId="688960D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28.9</w:t>
            </w:r>
          </w:p>
        </w:tc>
      </w:tr>
      <w:tr w:rsidR="00181744" w:rsidRPr="00181744" w14:paraId="3381E973"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660A691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36" w:type="dxa"/>
            <w:tcBorders>
              <w:top w:val="nil"/>
              <w:left w:val="nil"/>
              <w:bottom w:val="single" w:sz="8" w:space="0" w:color="DCDDDE"/>
              <w:right w:val="nil"/>
            </w:tcBorders>
            <w:shd w:val="clear" w:color="000000" w:fill="FFFFFF"/>
            <w:noWrap/>
            <w:vAlign w:val="center"/>
            <w:hideMark/>
          </w:tcPr>
          <w:p w14:paraId="386ED5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42.3</w:t>
            </w:r>
          </w:p>
        </w:tc>
        <w:tc>
          <w:tcPr>
            <w:tcW w:w="536" w:type="dxa"/>
            <w:tcBorders>
              <w:top w:val="nil"/>
              <w:left w:val="nil"/>
              <w:bottom w:val="single" w:sz="8" w:space="0" w:color="DCDDDE"/>
              <w:right w:val="nil"/>
            </w:tcBorders>
            <w:shd w:val="clear" w:color="000000" w:fill="FFFFFF"/>
            <w:noWrap/>
            <w:vAlign w:val="center"/>
            <w:hideMark/>
          </w:tcPr>
          <w:p w14:paraId="0EEE30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42.6</w:t>
            </w:r>
          </w:p>
        </w:tc>
        <w:tc>
          <w:tcPr>
            <w:tcW w:w="536" w:type="dxa"/>
            <w:tcBorders>
              <w:top w:val="nil"/>
              <w:left w:val="nil"/>
              <w:bottom w:val="single" w:sz="8" w:space="0" w:color="DCDDDE"/>
              <w:right w:val="nil"/>
            </w:tcBorders>
            <w:shd w:val="clear" w:color="000000" w:fill="FFFFFF"/>
            <w:noWrap/>
            <w:vAlign w:val="center"/>
            <w:hideMark/>
          </w:tcPr>
          <w:p w14:paraId="62CA4D7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50.1</w:t>
            </w:r>
          </w:p>
        </w:tc>
        <w:tc>
          <w:tcPr>
            <w:tcW w:w="595" w:type="dxa"/>
            <w:tcBorders>
              <w:top w:val="nil"/>
              <w:left w:val="nil"/>
              <w:bottom w:val="single" w:sz="8" w:space="0" w:color="DCDDDE"/>
              <w:right w:val="nil"/>
            </w:tcBorders>
            <w:shd w:val="clear" w:color="000000" w:fill="FFFFFF"/>
            <w:noWrap/>
            <w:vAlign w:val="center"/>
            <w:hideMark/>
          </w:tcPr>
          <w:p w14:paraId="060BCFA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61.1</w:t>
            </w:r>
          </w:p>
        </w:tc>
        <w:tc>
          <w:tcPr>
            <w:tcW w:w="595" w:type="dxa"/>
            <w:tcBorders>
              <w:top w:val="nil"/>
              <w:left w:val="nil"/>
              <w:bottom w:val="single" w:sz="8" w:space="0" w:color="DCDDDE"/>
              <w:right w:val="nil"/>
            </w:tcBorders>
            <w:shd w:val="clear" w:color="000000" w:fill="FFFFFF"/>
            <w:noWrap/>
            <w:vAlign w:val="center"/>
            <w:hideMark/>
          </w:tcPr>
          <w:p w14:paraId="0E2A6E0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60.5</w:t>
            </w:r>
          </w:p>
        </w:tc>
        <w:tc>
          <w:tcPr>
            <w:tcW w:w="595" w:type="dxa"/>
            <w:tcBorders>
              <w:top w:val="nil"/>
              <w:left w:val="nil"/>
              <w:bottom w:val="single" w:sz="8" w:space="0" w:color="DCDDDE"/>
              <w:right w:val="nil"/>
            </w:tcBorders>
            <w:shd w:val="clear" w:color="000000" w:fill="FFFFFF"/>
            <w:noWrap/>
            <w:vAlign w:val="center"/>
            <w:hideMark/>
          </w:tcPr>
          <w:p w14:paraId="0CCB97A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69.3</w:t>
            </w:r>
          </w:p>
        </w:tc>
        <w:tc>
          <w:tcPr>
            <w:tcW w:w="595" w:type="dxa"/>
            <w:tcBorders>
              <w:top w:val="nil"/>
              <w:left w:val="nil"/>
              <w:bottom w:val="single" w:sz="8" w:space="0" w:color="DCDDDE"/>
              <w:right w:val="nil"/>
            </w:tcBorders>
            <w:shd w:val="clear" w:color="000000" w:fill="FFFFFF"/>
            <w:noWrap/>
            <w:vAlign w:val="center"/>
            <w:hideMark/>
          </w:tcPr>
          <w:p w14:paraId="798683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67.7</w:t>
            </w:r>
          </w:p>
        </w:tc>
        <w:tc>
          <w:tcPr>
            <w:tcW w:w="595" w:type="dxa"/>
            <w:tcBorders>
              <w:top w:val="nil"/>
              <w:left w:val="nil"/>
              <w:bottom w:val="single" w:sz="8" w:space="0" w:color="DCDDDE"/>
              <w:right w:val="nil"/>
            </w:tcBorders>
            <w:shd w:val="clear" w:color="000000" w:fill="FFFFFF"/>
            <w:noWrap/>
            <w:vAlign w:val="center"/>
            <w:hideMark/>
          </w:tcPr>
          <w:p w14:paraId="387DA21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66.7</w:t>
            </w:r>
          </w:p>
        </w:tc>
        <w:tc>
          <w:tcPr>
            <w:tcW w:w="595" w:type="dxa"/>
            <w:tcBorders>
              <w:top w:val="nil"/>
              <w:left w:val="nil"/>
              <w:bottom w:val="single" w:sz="8" w:space="0" w:color="DCDDDE"/>
              <w:right w:val="nil"/>
            </w:tcBorders>
            <w:shd w:val="clear" w:color="000000" w:fill="FFFFFF"/>
            <w:noWrap/>
            <w:vAlign w:val="center"/>
            <w:hideMark/>
          </w:tcPr>
          <w:p w14:paraId="46BFCF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65.2</w:t>
            </w:r>
          </w:p>
        </w:tc>
        <w:tc>
          <w:tcPr>
            <w:tcW w:w="595" w:type="dxa"/>
            <w:tcBorders>
              <w:top w:val="nil"/>
              <w:left w:val="nil"/>
              <w:bottom w:val="single" w:sz="8" w:space="0" w:color="DCDDDE"/>
              <w:right w:val="nil"/>
            </w:tcBorders>
            <w:shd w:val="clear" w:color="000000" w:fill="FFFFFF"/>
            <w:noWrap/>
            <w:vAlign w:val="center"/>
            <w:hideMark/>
          </w:tcPr>
          <w:p w14:paraId="478B33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64.4</w:t>
            </w:r>
          </w:p>
        </w:tc>
        <w:tc>
          <w:tcPr>
            <w:tcW w:w="595" w:type="dxa"/>
            <w:tcBorders>
              <w:top w:val="nil"/>
              <w:left w:val="nil"/>
              <w:bottom w:val="single" w:sz="8" w:space="0" w:color="DCDDDE"/>
              <w:right w:val="nil"/>
            </w:tcBorders>
            <w:shd w:val="clear" w:color="000000" w:fill="FFFFFF"/>
            <w:noWrap/>
            <w:vAlign w:val="center"/>
            <w:hideMark/>
          </w:tcPr>
          <w:p w14:paraId="423D4A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62.4</w:t>
            </w:r>
          </w:p>
        </w:tc>
        <w:tc>
          <w:tcPr>
            <w:tcW w:w="595" w:type="dxa"/>
            <w:tcBorders>
              <w:top w:val="nil"/>
              <w:left w:val="nil"/>
              <w:bottom w:val="single" w:sz="8" w:space="0" w:color="DCDDDE"/>
              <w:right w:val="nil"/>
            </w:tcBorders>
            <w:shd w:val="clear" w:color="000000" w:fill="FFFFFF"/>
            <w:noWrap/>
            <w:vAlign w:val="center"/>
            <w:hideMark/>
          </w:tcPr>
          <w:p w14:paraId="4460E02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59.3</w:t>
            </w:r>
          </w:p>
        </w:tc>
        <w:tc>
          <w:tcPr>
            <w:tcW w:w="595" w:type="dxa"/>
            <w:tcBorders>
              <w:top w:val="nil"/>
              <w:left w:val="nil"/>
              <w:bottom w:val="single" w:sz="8" w:space="0" w:color="DCDDDE"/>
              <w:right w:val="nil"/>
            </w:tcBorders>
            <w:shd w:val="clear" w:color="000000" w:fill="FFFFFF"/>
            <w:noWrap/>
            <w:vAlign w:val="center"/>
            <w:hideMark/>
          </w:tcPr>
          <w:p w14:paraId="538514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56.3</w:t>
            </w:r>
          </w:p>
        </w:tc>
      </w:tr>
      <w:tr w:rsidR="00181744" w:rsidRPr="00181744" w14:paraId="47ABCEE4"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19E5B09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36" w:type="dxa"/>
            <w:tcBorders>
              <w:top w:val="nil"/>
              <w:left w:val="nil"/>
              <w:bottom w:val="single" w:sz="8" w:space="0" w:color="DCDDDE"/>
              <w:right w:val="nil"/>
            </w:tcBorders>
            <w:shd w:val="clear" w:color="000000" w:fill="FFFFFF"/>
            <w:noWrap/>
            <w:vAlign w:val="center"/>
            <w:hideMark/>
          </w:tcPr>
          <w:p w14:paraId="1BB3E26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536" w:type="dxa"/>
            <w:tcBorders>
              <w:top w:val="nil"/>
              <w:left w:val="nil"/>
              <w:bottom w:val="single" w:sz="8" w:space="0" w:color="DCDDDE"/>
              <w:right w:val="nil"/>
            </w:tcBorders>
            <w:shd w:val="clear" w:color="000000" w:fill="FFFFFF"/>
            <w:noWrap/>
            <w:vAlign w:val="center"/>
            <w:hideMark/>
          </w:tcPr>
          <w:p w14:paraId="5F014B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3.8</w:t>
            </w:r>
          </w:p>
        </w:tc>
        <w:tc>
          <w:tcPr>
            <w:tcW w:w="536" w:type="dxa"/>
            <w:tcBorders>
              <w:top w:val="nil"/>
              <w:left w:val="nil"/>
              <w:bottom w:val="single" w:sz="8" w:space="0" w:color="DCDDDE"/>
              <w:right w:val="nil"/>
            </w:tcBorders>
            <w:shd w:val="clear" w:color="000000" w:fill="FFFFFF"/>
            <w:noWrap/>
            <w:vAlign w:val="center"/>
            <w:hideMark/>
          </w:tcPr>
          <w:p w14:paraId="4FBD55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4.5</w:t>
            </w:r>
          </w:p>
        </w:tc>
        <w:tc>
          <w:tcPr>
            <w:tcW w:w="595" w:type="dxa"/>
            <w:tcBorders>
              <w:top w:val="nil"/>
              <w:left w:val="nil"/>
              <w:bottom w:val="single" w:sz="8" w:space="0" w:color="DCDDDE"/>
              <w:right w:val="nil"/>
            </w:tcBorders>
            <w:shd w:val="clear" w:color="000000" w:fill="FFFFFF"/>
            <w:noWrap/>
            <w:vAlign w:val="center"/>
            <w:hideMark/>
          </w:tcPr>
          <w:p w14:paraId="2D8680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w:t>
            </w:r>
          </w:p>
        </w:tc>
        <w:tc>
          <w:tcPr>
            <w:tcW w:w="595" w:type="dxa"/>
            <w:tcBorders>
              <w:top w:val="nil"/>
              <w:left w:val="nil"/>
              <w:bottom w:val="single" w:sz="8" w:space="0" w:color="DCDDDE"/>
              <w:right w:val="nil"/>
            </w:tcBorders>
            <w:shd w:val="clear" w:color="000000" w:fill="FFFFFF"/>
            <w:noWrap/>
            <w:vAlign w:val="center"/>
            <w:hideMark/>
          </w:tcPr>
          <w:p w14:paraId="1BF2BB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w:t>
            </w:r>
          </w:p>
        </w:tc>
        <w:tc>
          <w:tcPr>
            <w:tcW w:w="595" w:type="dxa"/>
            <w:tcBorders>
              <w:top w:val="nil"/>
              <w:left w:val="nil"/>
              <w:bottom w:val="single" w:sz="8" w:space="0" w:color="DCDDDE"/>
              <w:right w:val="nil"/>
            </w:tcBorders>
            <w:shd w:val="clear" w:color="000000" w:fill="FFFFFF"/>
            <w:noWrap/>
            <w:vAlign w:val="center"/>
            <w:hideMark/>
          </w:tcPr>
          <w:p w14:paraId="4A1C0CF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7.1</w:t>
            </w:r>
          </w:p>
        </w:tc>
        <w:tc>
          <w:tcPr>
            <w:tcW w:w="595" w:type="dxa"/>
            <w:tcBorders>
              <w:top w:val="nil"/>
              <w:left w:val="nil"/>
              <w:bottom w:val="single" w:sz="8" w:space="0" w:color="DCDDDE"/>
              <w:right w:val="nil"/>
            </w:tcBorders>
            <w:shd w:val="clear" w:color="000000" w:fill="FFFFFF"/>
            <w:noWrap/>
            <w:vAlign w:val="center"/>
            <w:hideMark/>
          </w:tcPr>
          <w:p w14:paraId="312ABAA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w:t>
            </w:r>
          </w:p>
        </w:tc>
        <w:tc>
          <w:tcPr>
            <w:tcW w:w="595" w:type="dxa"/>
            <w:tcBorders>
              <w:top w:val="nil"/>
              <w:left w:val="nil"/>
              <w:bottom w:val="single" w:sz="8" w:space="0" w:color="DCDDDE"/>
              <w:right w:val="nil"/>
            </w:tcBorders>
            <w:shd w:val="clear" w:color="000000" w:fill="FFFFFF"/>
            <w:noWrap/>
            <w:vAlign w:val="center"/>
            <w:hideMark/>
          </w:tcPr>
          <w:p w14:paraId="4F4828E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8.8</w:t>
            </w:r>
          </w:p>
        </w:tc>
        <w:tc>
          <w:tcPr>
            <w:tcW w:w="595" w:type="dxa"/>
            <w:tcBorders>
              <w:top w:val="nil"/>
              <w:left w:val="nil"/>
              <w:bottom w:val="single" w:sz="8" w:space="0" w:color="DCDDDE"/>
              <w:right w:val="nil"/>
            </w:tcBorders>
            <w:shd w:val="clear" w:color="000000" w:fill="FFFFFF"/>
            <w:noWrap/>
            <w:vAlign w:val="center"/>
            <w:hideMark/>
          </w:tcPr>
          <w:p w14:paraId="1E553C1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9.7</w:t>
            </w:r>
          </w:p>
        </w:tc>
        <w:tc>
          <w:tcPr>
            <w:tcW w:w="595" w:type="dxa"/>
            <w:tcBorders>
              <w:top w:val="nil"/>
              <w:left w:val="nil"/>
              <w:bottom w:val="single" w:sz="8" w:space="0" w:color="DCDDDE"/>
              <w:right w:val="nil"/>
            </w:tcBorders>
            <w:shd w:val="clear" w:color="000000" w:fill="FFFFFF"/>
            <w:noWrap/>
            <w:vAlign w:val="center"/>
            <w:hideMark/>
          </w:tcPr>
          <w:p w14:paraId="46F038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10.6</w:t>
            </w:r>
          </w:p>
        </w:tc>
        <w:tc>
          <w:tcPr>
            <w:tcW w:w="595" w:type="dxa"/>
            <w:tcBorders>
              <w:top w:val="nil"/>
              <w:left w:val="nil"/>
              <w:bottom w:val="single" w:sz="8" w:space="0" w:color="DCDDDE"/>
              <w:right w:val="nil"/>
            </w:tcBorders>
            <w:shd w:val="clear" w:color="000000" w:fill="FFFFFF"/>
            <w:noWrap/>
            <w:vAlign w:val="center"/>
            <w:hideMark/>
          </w:tcPr>
          <w:p w14:paraId="08C095A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11.5</w:t>
            </w:r>
          </w:p>
        </w:tc>
        <w:tc>
          <w:tcPr>
            <w:tcW w:w="595" w:type="dxa"/>
            <w:tcBorders>
              <w:top w:val="nil"/>
              <w:left w:val="nil"/>
              <w:bottom w:val="single" w:sz="8" w:space="0" w:color="DCDDDE"/>
              <w:right w:val="nil"/>
            </w:tcBorders>
            <w:shd w:val="clear" w:color="000000" w:fill="FFFFFF"/>
            <w:noWrap/>
            <w:vAlign w:val="center"/>
            <w:hideMark/>
          </w:tcPr>
          <w:p w14:paraId="5F3AC8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12.5</w:t>
            </w:r>
          </w:p>
        </w:tc>
        <w:tc>
          <w:tcPr>
            <w:tcW w:w="595" w:type="dxa"/>
            <w:tcBorders>
              <w:top w:val="nil"/>
              <w:left w:val="nil"/>
              <w:bottom w:val="single" w:sz="8" w:space="0" w:color="DCDDDE"/>
              <w:right w:val="nil"/>
            </w:tcBorders>
            <w:shd w:val="clear" w:color="000000" w:fill="FFFFFF"/>
            <w:noWrap/>
            <w:vAlign w:val="center"/>
            <w:hideMark/>
          </w:tcPr>
          <w:p w14:paraId="6D3C91A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13.5</w:t>
            </w:r>
          </w:p>
        </w:tc>
      </w:tr>
      <w:tr w:rsidR="00181744" w:rsidRPr="00181744" w14:paraId="6F2B7629"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252CCEF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36" w:type="dxa"/>
            <w:tcBorders>
              <w:top w:val="nil"/>
              <w:left w:val="nil"/>
              <w:bottom w:val="single" w:sz="8" w:space="0" w:color="DCDDDE"/>
              <w:right w:val="nil"/>
            </w:tcBorders>
            <w:shd w:val="clear" w:color="000000" w:fill="FFFFFF"/>
            <w:noWrap/>
            <w:vAlign w:val="center"/>
            <w:hideMark/>
          </w:tcPr>
          <w:p w14:paraId="430D37F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6D28F53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5753394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ECA63B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56133E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1D113A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390B826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0997898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158308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5ED70F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B67E19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5B4585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150EAD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r>
      <w:tr w:rsidR="00181744" w:rsidRPr="00181744" w14:paraId="1AA0BAEF"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7160E89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36" w:type="dxa"/>
            <w:tcBorders>
              <w:top w:val="nil"/>
              <w:left w:val="nil"/>
              <w:bottom w:val="single" w:sz="8" w:space="0" w:color="DCDDDE"/>
              <w:right w:val="nil"/>
            </w:tcBorders>
            <w:shd w:val="clear" w:color="000000" w:fill="FFFFFF"/>
            <w:noWrap/>
            <w:vAlign w:val="center"/>
            <w:hideMark/>
          </w:tcPr>
          <w:p w14:paraId="2DC7159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73.2</w:t>
            </w:r>
          </w:p>
        </w:tc>
        <w:tc>
          <w:tcPr>
            <w:tcW w:w="536" w:type="dxa"/>
            <w:tcBorders>
              <w:top w:val="nil"/>
              <w:left w:val="nil"/>
              <w:bottom w:val="single" w:sz="8" w:space="0" w:color="DCDDDE"/>
              <w:right w:val="nil"/>
            </w:tcBorders>
            <w:shd w:val="clear" w:color="000000" w:fill="FFFFFF"/>
            <w:noWrap/>
            <w:vAlign w:val="center"/>
            <w:hideMark/>
          </w:tcPr>
          <w:p w14:paraId="4994E32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76.4</w:t>
            </w:r>
          </w:p>
        </w:tc>
        <w:tc>
          <w:tcPr>
            <w:tcW w:w="536" w:type="dxa"/>
            <w:tcBorders>
              <w:top w:val="nil"/>
              <w:left w:val="nil"/>
              <w:bottom w:val="single" w:sz="8" w:space="0" w:color="DCDDDE"/>
              <w:right w:val="nil"/>
            </w:tcBorders>
            <w:shd w:val="clear" w:color="000000" w:fill="FFFFFF"/>
            <w:noWrap/>
            <w:vAlign w:val="center"/>
            <w:hideMark/>
          </w:tcPr>
          <w:p w14:paraId="6FDB351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84.7</w:t>
            </w:r>
          </w:p>
        </w:tc>
        <w:tc>
          <w:tcPr>
            <w:tcW w:w="595" w:type="dxa"/>
            <w:tcBorders>
              <w:top w:val="nil"/>
              <w:left w:val="nil"/>
              <w:bottom w:val="single" w:sz="8" w:space="0" w:color="DCDDDE"/>
              <w:right w:val="nil"/>
            </w:tcBorders>
            <w:shd w:val="clear" w:color="000000" w:fill="FFFFFF"/>
            <w:noWrap/>
            <w:vAlign w:val="center"/>
            <w:hideMark/>
          </w:tcPr>
          <w:p w14:paraId="478FCE9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98.1</w:t>
            </w:r>
          </w:p>
        </w:tc>
        <w:tc>
          <w:tcPr>
            <w:tcW w:w="595" w:type="dxa"/>
            <w:tcBorders>
              <w:top w:val="nil"/>
              <w:left w:val="nil"/>
              <w:bottom w:val="single" w:sz="8" w:space="0" w:color="DCDDDE"/>
              <w:right w:val="nil"/>
            </w:tcBorders>
            <w:shd w:val="clear" w:color="000000" w:fill="FFFFFF"/>
            <w:noWrap/>
            <w:vAlign w:val="center"/>
            <w:hideMark/>
          </w:tcPr>
          <w:p w14:paraId="72F4D1E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98.2</w:t>
            </w:r>
          </w:p>
        </w:tc>
        <w:tc>
          <w:tcPr>
            <w:tcW w:w="595" w:type="dxa"/>
            <w:tcBorders>
              <w:top w:val="nil"/>
              <w:left w:val="nil"/>
              <w:bottom w:val="single" w:sz="8" w:space="0" w:color="DCDDDE"/>
              <w:right w:val="nil"/>
            </w:tcBorders>
            <w:shd w:val="clear" w:color="000000" w:fill="FFFFFF"/>
            <w:noWrap/>
            <w:vAlign w:val="center"/>
            <w:hideMark/>
          </w:tcPr>
          <w:p w14:paraId="3525E92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107.6</w:t>
            </w:r>
          </w:p>
        </w:tc>
        <w:tc>
          <w:tcPr>
            <w:tcW w:w="595" w:type="dxa"/>
            <w:tcBorders>
              <w:top w:val="nil"/>
              <w:left w:val="nil"/>
              <w:bottom w:val="single" w:sz="8" w:space="0" w:color="DCDDDE"/>
              <w:right w:val="nil"/>
            </w:tcBorders>
            <w:shd w:val="clear" w:color="000000" w:fill="FFFFFF"/>
            <w:noWrap/>
            <w:vAlign w:val="center"/>
            <w:hideMark/>
          </w:tcPr>
          <w:p w14:paraId="0A6E73C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106.9</w:t>
            </w:r>
          </w:p>
        </w:tc>
        <w:tc>
          <w:tcPr>
            <w:tcW w:w="595" w:type="dxa"/>
            <w:tcBorders>
              <w:top w:val="nil"/>
              <w:left w:val="nil"/>
              <w:bottom w:val="single" w:sz="8" w:space="0" w:color="DCDDDE"/>
              <w:right w:val="nil"/>
            </w:tcBorders>
            <w:shd w:val="clear" w:color="000000" w:fill="FFFFFF"/>
            <w:noWrap/>
            <w:vAlign w:val="center"/>
            <w:hideMark/>
          </w:tcPr>
          <w:p w14:paraId="4A5C87B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106.3</w:t>
            </w:r>
          </w:p>
        </w:tc>
        <w:tc>
          <w:tcPr>
            <w:tcW w:w="595" w:type="dxa"/>
            <w:tcBorders>
              <w:top w:val="nil"/>
              <w:left w:val="nil"/>
              <w:bottom w:val="single" w:sz="8" w:space="0" w:color="DCDDDE"/>
              <w:right w:val="nil"/>
            </w:tcBorders>
            <w:shd w:val="clear" w:color="000000" w:fill="FFFFFF"/>
            <w:noWrap/>
            <w:vAlign w:val="center"/>
            <w:hideMark/>
          </w:tcPr>
          <w:p w14:paraId="5AD02D7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105.5</w:t>
            </w:r>
          </w:p>
        </w:tc>
        <w:tc>
          <w:tcPr>
            <w:tcW w:w="595" w:type="dxa"/>
            <w:tcBorders>
              <w:top w:val="nil"/>
              <w:left w:val="nil"/>
              <w:bottom w:val="single" w:sz="8" w:space="0" w:color="DCDDDE"/>
              <w:right w:val="nil"/>
            </w:tcBorders>
            <w:shd w:val="clear" w:color="000000" w:fill="FFFFFF"/>
            <w:noWrap/>
            <w:vAlign w:val="center"/>
            <w:hideMark/>
          </w:tcPr>
          <w:p w14:paraId="7F6CCC7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105.4</w:t>
            </w:r>
          </w:p>
        </w:tc>
        <w:tc>
          <w:tcPr>
            <w:tcW w:w="595" w:type="dxa"/>
            <w:tcBorders>
              <w:top w:val="nil"/>
              <w:left w:val="nil"/>
              <w:bottom w:val="single" w:sz="8" w:space="0" w:color="DCDDDE"/>
              <w:right w:val="nil"/>
            </w:tcBorders>
            <w:shd w:val="clear" w:color="000000" w:fill="FFFFFF"/>
            <w:noWrap/>
            <w:vAlign w:val="center"/>
            <w:hideMark/>
          </w:tcPr>
          <w:p w14:paraId="0BEE330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104.5</w:t>
            </w:r>
          </w:p>
        </w:tc>
        <w:tc>
          <w:tcPr>
            <w:tcW w:w="595" w:type="dxa"/>
            <w:tcBorders>
              <w:top w:val="nil"/>
              <w:left w:val="nil"/>
              <w:bottom w:val="single" w:sz="8" w:space="0" w:color="DCDDDE"/>
              <w:right w:val="nil"/>
            </w:tcBorders>
            <w:shd w:val="clear" w:color="000000" w:fill="FFFFFF"/>
            <w:noWrap/>
            <w:vAlign w:val="center"/>
            <w:hideMark/>
          </w:tcPr>
          <w:p w14:paraId="4C28560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102.2</w:t>
            </w:r>
          </w:p>
        </w:tc>
        <w:tc>
          <w:tcPr>
            <w:tcW w:w="595" w:type="dxa"/>
            <w:tcBorders>
              <w:top w:val="nil"/>
              <w:left w:val="nil"/>
              <w:bottom w:val="single" w:sz="8" w:space="0" w:color="DCDDDE"/>
              <w:right w:val="nil"/>
            </w:tcBorders>
            <w:shd w:val="clear" w:color="000000" w:fill="FFFFFF"/>
            <w:noWrap/>
            <w:vAlign w:val="center"/>
            <w:hideMark/>
          </w:tcPr>
          <w:p w14:paraId="427842A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99.8</w:t>
            </w:r>
          </w:p>
        </w:tc>
      </w:tr>
      <w:tr w:rsidR="00181744" w:rsidRPr="00181744" w14:paraId="0A918E95" w14:textId="77777777" w:rsidTr="00181744">
        <w:trPr>
          <w:trHeight w:val="280"/>
        </w:trPr>
        <w:tc>
          <w:tcPr>
            <w:tcW w:w="8745" w:type="dxa"/>
            <w:gridSpan w:val="15"/>
            <w:tcBorders>
              <w:top w:val="single" w:sz="8" w:space="0" w:color="DCDDDE"/>
              <w:left w:val="nil"/>
              <w:bottom w:val="single" w:sz="8" w:space="0" w:color="DCDDDE"/>
              <w:right w:val="nil"/>
            </w:tcBorders>
            <w:shd w:val="clear" w:color="000000" w:fill="DADADA"/>
            <w:noWrap/>
            <w:vAlign w:val="center"/>
            <w:hideMark/>
          </w:tcPr>
          <w:p w14:paraId="23302F4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181744" w:rsidRPr="00181744" w14:paraId="358D4B7C"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0D17A5E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536" w:type="dxa"/>
            <w:tcBorders>
              <w:top w:val="nil"/>
              <w:left w:val="nil"/>
              <w:bottom w:val="single" w:sz="8" w:space="0" w:color="DCDDDE"/>
              <w:right w:val="nil"/>
            </w:tcBorders>
            <w:shd w:val="clear" w:color="000000" w:fill="FFFFFF"/>
            <w:noWrap/>
            <w:vAlign w:val="center"/>
            <w:hideMark/>
          </w:tcPr>
          <w:p w14:paraId="5F4526A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28.3</w:t>
            </w:r>
          </w:p>
        </w:tc>
        <w:tc>
          <w:tcPr>
            <w:tcW w:w="536" w:type="dxa"/>
            <w:tcBorders>
              <w:top w:val="nil"/>
              <w:left w:val="nil"/>
              <w:bottom w:val="single" w:sz="8" w:space="0" w:color="DCDDDE"/>
              <w:right w:val="nil"/>
            </w:tcBorders>
            <w:shd w:val="clear" w:color="000000" w:fill="FFFFFF"/>
            <w:noWrap/>
            <w:vAlign w:val="center"/>
            <w:hideMark/>
          </w:tcPr>
          <w:p w14:paraId="7AE7A46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30.7</w:t>
            </w:r>
          </w:p>
        </w:tc>
        <w:tc>
          <w:tcPr>
            <w:tcW w:w="536" w:type="dxa"/>
            <w:tcBorders>
              <w:top w:val="nil"/>
              <w:left w:val="nil"/>
              <w:bottom w:val="single" w:sz="8" w:space="0" w:color="DCDDDE"/>
              <w:right w:val="nil"/>
            </w:tcBorders>
            <w:shd w:val="clear" w:color="000000" w:fill="FFFFFF"/>
            <w:noWrap/>
            <w:vAlign w:val="center"/>
            <w:hideMark/>
          </w:tcPr>
          <w:p w14:paraId="239C2E2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31.1</w:t>
            </w:r>
          </w:p>
        </w:tc>
        <w:tc>
          <w:tcPr>
            <w:tcW w:w="595" w:type="dxa"/>
            <w:tcBorders>
              <w:top w:val="nil"/>
              <w:left w:val="nil"/>
              <w:bottom w:val="single" w:sz="8" w:space="0" w:color="DCDDDE"/>
              <w:right w:val="nil"/>
            </w:tcBorders>
            <w:shd w:val="clear" w:color="000000" w:fill="FFFFFF"/>
            <w:noWrap/>
            <w:vAlign w:val="center"/>
            <w:hideMark/>
          </w:tcPr>
          <w:p w14:paraId="39A2B94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32.7</w:t>
            </w:r>
          </w:p>
        </w:tc>
        <w:tc>
          <w:tcPr>
            <w:tcW w:w="595" w:type="dxa"/>
            <w:tcBorders>
              <w:top w:val="nil"/>
              <w:left w:val="nil"/>
              <w:bottom w:val="single" w:sz="8" w:space="0" w:color="DCDDDE"/>
              <w:right w:val="nil"/>
            </w:tcBorders>
            <w:shd w:val="clear" w:color="000000" w:fill="FFFFFF"/>
            <w:noWrap/>
            <w:vAlign w:val="center"/>
            <w:hideMark/>
          </w:tcPr>
          <w:p w14:paraId="32AA93F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32.5</w:t>
            </w:r>
          </w:p>
        </w:tc>
        <w:tc>
          <w:tcPr>
            <w:tcW w:w="595" w:type="dxa"/>
            <w:tcBorders>
              <w:top w:val="nil"/>
              <w:left w:val="nil"/>
              <w:bottom w:val="single" w:sz="8" w:space="0" w:color="DCDDDE"/>
              <w:right w:val="nil"/>
            </w:tcBorders>
            <w:shd w:val="clear" w:color="000000" w:fill="FFFFFF"/>
            <w:noWrap/>
            <w:vAlign w:val="center"/>
            <w:hideMark/>
          </w:tcPr>
          <w:p w14:paraId="54FC176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32.3</w:t>
            </w:r>
          </w:p>
        </w:tc>
        <w:tc>
          <w:tcPr>
            <w:tcW w:w="595" w:type="dxa"/>
            <w:tcBorders>
              <w:top w:val="nil"/>
              <w:left w:val="nil"/>
              <w:bottom w:val="single" w:sz="8" w:space="0" w:color="DCDDDE"/>
              <w:right w:val="nil"/>
            </w:tcBorders>
            <w:shd w:val="clear" w:color="000000" w:fill="FFFFFF"/>
            <w:noWrap/>
            <w:vAlign w:val="center"/>
            <w:hideMark/>
          </w:tcPr>
          <w:p w14:paraId="661B3AC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32.3</w:t>
            </w:r>
          </w:p>
        </w:tc>
        <w:tc>
          <w:tcPr>
            <w:tcW w:w="595" w:type="dxa"/>
            <w:tcBorders>
              <w:top w:val="nil"/>
              <w:left w:val="nil"/>
              <w:bottom w:val="single" w:sz="8" w:space="0" w:color="DCDDDE"/>
              <w:right w:val="nil"/>
            </w:tcBorders>
            <w:shd w:val="clear" w:color="000000" w:fill="FFFFFF"/>
            <w:noWrap/>
            <w:vAlign w:val="center"/>
            <w:hideMark/>
          </w:tcPr>
          <w:p w14:paraId="3DAB25D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31.6</w:t>
            </w:r>
          </w:p>
        </w:tc>
        <w:tc>
          <w:tcPr>
            <w:tcW w:w="595" w:type="dxa"/>
            <w:tcBorders>
              <w:top w:val="nil"/>
              <w:left w:val="nil"/>
              <w:bottom w:val="single" w:sz="8" w:space="0" w:color="DCDDDE"/>
              <w:right w:val="nil"/>
            </w:tcBorders>
            <w:shd w:val="clear" w:color="000000" w:fill="FFFFFF"/>
            <w:noWrap/>
            <w:vAlign w:val="center"/>
            <w:hideMark/>
          </w:tcPr>
          <w:p w14:paraId="69D73D0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31.2</w:t>
            </w:r>
          </w:p>
        </w:tc>
        <w:tc>
          <w:tcPr>
            <w:tcW w:w="595" w:type="dxa"/>
            <w:tcBorders>
              <w:top w:val="nil"/>
              <w:left w:val="nil"/>
              <w:bottom w:val="single" w:sz="8" w:space="0" w:color="DCDDDE"/>
              <w:right w:val="nil"/>
            </w:tcBorders>
            <w:shd w:val="clear" w:color="000000" w:fill="FFFFFF"/>
            <w:noWrap/>
            <w:vAlign w:val="center"/>
            <w:hideMark/>
          </w:tcPr>
          <w:p w14:paraId="014D68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30.8</w:t>
            </w:r>
          </w:p>
        </w:tc>
        <w:tc>
          <w:tcPr>
            <w:tcW w:w="595" w:type="dxa"/>
            <w:tcBorders>
              <w:top w:val="nil"/>
              <w:left w:val="nil"/>
              <w:bottom w:val="single" w:sz="8" w:space="0" w:color="DCDDDE"/>
              <w:right w:val="nil"/>
            </w:tcBorders>
            <w:shd w:val="clear" w:color="000000" w:fill="FFFFFF"/>
            <w:noWrap/>
            <w:vAlign w:val="center"/>
            <w:hideMark/>
          </w:tcPr>
          <w:p w14:paraId="11A51AE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30.9</w:t>
            </w:r>
          </w:p>
        </w:tc>
        <w:tc>
          <w:tcPr>
            <w:tcW w:w="595" w:type="dxa"/>
            <w:tcBorders>
              <w:top w:val="nil"/>
              <w:left w:val="nil"/>
              <w:bottom w:val="single" w:sz="8" w:space="0" w:color="DCDDDE"/>
              <w:right w:val="nil"/>
            </w:tcBorders>
            <w:shd w:val="clear" w:color="000000" w:fill="FFFFFF"/>
            <w:noWrap/>
            <w:vAlign w:val="center"/>
            <w:hideMark/>
          </w:tcPr>
          <w:p w14:paraId="06058D2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30.5</w:t>
            </w:r>
          </w:p>
        </w:tc>
        <w:tc>
          <w:tcPr>
            <w:tcW w:w="595" w:type="dxa"/>
            <w:tcBorders>
              <w:top w:val="nil"/>
              <w:left w:val="nil"/>
              <w:bottom w:val="single" w:sz="8" w:space="0" w:color="DCDDDE"/>
              <w:right w:val="nil"/>
            </w:tcBorders>
            <w:shd w:val="clear" w:color="000000" w:fill="FFFFFF"/>
            <w:noWrap/>
            <w:vAlign w:val="center"/>
            <w:hideMark/>
          </w:tcPr>
          <w:p w14:paraId="1E04B48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29.9</w:t>
            </w:r>
          </w:p>
        </w:tc>
      </w:tr>
      <w:tr w:rsidR="00181744" w:rsidRPr="00181744" w14:paraId="0CD396E5"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08959FF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536" w:type="dxa"/>
            <w:tcBorders>
              <w:top w:val="nil"/>
              <w:left w:val="nil"/>
              <w:bottom w:val="single" w:sz="8" w:space="0" w:color="DCDDDE"/>
              <w:right w:val="nil"/>
            </w:tcBorders>
            <w:shd w:val="clear" w:color="000000" w:fill="FFFFFF"/>
            <w:noWrap/>
            <w:vAlign w:val="center"/>
            <w:hideMark/>
          </w:tcPr>
          <w:p w14:paraId="6F2777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42.3</w:t>
            </w:r>
          </w:p>
        </w:tc>
        <w:tc>
          <w:tcPr>
            <w:tcW w:w="536" w:type="dxa"/>
            <w:tcBorders>
              <w:top w:val="nil"/>
              <w:left w:val="nil"/>
              <w:bottom w:val="single" w:sz="8" w:space="0" w:color="DCDDDE"/>
              <w:right w:val="nil"/>
            </w:tcBorders>
            <w:shd w:val="clear" w:color="000000" w:fill="FFFFFF"/>
            <w:noWrap/>
            <w:vAlign w:val="center"/>
            <w:hideMark/>
          </w:tcPr>
          <w:p w14:paraId="581080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42.6</w:t>
            </w:r>
          </w:p>
        </w:tc>
        <w:tc>
          <w:tcPr>
            <w:tcW w:w="536" w:type="dxa"/>
            <w:tcBorders>
              <w:top w:val="nil"/>
              <w:left w:val="nil"/>
              <w:bottom w:val="single" w:sz="8" w:space="0" w:color="DCDDDE"/>
              <w:right w:val="nil"/>
            </w:tcBorders>
            <w:shd w:val="clear" w:color="000000" w:fill="FFFFFF"/>
            <w:noWrap/>
            <w:vAlign w:val="center"/>
            <w:hideMark/>
          </w:tcPr>
          <w:p w14:paraId="0C1CA6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50.1</w:t>
            </w:r>
          </w:p>
        </w:tc>
        <w:tc>
          <w:tcPr>
            <w:tcW w:w="595" w:type="dxa"/>
            <w:tcBorders>
              <w:top w:val="nil"/>
              <w:left w:val="nil"/>
              <w:bottom w:val="single" w:sz="8" w:space="0" w:color="DCDDDE"/>
              <w:right w:val="nil"/>
            </w:tcBorders>
            <w:shd w:val="clear" w:color="000000" w:fill="FFFFFF"/>
            <w:noWrap/>
            <w:vAlign w:val="center"/>
            <w:hideMark/>
          </w:tcPr>
          <w:p w14:paraId="422E42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61.1</w:t>
            </w:r>
          </w:p>
        </w:tc>
        <w:tc>
          <w:tcPr>
            <w:tcW w:w="595" w:type="dxa"/>
            <w:tcBorders>
              <w:top w:val="nil"/>
              <w:left w:val="nil"/>
              <w:bottom w:val="single" w:sz="8" w:space="0" w:color="DCDDDE"/>
              <w:right w:val="nil"/>
            </w:tcBorders>
            <w:shd w:val="clear" w:color="000000" w:fill="FFFFFF"/>
            <w:noWrap/>
            <w:vAlign w:val="center"/>
            <w:hideMark/>
          </w:tcPr>
          <w:p w14:paraId="03C7273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60.5</w:t>
            </w:r>
          </w:p>
        </w:tc>
        <w:tc>
          <w:tcPr>
            <w:tcW w:w="595" w:type="dxa"/>
            <w:tcBorders>
              <w:top w:val="nil"/>
              <w:left w:val="nil"/>
              <w:bottom w:val="single" w:sz="8" w:space="0" w:color="DCDDDE"/>
              <w:right w:val="nil"/>
            </w:tcBorders>
            <w:shd w:val="clear" w:color="000000" w:fill="FFFFFF"/>
            <w:noWrap/>
            <w:vAlign w:val="center"/>
            <w:hideMark/>
          </w:tcPr>
          <w:p w14:paraId="0A3865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69.3</w:t>
            </w:r>
          </w:p>
        </w:tc>
        <w:tc>
          <w:tcPr>
            <w:tcW w:w="595" w:type="dxa"/>
            <w:tcBorders>
              <w:top w:val="nil"/>
              <w:left w:val="nil"/>
              <w:bottom w:val="single" w:sz="8" w:space="0" w:color="DCDDDE"/>
              <w:right w:val="nil"/>
            </w:tcBorders>
            <w:shd w:val="clear" w:color="000000" w:fill="FFFFFF"/>
            <w:noWrap/>
            <w:vAlign w:val="center"/>
            <w:hideMark/>
          </w:tcPr>
          <w:p w14:paraId="309B28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67.7</w:t>
            </w:r>
          </w:p>
        </w:tc>
        <w:tc>
          <w:tcPr>
            <w:tcW w:w="595" w:type="dxa"/>
            <w:tcBorders>
              <w:top w:val="nil"/>
              <w:left w:val="nil"/>
              <w:bottom w:val="single" w:sz="8" w:space="0" w:color="DCDDDE"/>
              <w:right w:val="nil"/>
            </w:tcBorders>
            <w:shd w:val="clear" w:color="000000" w:fill="FFFFFF"/>
            <w:noWrap/>
            <w:vAlign w:val="center"/>
            <w:hideMark/>
          </w:tcPr>
          <w:p w14:paraId="4B5D91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66.7</w:t>
            </w:r>
          </w:p>
        </w:tc>
        <w:tc>
          <w:tcPr>
            <w:tcW w:w="595" w:type="dxa"/>
            <w:tcBorders>
              <w:top w:val="nil"/>
              <w:left w:val="nil"/>
              <w:bottom w:val="single" w:sz="8" w:space="0" w:color="DCDDDE"/>
              <w:right w:val="nil"/>
            </w:tcBorders>
            <w:shd w:val="clear" w:color="000000" w:fill="FFFFFF"/>
            <w:noWrap/>
            <w:vAlign w:val="center"/>
            <w:hideMark/>
          </w:tcPr>
          <w:p w14:paraId="5F95A79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65.2</w:t>
            </w:r>
          </w:p>
        </w:tc>
        <w:tc>
          <w:tcPr>
            <w:tcW w:w="595" w:type="dxa"/>
            <w:tcBorders>
              <w:top w:val="nil"/>
              <w:left w:val="nil"/>
              <w:bottom w:val="single" w:sz="8" w:space="0" w:color="DCDDDE"/>
              <w:right w:val="nil"/>
            </w:tcBorders>
            <w:shd w:val="clear" w:color="000000" w:fill="FFFFFF"/>
            <w:noWrap/>
            <w:vAlign w:val="center"/>
            <w:hideMark/>
          </w:tcPr>
          <w:p w14:paraId="0B4ADDF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64.4</w:t>
            </w:r>
          </w:p>
        </w:tc>
        <w:tc>
          <w:tcPr>
            <w:tcW w:w="595" w:type="dxa"/>
            <w:tcBorders>
              <w:top w:val="nil"/>
              <w:left w:val="nil"/>
              <w:bottom w:val="single" w:sz="8" w:space="0" w:color="DCDDDE"/>
              <w:right w:val="nil"/>
            </w:tcBorders>
            <w:shd w:val="clear" w:color="000000" w:fill="FFFFFF"/>
            <w:noWrap/>
            <w:vAlign w:val="center"/>
            <w:hideMark/>
          </w:tcPr>
          <w:p w14:paraId="52330B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62.4</w:t>
            </w:r>
          </w:p>
        </w:tc>
        <w:tc>
          <w:tcPr>
            <w:tcW w:w="595" w:type="dxa"/>
            <w:tcBorders>
              <w:top w:val="nil"/>
              <w:left w:val="nil"/>
              <w:bottom w:val="single" w:sz="8" w:space="0" w:color="DCDDDE"/>
              <w:right w:val="nil"/>
            </w:tcBorders>
            <w:shd w:val="clear" w:color="000000" w:fill="FFFFFF"/>
            <w:noWrap/>
            <w:vAlign w:val="center"/>
            <w:hideMark/>
          </w:tcPr>
          <w:p w14:paraId="0B3DB6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59.3</w:t>
            </w:r>
          </w:p>
        </w:tc>
        <w:tc>
          <w:tcPr>
            <w:tcW w:w="595" w:type="dxa"/>
            <w:tcBorders>
              <w:top w:val="nil"/>
              <w:left w:val="nil"/>
              <w:bottom w:val="single" w:sz="8" w:space="0" w:color="DCDDDE"/>
              <w:right w:val="nil"/>
            </w:tcBorders>
            <w:shd w:val="clear" w:color="000000" w:fill="FFFFFF"/>
            <w:noWrap/>
            <w:vAlign w:val="center"/>
            <w:hideMark/>
          </w:tcPr>
          <w:p w14:paraId="598636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56.3</w:t>
            </w:r>
          </w:p>
        </w:tc>
      </w:tr>
      <w:tr w:rsidR="00181744" w:rsidRPr="00181744" w14:paraId="0B114059"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2C50755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536" w:type="dxa"/>
            <w:tcBorders>
              <w:top w:val="nil"/>
              <w:left w:val="nil"/>
              <w:bottom w:val="single" w:sz="8" w:space="0" w:color="DCDDDE"/>
              <w:right w:val="nil"/>
            </w:tcBorders>
            <w:shd w:val="clear" w:color="000000" w:fill="FFFFFF"/>
            <w:noWrap/>
            <w:vAlign w:val="center"/>
            <w:hideMark/>
          </w:tcPr>
          <w:p w14:paraId="25B202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536" w:type="dxa"/>
            <w:tcBorders>
              <w:top w:val="nil"/>
              <w:left w:val="nil"/>
              <w:bottom w:val="single" w:sz="8" w:space="0" w:color="DCDDDE"/>
              <w:right w:val="nil"/>
            </w:tcBorders>
            <w:shd w:val="clear" w:color="000000" w:fill="FFFFFF"/>
            <w:noWrap/>
            <w:vAlign w:val="center"/>
            <w:hideMark/>
          </w:tcPr>
          <w:p w14:paraId="3922C39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6.6</w:t>
            </w:r>
          </w:p>
        </w:tc>
        <w:tc>
          <w:tcPr>
            <w:tcW w:w="536" w:type="dxa"/>
            <w:tcBorders>
              <w:top w:val="nil"/>
              <w:left w:val="nil"/>
              <w:bottom w:val="single" w:sz="8" w:space="0" w:color="DCDDDE"/>
              <w:right w:val="nil"/>
            </w:tcBorders>
            <w:shd w:val="clear" w:color="000000" w:fill="FFFFFF"/>
            <w:noWrap/>
            <w:vAlign w:val="center"/>
            <w:hideMark/>
          </w:tcPr>
          <w:p w14:paraId="05B69C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7.9</w:t>
            </w:r>
          </w:p>
        </w:tc>
        <w:tc>
          <w:tcPr>
            <w:tcW w:w="595" w:type="dxa"/>
            <w:tcBorders>
              <w:top w:val="nil"/>
              <w:left w:val="nil"/>
              <w:bottom w:val="single" w:sz="8" w:space="0" w:color="DCDDDE"/>
              <w:right w:val="nil"/>
            </w:tcBorders>
            <w:shd w:val="clear" w:color="000000" w:fill="FFFFFF"/>
            <w:noWrap/>
            <w:vAlign w:val="center"/>
            <w:hideMark/>
          </w:tcPr>
          <w:p w14:paraId="49AC099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9.3</w:t>
            </w:r>
          </w:p>
        </w:tc>
        <w:tc>
          <w:tcPr>
            <w:tcW w:w="595" w:type="dxa"/>
            <w:tcBorders>
              <w:top w:val="nil"/>
              <w:left w:val="nil"/>
              <w:bottom w:val="single" w:sz="8" w:space="0" w:color="DCDDDE"/>
              <w:right w:val="nil"/>
            </w:tcBorders>
            <w:shd w:val="clear" w:color="000000" w:fill="FFFFFF"/>
            <w:noWrap/>
            <w:vAlign w:val="center"/>
            <w:hideMark/>
          </w:tcPr>
          <w:p w14:paraId="67F9FB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11.0</w:t>
            </w:r>
          </w:p>
        </w:tc>
        <w:tc>
          <w:tcPr>
            <w:tcW w:w="595" w:type="dxa"/>
            <w:tcBorders>
              <w:top w:val="nil"/>
              <w:left w:val="nil"/>
              <w:bottom w:val="single" w:sz="8" w:space="0" w:color="DCDDDE"/>
              <w:right w:val="nil"/>
            </w:tcBorders>
            <w:shd w:val="clear" w:color="000000" w:fill="FFFFFF"/>
            <w:noWrap/>
            <w:vAlign w:val="center"/>
            <w:hideMark/>
          </w:tcPr>
          <w:p w14:paraId="7C441F7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12.6</w:t>
            </w:r>
          </w:p>
        </w:tc>
        <w:tc>
          <w:tcPr>
            <w:tcW w:w="595" w:type="dxa"/>
            <w:tcBorders>
              <w:top w:val="nil"/>
              <w:left w:val="nil"/>
              <w:bottom w:val="single" w:sz="8" w:space="0" w:color="DCDDDE"/>
              <w:right w:val="nil"/>
            </w:tcBorders>
            <w:shd w:val="clear" w:color="000000" w:fill="FFFFFF"/>
            <w:noWrap/>
            <w:vAlign w:val="center"/>
            <w:hideMark/>
          </w:tcPr>
          <w:p w14:paraId="5C776E1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15.2</w:t>
            </w:r>
          </w:p>
        </w:tc>
        <w:tc>
          <w:tcPr>
            <w:tcW w:w="595" w:type="dxa"/>
            <w:tcBorders>
              <w:top w:val="nil"/>
              <w:left w:val="nil"/>
              <w:bottom w:val="single" w:sz="8" w:space="0" w:color="DCDDDE"/>
              <w:right w:val="nil"/>
            </w:tcBorders>
            <w:shd w:val="clear" w:color="000000" w:fill="FFFFFF"/>
            <w:noWrap/>
            <w:vAlign w:val="center"/>
            <w:hideMark/>
          </w:tcPr>
          <w:p w14:paraId="6CC8721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17.2</w:t>
            </w:r>
          </w:p>
        </w:tc>
        <w:tc>
          <w:tcPr>
            <w:tcW w:w="595" w:type="dxa"/>
            <w:tcBorders>
              <w:top w:val="nil"/>
              <w:left w:val="nil"/>
              <w:bottom w:val="single" w:sz="8" w:space="0" w:color="DCDDDE"/>
              <w:right w:val="nil"/>
            </w:tcBorders>
            <w:shd w:val="clear" w:color="000000" w:fill="FFFFFF"/>
            <w:noWrap/>
            <w:vAlign w:val="center"/>
            <w:hideMark/>
          </w:tcPr>
          <w:p w14:paraId="60CE3D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19.2</w:t>
            </w:r>
          </w:p>
        </w:tc>
        <w:tc>
          <w:tcPr>
            <w:tcW w:w="595" w:type="dxa"/>
            <w:tcBorders>
              <w:top w:val="nil"/>
              <w:left w:val="nil"/>
              <w:bottom w:val="single" w:sz="8" w:space="0" w:color="DCDDDE"/>
              <w:right w:val="nil"/>
            </w:tcBorders>
            <w:shd w:val="clear" w:color="000000" w:fill="FFFFFF"/>
            <w:noWrap/>
            <w:vAlign w:val="center"/>
            <w:hideMark/>
          </w:tcPr>
          <w:p w14:paraId="631224C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21.5</w:t>
            </w:r>
          </w:p>
        </w:tc>
        <w:tc>
          <w:tcPr>
            <w:tcW w:w="595" w:type="dxa"/>
            <w:tcBorders>
              <w:top w:val="nil"/>
              <w:left w:val="nil"/>
              <w:bottom w:val="single" w:sz="8" w:space="0" w:color="DCDDDE"/>
              <w:right w:val="nil"/>
            </w:tcBorders>
            <w:shd w:val="clear" w:color="000000" w:fill="FFFFFF"/>
            <w:noWrap/>
            <w:vAlign w:val="center"/>
            <w:hideMark/>
          </w:tcPr>
          <w:p w14:paraId="4A1B0C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23.9</w:t>
            </w:r>
          </w:p>
        </w:tc>
        <w:tc>
          <w:tcPr>
            <w:tcW w:w="595" w:type="dxa"/>
            <w:tcBorders>
              <w:top w:val="nil"/>
              <w:left w:val="nil"/>
              <w:bottom w:val="single" w:sz="8" w:space="0" w:color="DCDDDE"/>
              <w:right w:val="nil"/>
            </w:tcBorders>
            <w:shd w:val="clear" w:color="000000" w:fill="FFFFFF"/>
            <w:noWrap/>
            <w:vAlign w:val="center"/>
            <w:hideMark/>
          </w:tcPr>
          <w:p w14:paraId="0AC48BF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26.1</w:t>
            </w:r>
          </w:p>
        </w:tc>
        <w:tc>
          <w:tcPr>
            <w:tcW w:w="595" w:type="dxa"/>
            <w:tcBorders>
              <w:top w:val="nil"/>
              <w:left w:val="nil"/>
              <w:bottom w:val="single" w:sz="8" w:space="0" w:color="DCDDDE"/>
              <w:right w:val="nil"/>
            </w:tcBorders>
            <w:shd w:val="clear" w:color="000000" w:fill="FFFFFF"/>
            <w:noWrap/>
            <w:vAlign w:val="center"/>
            <w:hideMark/>
          </w:tcPr>
          <w:p w14:paraId="3139A23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27.9</w:t>
            </w:r>
          </w:p>
        </w:tc>
      </w:tr>
      <w:tr w:rsidR="00181744" w:rsidRPr="00181744" w14:paraId="3852A8CA" w14:textId="77777777" w:rsidTr="00181744">
        <w:trPr>
          <w:gridAfter w:val="1"/>
          <w:wAfter w:w="10" w:type="dxa"/>
          <w:trHeight w:val="494"/>
        </w:trPr>
        <w:tc>
          <w:tcPr>
            <w:tcW w:w="1177" w:type="dxa"/>
            <w:tcBorders>
              <w:top w:val="nil"/>
              <w:left w:val="nil"/>
              <w:bottom w:val="single" w:sz="8" w:space="0" w:color="DCDDDE"/>
              <w:right w:val="nil"/>
            </w:tcBorders>
            <w:shd w:val="clear" w:color="000000" w:fill="FFFFFF"/>
            <w:vAlign w:val="center"/>
            <w:hideMark/>
          </w:tcPr>
          <w:p w14:paraId="2FDE4F6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536" w:type="dxa"/>
            <w:tcBorders>
              <w:top w:val="nil"/>
              <w:left w:val="nil"/>
              <w:bottom w:val="single" w:sz="8" w:space="0" w:color="DCDDDE"/>
              <w:right w:val="nil"/>
            </w:tcBorders>
            <w:shd w:val="clear" w:color="000000" w:fill="FFFFFF"/>
            <w:noWrap/>
            <w:vAlign w:val="center"/>
            <w:hideMark/>
          </w:tcPr>
          <w:p w14:paraId="7E99F22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72EC593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536" w:type="dxa"/>
            <w:tcBorders>
              <w:top w:val="nil"/>
              <w:left w:val="nil"/>
              <w:bottom w:val="single" w:sz="8" w:space="0" w:color="DCDDDE"/>
              <w:right w:val="nil"/>
            </w:tcBorders>
            <w:shd w:val="clear" w:color="000000" w:fill="FFFFFF"/>
            <w:noWrap/>
            <w:vAlign w:val="center"/>
            <w:hideMark/>
          </w:tcPr>
          <w:p w14:paraId="7026E3D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1EFFF2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5C04C79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3E6902C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5D9D7FB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E3952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780C48A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0A4D24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4C77CB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2AB6EE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595" w:type="dxa"/>
            <w:tcBorders>
              <w:top w:val="nil"/>
              <w:left w:val="nil"/>
              <w:bottom w:val="single" w:sz="8" w:space="0" w:color="DCDDDE"/>
              <w:right w:val="nil"/>
            </w:tcBorders>
            <w:shd w:val="clear" w:color="000000" w:fill="FFFFFF"/>
            <w:noWrap/>
            <w:vAlign w:val="center"/>
            <w:hideMark/>
          </w:tcPr>
          <w:p w14:paraId="46EE201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r>
      <w:tr w:rsidR="00181744" w:rsidRPr="00181744" w14:paraId="79395CE8" w14:textId="77777777" w:rsidTr="00181744">
        <w:trPr>
          <w:gridAfter w:val="1"/>
          <w:wAfter w:w="10" w:type="dxa"/>
          <w:trHeight w:val="280"/>
        </w:trPr>
        <w:tc>
          <w:tcPr>
            <w:tcW w:w="1177" w:type="dxa"/>
            <w:tcBorders>
              <w:top w:val="nil"/>
              <w:left w:val="nil"/>
              <w:bottom w:val="single" w:sz="8" w:space="0" w:color="DCDDDE"/>
              <w:right w:val="nil"/>
            </w:tcBorders>
            <w:shd w:val="clear" w:color="000000" w:fill="FFFFFF"/>
            <w:vAlign w:val="center"/>
            <w:hideMark/>
          </w:tcPr>
          <w:p w14:paraId="5622265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536" w:type="dxa"/>
            <w:tcBorders>
              <w:top w:val="nil"/>
              <w:left w:val="nil"/>
              <w:bottom w:val="single" w:sz="8" w:space="0" w:color="DCDDDE"/>
              <w:right w:val="nil"/>
            </w:tcBorders>
            <w:shd w:val="clear" w:color="000000" w:fill="FFFFFF"/>
            <w:noWrap/>
            <w:vAlign w:val="center"/>
            <w:hideMark/>
          </w:tcPr>
          <w:p w14:paraId="772508E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75.5</w:t>
            </w:r>
          </w:p>
        </w:tc>
        <w:tc>
          <w:tcPr>
            <w:tcW w:w="536" w:type="dxa"/>
            <w:tcBorders>
              <w:top w:val="nil"/>
              <w:left w:val="nil"/>
              <w:bottom w:val="single" w:sz="8" w:space="0" w:color="DCDDDE"/>
              <w:right w:val="nil"/>
            </w:tcBorders>
            <w:shd w:val="clear" w:color="000000" w:fill="FFFFFF"/>
            <w:noWrap/>
            <w:vAlign w:val="center"/>
            <w:hideMark/>
          </w:tcPr>
          <w:p w14:paraId="62D476F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81.0</w:t>
            </w:r>
          </w:p>
        </w:tc>
        <w:tc>
          <w:tcPr>
            <w:tcW w:w="536" w:type="dxa"/>
            <w:tcBorders>
              <w:top w:val="nil"/>
              <w:left w:val="nil"/>
              <w:bottom w:val="single" w:sz="8" w:space="0" w:color="DCDDDE"/>
              <w:right w:val="nil"/>
            </w:tcBorders>
            <w:shd w:val="clear" w:color="000000" w:fill="FFFFFF"/>
            <w:noWrap/>
            <w:vAlign w:val="center"/>
            <w:hideMark/>
          </w:tcPr>
          <w:p w14:paraId="0BE3C55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90.1</w:t>
            </w:r>
          </w:p>
        </w:tc>
        <w:tc>
          <w:tcPr>
            <w:tcW w:w="595" w:type="dxa"/>
            <w:tcBorders>
              <w:top w:val="nil"/>
              <w:left w:val="nil"/>
              <w:bottom w:val="single" w:sz="8" w:space="0" w:color="DCDDDE"/>
              <w:right w:val="nil"/>
            </w:tcBorders>
            <w:shd w:val="clear" w:color="000000" w:fill="FFFFFF"/>
            <w:noWrap/>
            <w:vAlign w:val="center"/>
            <w:hideMark/>
          </w:tcPr>
          <w:p w14:paraId="3C170AA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104.1</w:t>
            </w:r>
          </w:p>
        </w:tc>
        <w:tc>
          <w:tcPr>
            <w:tcW w:w="595" w:type="dxa"/>
            <w:tcBorders>
              <w:top w:val="nil"/>
              <w:left w:val="nil"/>
              <w:bottom w:val="single" w:sz="8" w:space="0" w:color="DCDDDE"/>
              <w:right w:val="nil"/>
            </w:tcBorders>
            <w:shd w:val="clear" w:color="000000" w:fill="FFFFFF"/>
            <w:noWrap/>
            <w:vAlign w:val="center"/>
            <w:hideMark/>
          </w:tcPr>
          <w:p w14:paraId="5B0167C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105.1</w:t>
            </w:r>
          </w:p>
        </w:tc>
        <w:tc>
          <w:tcPr>
            <w:tcW w:w="595" w:type="dxa"/>
            <w:tcBorders>
              <w:top w:val="nil"/>
              <w:left w:val="nil"/>
              <w:bottom w:val="single" w:sz="8" w:space="0" w:color="DCDDDE"/>
              <w:right w:val="nil"/>
            </w:tcBorders>
            <w:shd w:val="clear" w:color="000000" w:fill="FFFFFF"/>
            <w:noWrap/>
            <w:vAlign w:val="center"/>
            <w:hideMark/>
          </w:tcPr>
          <w:p w14:paraId="5FF77B2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115.3</w:t>
            </w:r>
          </w:p>
        </w:tc>
        <w:tc>
          <w:tcPr>
            <w:tcW w:w="595" w:type="dxa"/>
            <w:tcBorders>
              <w:top w:val="nil"/>
              <w:left w:val="nil"/>
              <w:bottom w:val="single" w:sz="8" w:space="0" w:color="DCDDDE"/>
              <w:right w:val="nil"/>
            </w:tcBorders>
            <w:shd w:val="clear" w:color="000000" w:fill="FFFFFF"/>
            <w:noWrap/>
            <w:vAlign w:val="center"/>
            <w:hideMark/>
          </w:tcPr>
          <w:p w14:paraId="343CB86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116.2</w:t>
            </w:r>
          </w:p>
        </w:tc>
        <w:tc>
          <w:tcPr>
            <w:tcW w:w="595" w:type="dxa"/>
            <w:tcBorders>
              <w:top w:val="nil"/>
              <w:left w:val="nil"/>
              <w:bottom w:val="single" w:sz="8" w:space="0" w:color="DCDDDE"/>
              <w:right w:val="nil"/>
            </w:tcBorders>
            <w:shd w:val="clear" w:color="000000" w:fill="FFFFFF"/>
            <w:noWrap/>
            <w:vAlign w:val="center"/>
            <w:hideMark/>
          </w:tcPr>
          <w:p w14:paraId="187A049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116.6</w:t>
            </w:r>
          </w:p>
        </w:tc>
        <w:tc>
          <w:tcPr>
            <w:tcW w:w="595" w:type="dxa"/>
            <w:tcBorders>
              <w:top w:val="nil"/>
              <w:left w:val="nil"/>
              <w:bottom w:val="single" w:sz="8" w:space="0" w:color="DCDDDE"/>
              <w:right w:val="nil"/>
            </w:tcBorders>
            <w:shd w:val="clear" w:color="000000" w:fill="FFFFFF"/>
            <w:noWrap/>
            <w:vAlign w:val="center"/>
            <w:hideMark/>
          </w:tcPr>
          <w:p w14:paraId="1C0F7DF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116.7</w:t>
            </w:r>
          </w:p>
        </w:tc>
        <w:tc>
          <w:tcPr>
            <w:tcW w:w="595" w:type="dxa"/>
            <w:tcBorders>
              <w:top w:val="nil"/>
              <w:left w:val="nil"/>
              <w:bottom w:val="single" w:sz="8" w:space="0" w:color="DCDDDE"/>
              <w:right w:val="nil"/>
            </w:tcBorders>
            <w:shd w:val="clear" w:color="000000" w:fill="FFFFFF"/>
            <w:noWrap/>
            <w:vAlign w:val="center"/>
            <w:hideMark/>
          </w:tcPr>
          <w:p w14:paraId="195FFD1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117.7</w:t>
            </w:r>
          </w:p>
        </w:tc>
        <w:tc>
          <w:tcPr>
            <w:tcW w:w="595" w:type="dxa"/>
            <w:tcBorders>
              <w:top w:val="nil"/>
              <w:left w:val="nil"/>
              <w:bottom w:val="single" w:sz="8" w:space="0" w:color="DCDDDE"/>
              <w:right w:val="nil"/>
            </w:tcBorders>
            <w:shd w:val="clear" w:color="000000" w:fill="FFFFFF"/>
            <w:noWrap/>
            <w:vAlign w:val="center"/>
            <w:hideMark/>
          </w:tcPr>
          <w:p w14:paraId="127C3F9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118.2</w:t>
            </w:r>
          </w:p>
        </w:tc>
        <w:tc>
          <w:tcPr>
            <w:tcW w:w="595" w:type="dxa"/>
            <w:tcBorders>
              <w:top w:val="nil"/>
              <w:left w:val="nil"/>
              <w:bottom w:val="single" w:sz="8" w:space="0" w:color="DCDDDE"/>
              <w:right w:val="nil"/>
            </w:tcBorders>
            <w:shd w:val="clear" w:color="000000" w:fill="FFFFFF"/>
            <w:noWrap/>
            <w:vAlign w:val="center"/>
            <w:hideMark/>
          </w:tcPr>
          <w:p w14:paraId="439FF8C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116.9</w:t>
            </w:r>
          </w:p>
        </w:tc>
        <w:tc>
          <w:tcPr>
            <w:tcW w:w="595" w:type="dxa"/>
            <w:tcBorders>
              <w:top w:val="nil"/>
              <w:left w:val="nil"/>
              <w:bottom w:val="single" w:sz="8" w:space="0" w:color="DCDDDE"/>
              <w:right w:val="nil"/>
            </w:tcBorders>
            <w:shd w:val="clear" w:color="000000" w:fill="FFFFFF"/>
            <w:noWrap/>
            <w:vAlign w:val="center"/>
            <w:hideMark/>
          </w:tcPr>
          <w:p w14:paraId="6B17558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115.2</w:t>
            </w:r>
          </w:p>
        </w:tc>
      </w:tr>
    </w:tbl>
    <w:p w14:paraId="28AE1F1A" w14:textId="77777777" w:rsidR="00181744" w:rsidRPr="00181744" w:rsidRDefault="00181744" w:rsidP="00181744"/>
    <w:p w14:paraId="3AEBF4CC" w14:textId="77777777" w:rsidR="00D823AE" w:rsidRDefault="00D823AE" w:rsidP="00D823AE"/>
    <w:p w14:paraId="091B1379" w14:textId="77777777" w:rsidR="00D823AE" w:rsidRDefault="00D823AE" w:rsidP="00D823AE">
      <w:pPr>
        <w:pStyle w:val="Caption"/>
      </w:pPr>
      <w:bookmarkStart w:id="1123" w:name="_Toc485125638"/>
      <w:r w:rsidRPr="00122CD3">
        <w:t xml:space="preserve">Table </w:t>
      </w:r>
      <w:r w:rsidR="00272F76">
        <w:fldChar w:fldCharType="begin"/>
      </w:r>
      <w:r w:rsidR="00272F76">
        <w:instrText xml:space="preserve"> STYLEREF 5 \s </w:instrText>
      </w:r>
      <w:r w:rsidR="00272F76">
        <w:fldChar w:fldCharType="separate"/>
      </w:r>
      <w:r w:rsidR="00C407F4">
        <w:rPr>
          <w:noProof/>
        </w:rPr>
        <w:t>G</w:t>
      </w:r>
      <w:r w:rsidR="00272F76">
        <w:rPr>
          <w:noProof/>
        </w:rPr>
        <w:fldChar w:fldCharType="end"/>
      </w:r>
      <w:r w:rsidRPr="00323BFA">
        <w:noBreakHyphen/>
      </w:r>
      <w:r w:rsidR="00272F76">
        <w:fldChar w:fldCharType="begin"/>
      </w:r>
      <w:r w:rsidR="00272F76">
        <w:instrText xml:space="preserve"> SEQ Table_Apx \* ARABIC \s 5 </w:instrText>
      </w:r>
      <w:r w:rsidR="00272F76">
        <w:fldChar w:fldCharType="separate"/>
      </w:r>
      <w:r w:rsidR="00C407F4">
        <w:rPr>
          <w:noProof/>
        </w:rPr>
        <w:t>9</w:t>
      </w:r>
      <w:r w:rsidR="00272F76">
        <w:rPr>
          <w:noProof/>
        </w:rPr>
        <w:fldChar w:fldCharType="end"/>
      </w:r>
      <w:r w:rsidRPr="006F2DA9">
        <w:t xml:space="preserve">. </w:t>
      </w:r>
      <w:r>
        <w:t>SDG&amp;E Gas Savings</w:t>
      </w:r>
      <w:bookmarkEnd w:id="1123"/>
    </w:p>
    <w:tbl>
      <w:tblPr>
        <w:tblW w:w="9197" w:type="dxa"/>
        <w:tblLook w:val="04A0" w:firstRow="1" w:lastRow="0" w:firstColumn="1" w:lastColumn="0" w:noHBand="0" w:noVBand="1"/>
      </w:tblPr>
      <w:tblGrid>
        <w:gridCol w:w="1362"/>
        <w:gridCol w:w="602"/>
        <w:gridCol w:w="602"/>
        <w:gridCol w:w="602"/>
        <w:gridCol w:w="602"/>
        <w:gridCol w:w="602"/>
        <w:gridCol w:w="602"/>
        <w:gridCol w:w="602"/>
        <w:gridCol w:w="602"/>
        <w:gridCol w:w="602"/>
        <w:gridCol w:w="602"/>
        <w:gridCol w:w="602"/>
        <w:gridCol w:w="602"/>
        <w:gridCol w:w="602"/>
        <w:gridCol w:w="9"/>
      </w:tblGrid>
      <w:tr w:rsidR="00181744" w:rsidRPr="00181744" w14:paraId="5B14EA87" w14:textId="77777777" w:rsidTr="00181744">
        <w:trPr>
          <w:trHeight w:val="289"/>
        </w:trPr>
        <w:tc>
          <w:tcPr>
            <w:tcW w:w="9197" w:type="dxa"/>
            <w:gridSpan w:val="15"/>
            <w:tcBorders>
              <w:top w:val="nil"/>
              <w:left w:val="nil"/>
              <w:bottom w:val="single" w:sz="12" w:space="0" w:color="95D600"/>
              <w:right w:val="nil"/>
            </w:tcBorders>
            <w:shd w:val="clear" w:color="000000" w:fill="555759"/>
            <w:noWrap/>
            <w:vAlign w:val="center"/>
            <w:hideMark/>
          </w:tcPr>
          <w:p w14:paraId="6EC6C8DE" w14:textId="77777777" w:rsidR="00181744" w:rsidRPr="00181744" w:rsidRDefault="00181744" w:rsidP="00181744">
            <w:pPr>
              <w:spacing w:line="240" w:lineRule="auto"/>
              <w:jc w:val="center"/>
              <w:rPr>
                <w:rFonts w:ascii="Arial Narrow" w:hAnsi="Arial Narrow"/>
                <w:b/>
                <w:bCs/>
                <w:color w:val="FFFFFF"/>
                <w:sz w:val="18"/>
                <w:szCs w:val="18"/>
              </w:rPr>
            </w:pPr>
            <w:r w:rsidRPr="00181744">
              <w:rPr>
                <w:rFonts w:ascii="Arial Narrow" w:hAnsi="Arial Narrow"/>
                <w:b/>
                <w:bCs/>
                <w:color w:val="FFFFFF"/>
                <w:sz w:val="18"/>
                <w:szCs w:val="18"/>
              </w:rPr>
              <w:t>Gas Energy (MMTherm/year)</w:t>
            </w:r>
          </w:p>
        </w:tc>
      </w:tr>
      <w:tr w:rsidR="00181744" w:rsidRPr="00181744" w14:paraId="6B74C35B" w14:textId="77777777" w:rsidTr="00181744">
        <w:trPr>
          <w:gridAfter w:val="1"/>
          <w:wAfter w:w="9" w:type="dxa"/>
          <w:trHeight w:val="303"/>
        </w:trPr>
        <w:tc>
          <w:tcPr>
            <w:tcW w:w="1362" w:type="dxa"/>
            <w:tcBorders>
              <w:top w:val="nil"/>
              <w:left w:val="nil"/>
              <w:bottom w:val="single" w:sz="8" w:space="0" w:color="DCDDDE"/>
              <w:right w:val="nil"/>
            </w:tcBorders>
            <w:shd w:val="clear" w:color="auto" w:fill="auto"/>
            <w:vAlign w:val="center"/>
            <w:hideMark/>
          </w:tcPr>
          <w:p w14:paraId="4C761CE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Year</w:t>
            </w:r>
          </w:p>
        </w:tc>
        <w:tc>
          <w:tcPr>
            <w:tcW w:w="602" w:type="dxa"/>
            <w:tcBorders>
              <w:top w:val="nil"/>
              <w:left w:val="nil"/>
              <w:bottom w:val="single" w:sz="8" w:space="0" w:color="DCDDDE"/>
              <w:right w:val="nil"/>
            </w:tcBorders>
            <w:shd w:val="clear" w:color="auto" w:fill="auto"/>
            <w:noWrap/>
            <w:vAlign w:val="center"/>
            <w:hideMark/>
          </w:tcPr>
          <w:p w14:paraId="6A3EA36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2018</w:t>
            </w:r>
          </w:p>
        </w:tc>
        <w:tc>
          <w:tcPr>
            <w:tcW w:w="602" w:type="dxa"/>
            <w:tcBorders>
              <w:top w:val="nil"/>
              <w:left w:val="nil"/>
              <w:bottom w:val="single" w:sz="8" w:space="0" w:color="DCDDDE"/>
              <w:right w:val="nil"/>
            </w:tcBorders>
            <w:shd w:val="clear" w:color="auto" w:fill="auto"/>
            <w:noWrap/>
            <w:vAlign w:val="center"/>
            <w:hideMark/>
          </w:tcPr>
          <w:p w14:paraId="0010759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2019</w:t>
            </w:r>
          </w:p>
        </w:tc>
        <w:tc>
          <w:tcPr>
            <w:tcW w:w="602" w:type="dxa"/>
            <w:tcBorders>
              <w:top w:val="nil"/>
              <w:left w:val="nil"/>
              <w:bottom w:val="single" w:sz="8" w:space="0" w:color="DCDDDE"/>
              <w:right w:val="nil"/>
            </w:tcBorders>
            <w:shd w:val="clear" w:color="auto" w:fill="auto"/>
            <w:noWrap/>
            <w:vAlign w:val="center"/>
            <w:hideMark/>
          </w:tcPr>
          <w:p w14:paraId="127B4E3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2020</w:t>
            </w:r>
          </w:p>
        </w:tc>
        <w:tc>
          <w:tcPr>
            <w:tcW w:w="602" w:type="dxa"/>
            <w:tcBorders>
              <w:top w:val="nil"/>
              <w:left w:val="nil"/>
              <w:bottom w:val="single" w:sz="8" w:space="0" w:color="DCDDDE"/>
              <w:right w:val="nil"/>
            </w:tcBorders>
            <w:shd w:val="clear" w:color="auto" w:fill="auto"/>
            <w:noWrap/>
            <w:vAlign w:val="center"/>
            <w:hideMark/>
          </w:tcPr>
          <w:p w14:paraId="1F7538B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2021</w:t>
            </w:r>
          </w:p>
        </w:tc>
        <w:tc>
          <w:tcPr>
            <w:tcW w:w="602" w:type="dxa"/>
            <w:tcBorders>
              <w:top w:val="nil"/>
              <w:left w:val="nil"/>
              <w:bottom w:val="single" w:sz="8" w:space="0" w:color="DCDDDE"/>
              <w:right w:val="nil"/>
            </w:tcBorders>
            <w:shd w:val="clear" w:color="auto" w:fill="auto"/>
            <w:noWrap/>
            <w:vAlign w:val="center"/>
            <w:hideMark/>
          </w:tcPr>
          <w:p w14:paraId="6F0E126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2022</w:t>
            </w:r>
          </w:p>
        </w:tc>
        <w:tc>
          <w:tcPr>
            <w:tcW w:w="602" w:type="dxa"/>
            <w:tcBorders>
              <w:top w:val="nil"/>
              <w:left w:val="nil"/>
              <w:bottom w:val="single" w:sz="8" w:space="0" w:color="DCDDDE"/>
              <w:right w:val="nil"/>
            </w:tcBorders>
            <w:shd w:val="clear" w:color="auto" w:fill="auto"/>
            <w:noWrap/>
            <w:vAlign w:val="center"/>
            <w:hideMark/>
          </w:tcPr>
          <w:p w14:paraId="09E4D11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2023</w:t>
            </w:r>
          </w:p>
        </w:tc>
        <w:tc>
          <w:tcPr>
            <w:tcW w:w="602" w:type="dxa"/>
            <w:tcBorders>
              <w:top w:val="nil"/>
              <w:left w:val="nil"/>
              <w:bottom w:val="single" w:sz="8" w:space="0" w:color="DCDDDE"/>
              <w:right w:val="nil"/>
            </w:tcBorders>
            <w:shd w:val="clear" w:color="auto" w:fill="auto"/>
            <w:noWrap/>
            <w:vAlign w:val="center"/>
            <w:hideMark/>
          </w:tcPr>
          <w:p w14:paraId="2A36008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2024</w:t>
            </w:r>
          </w:p>
        </w:tc>
        <w:tc>
          <w:tcPr>
            <w:tcW w:w="602" w:type="dxa"/>
            <w:tcBorders>
              <w:top w:val="nil"/>
              <w:left w:val="nil"/>
              <w:bottom w:val="single" w:sz="8" w:space="0" w:color="DCDDDE"/>
              <w:right w:val="nil"/>
            </w:tcBorders>
            <w:shd w:val="clear" w:color="auto" w:fill="auto"/>
            <w:noWrap/>
            <w:vAlign w:val="center"/>
            <w:hideMark/>
          </w:tcPr>
          <w:p w14:paraId="74BFE69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2025</w:t>
            </w:r>
          </w:p>
        </w:tc>
        <w:tc>
          <w:tcPr>
            <w:tcW w:w="602" w:type="dxa"/>
            <w:tcBorders>
              <w:top w:val="nil"/>
              <w:left w:val="nil"/>
              <w:bottom w:val="single" w:sz="8" w:space="0" w:color="DCDDDE"/>
              <w:right w:val="nil"/>
            </w:tcBorders>
            <w:shd w:val="clear" w:color="auto" w:fill="auto"/>
            <w:noWrap/>
            <w:vAlign w:val="center"/>
            <w:hideMark/>
          </w:tcPr>
          <w:p w14:paraId="00FEA9C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2026</w:t>
            </w:r>
          </w:p>
        </w:tc>
        <w:tc>
          <w:tcPr>
            <w:tcW w:w="602" w:type="dxa"/>
            <w:tcBorders>
              <w:top w:val="nil"/>
              <w:left w:val="nil"/>
              <w:bottom w:val="single" w:sz="8" w:space="0" w:color="DCDDDE"/>
              <w:right w:val="nil"/>
            </w:tcBorders>
            <w:shd w:val="clear" w:color="auto" w:fill="auto"/>
            <w:noWrap/>
            <w:vAlign w:val="center"/>
            <w:hideMark/>
          </w:tcPr>
          <w:p w14:paraId="44C4905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2027</w:t>
            </w:r>
          </w:p>
        </w:tc>
        <w:tc>
          <w:tcPr>
            <w:tcW w:w="602" w:type="dxa"/>
            <w:tcBorders>
              <w:top w:val="nil"/>
              <w:left w:val="nil"/>
              <w:bottom w:val="single" w:sz="8" w:space="0" w:color="DCDDDE"/>
              <w:right w:val="nil"/>
            </w:tcBorders>
            <w:shd w:val="clear" w:color="auto" w:fill="auto"/>
            <w:noWrap/>
            <w:vAlign w:val="center"/>
            <w:hideMark/>
          </w:tcPr>
          <w:p w14:paraId="43E2FB6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2028</w:t>
            </w:r>
          </w:p>
        </w:tc>
        <w:tc>
          <w:tcPr>
            <w:tcW w:w="602" w:type="dxa"/>
            <w:tcBorders>
              <w:top w:val="nil"/>
              <w:left w:val="nil"/>
              <w:bottom w:val="single" w:sz="8" w:space="0" w:color="DCDDDE"/>
              <w:right w:val="nil"/>
            </w:tcBorders>
            <w:shd w:val="clear" w:color="auto" w:fill="auto"/>
            <w:noWrap/>
            <w:vAlign w:val="center"/>
            <w:hideMark/>
          </w:tcPr>
          <w:p w14:paraId="75D4806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2029</w:t>
            </w:r>
          </w:p>
        </w:tc>
        <w:tc>
          <w:tcPr>
            <w:tcW w:w="602" w:type="dxa"/>
            <w:tcBorders>
              <w:top w:val="nil"/>
              <w:left w:val="nil"/>
              <w:bottom w:val="single" w:sz="8" w:space="0" w:color="DCDDDE"/>
              <w:right w:val="nil"/>
            </w:tcBorders>
            <w:shd w:val="clear" w:color="auto" w:fill="auto"/>
            <w:noWrap/>
            <w:vAlign w:val="center"/>
            <w:hideMark/>
          </w:tcPr>
          <w:p w14:paraId="744DE5C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2030</w:t>
            </w:r>
          </w:p>
        </w:tc>
      </w:tr>
      <w:tr w:rsidR="00181744" w:rsidRPr="00181744" w14:paraId="739ADC20" w14:textId="77777777" w:rsidTr="00181744">
        <w:trPr>
          <w:trHeight w:val="289"/>
        </w:trPr>
        <w:tc>
          <w:tcPr>
            <w:tcW w:w="9197" w:type="dxa"/>
            <w:gridSpan w:val="15"/>
            <w:tcBorders>
              <w:top w:val="single" w:sz="8" w:space="0" w:color="DCDDDE"/>
              <w:left w:val="nil"/>
              <w:bottom w:val="single" w:sz="8" w:space="0" w:color="DCDDDE"/>
              <w:right w:val="nil"/>
            </w:tcBorders>
            <w:shd w:val="clear" w:color="000000" w:fill="DADADA"/>
            <w:noWrap/>
            <w:vAlign w:val="center"/>
            <w:hideMark/>
          </w:tcPr>
          <w:p w14:paraId="79775F9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TRC | Reference</w:t>
            </w:r>
          </w:p>
        </w:tc>
      </w:tr>
      <w:tr w:rsidR="00181744" w:rsidRPr="00181744" w14:paraId="1B0CC818" w14:textId="77777777" w:rsidTr="00181744">
        <w:trPr>
          <w:gridAfter w:val="1"/>
          <w:wAfter w:w="9" w:type="dxa"/>
          <w:trHeight w:val="510"/>
        </w:trPr>
        <w:tc>
          <w:tcPr>
            <w:tcW w:w="1362" w:type="dxa"/>
            <w:tcBorders>
              <w:top w:val="nil"/>
              <w:left w:val="nil"/>
              <w:bottom w:val="single" w:sz="8" w:space="0" w:color="DCDDDE"/>
              <w:right w:val="nil"/>
            </w:tcBorders>
            <w:shd w:val="clear" w:color="000000" w:fill="FFFFFF"/>
            <w:vAlign w:val="center"/>
            <w:hideMark/>
          </w:tcPr>
          <w:p w14:paraId="16FBA15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02" w:type="dxa"/>
            <w:tcBorders>
              <w:top w:val="nil"/>
              <w:left w:val="nil"/>
              <w:bottom w:val="single" w:sz="8" w:space="0" w:color="DCDDDE"/>
              <w:right w:val="nil"/>
            </w:tcBorders>
            <w:shd w:val="clear" w:color="000000" w:fill="FFFFFF"/>
            <w:noWrap/>
            <w:vAlign w:val="center"/>
            <w:hideMark/>
          </w:tcPr>
          <w:p w14:paraId="4E69B88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0.4</w:t>
            </w:r>
          </w:p>
        </w:tc>
        <w:tc>
          <w:tcPr>
            <w:tcW w:w="602" w:type="dxa"/>
            <w:tcBorders>
              <w:top w:val="nil"/>
              <w:left w:val="nil"/>
              <w:bottom w:val="single" w:sz="8" w:space="0" w:color="DCDDDE"/>
              <w:right w:val="nil"/>
            </w:tcBorders>
            <w:shd w:val="clear" w:color="000000" w:fill="FFFFFF"/>
            <w:noWrap/>
            <w:vAlign w:val="center"/>
            <w:hideMark/>
          </w:tcPr>
          <w:p w14:paraId="48DA2F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0.5</w:t>
            </w:r>
          </w:p>
        </w:tc>
        <w:tc>
          <w:tcPr>
            <w:tcW w:w="602" w:type="dxa"/>
            <w:tcBorders>
              <w:top w:val="nil"/>
              <w:left w:val="nil"/>
              <w:bottom w:val="single" w:sz="8" w:space="0" w:color="DCDDDE"/>
              <w:right w:val="nil"/>
            </w:tcBorders>
            <w:shd w:val="clear" w:color="000000" w:fill="FFFFFF"/>
            <w:noWrap/>
            <w:vAlign w:val="center"/>
            <w:hideMark/>
          </w:tcPr>
          <w:p w14:paraId="7549DFC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2E1B9C4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744743B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6CFD508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4D06C92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186062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44A1F20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13CE75B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7286EDC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3D5C041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0E16C8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r>
      <w:tr w:rsidR="00181744" w:rsidRPr="00181744" w14:paraId="454F29A8"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546504D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02" w:type="dxa"/>
            <w:tcBorders>
              <w:top w:val="nil"/>
              <w:left w:val="nil"/>
              <w:bottom w:val="single" w:sz="8" w:space="0" w:color="DCDDDE"/>
              <w:right w:val="nil"/>
            </w:tcBorders>
            <w:shd w:val="clear" w:color="000000" w:fill="FFFFFF"/>
            <w:noWrap/>
            <w:vAlign w:val="center"/>
            <w:hideMark/>
          </w:tcPr>
          <w:p w14:paraId="4277172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6DBF05D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54509D9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w:t>
            </w:r>
          </w:p>
        </w:tc>
        <w:tc>
          <w:tcPr>
            <w:tcW w:w="602" w:type="dxa"/>
            <w:tcBorders>
              <w:top w:val="nil"/>
              <w:left w:val="nil"/>
              <w:bottom w:val="single" w:sz="8" w:space="0" w:color="DCDDDE"/>
              <w:right w:val="nil"/>
            </w:tcBorders>
            <w:shd w:val="clear" w:color="000000" w:fill="FFFFFF"/>
            <w:noWrap/>
            <w:vAlign w:val="center"/>
            <w:hideMark/>
          </w:tcPr>
          <w:p w14:paraId="33BA8D9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16D684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3E9CF73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26C438D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50C57D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4375187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w:t>
            </w:r>
          </w:p>
        </w:tc>
        <w:tc>
          <w:tcPr>
            <w:tcW w:w="602" w:type="dxa"/>
            <w:tcBorders>
              <w:top w:val="nil"/>
              <w:left w:val="nil"/>
              <w:bottom w:val="single" w:sz="8" w:space="0" w:color="DCDDDE"/>
              <w:right w:val="nil"/>
            </w:tcBorders>
            <w:shd w:val="clear" w:color="000000" w:fill="FFFFFF"/>
            <w:noWrap/>
            <w:vAlign w:val="center"/>
            <w:hideMark/>
          </w:tcPr>
          <w:p w14:paraId="7E3799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35F612D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3C3E44A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3BDDC15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r>
      <w:tr w:rsidR="00181744" w:rsidRPr="00181744" w14:paraId="0DE29C31"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08FDDFF6"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02" w:type="dxa"/>
            <w:tcBorders>
              <w:top w:val="nil"/>
              <w:left w:val="nil"/>
              <w:bottom w:val="single" w:sz="8" w:space="0" w:color="DCDDDE"/>
              <w:right w:val="nil"/>
            </w:tcBorders>
            <w:shd w:val="clear" w:color="000000" w:fill="FFFFFF"/>
            <w:noWrap/>
            <w:vAlign w:val="center"/>
            <w:hideMark/>
          </w:tcPr>
          <w:p w14:paraId="0E8590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0.5</w:t>
            </w:r>
          </w:p>
        </w:tc>
        <w:tc>
          <w:tcPr>
            <w:tcW w:w="602" w:type="dxa"/>
            <w:tcBorders>
              <w:top w:val="nil"/>
              <w:left w:val="nil"/>
              <w:bottom w:val="single" w:sz="8" w:space="0" w:color="DCDDDE"/>
              <w:right w:val="nil"/>
            </w:tcBorders>
            <w:shd w:val="clear" w:color="000000" w:fill="FFFFFF"/>
            <w:noWrap/>
            <w:vAlign w:val="center"/>
            <w:hideMark/>
          </w:tcPr>
          <w:p w14:paraId="34FB9D5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02" w:type="dxa"/>
            <w:tcBorders>
              <w:top w:val="nil"/>
              <w:left w:val="nil"/>
              <w:bottom w:val="single" w:sz="8" w:space="0" w:color="DCDDDE"/>
              <w:right w:val="nil"/>
            </w:tcBorders>
            <w:shd w:val="clear" w:color="000000" w:fill="FFFFFF"/>
            <w:noWrap/>
            <w:vAlign w:val="center"/>
            <w:hideMark/>
          </w:tcPr>
          <w:p w14:paraId="33D03EB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5702D5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22B5885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293BE87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7A51F0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349489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w:t>
            </w:r>
          </w:p>
        </w:tc>
        <w:tc>
          <w:tcPr>
            <w:tcW w:w="602" w:type="dxa"/>
            <w:tcBorders>
              <w:top w:val="nil"/>
              <w:left w:val="nil"/>
              <w:bottom w:val="single" w:sz="8" w:space="0" w:color="DCDDDE"/>
              <w:right w:val="nil"/>
            </w:tcBorders>
            <w:shd w:val="clear" w:color="000000" w:fill="FFFFFF"/>
            <w:noWrap/>
            <w:vAlign w:val="center"/>
            <w:hideMark/>
          </w:tcPr>
          <w:p w14:paraId="4177E8F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30316E5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w:t>
            </w:r>
          </w:p>
        </w:tc>
        <w:tc>
          <w:tcPr>
            <w:tcW w:w="602" w:type="dxa"/>
            <w:tcBorders>
              <w:top w:val="nil"/>
              <w:left w:val="nil"/>
              <w:bottom w:val="single" w:sz="8" w:space="0" w:color="DCDDDE"/>
              <w:right w:val="nil"/>
            </w:tcBorders>
            <w:shd w:val="clear" w:color="000000" w:fill="FFFFFF"/>
            <w:noWrap/>
            <w:vAlign w:val="center"/>
            <w:hideMark/>
          </w:tcPr>
          <w:p w14:paraId="7362462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w:t>
            </w:r>
          </w:p>
        </w:tc>
        <w:tc>
          <w:tcPr>
            <w:tcW w:w="602" w:type="dxa"/>
            <w:tcBorders>
              <w:top w:val="nil"/>
              <w:left w:val="nil"/>
              <w:bottom w:val="single" w:sz="8" w:space="0" w:color="DCDDDE"/>
              <w:right w:val="nil"/>
            </w:tcBorders>
            <w:shd w:val="clear" w:color="000000" w:fill="FFFFFF"/>
            <w:noWrap/>
            <w:vAlign w:val="center"/>
            <w:hideMark/>
          </w:tcPr>
          <w:p w14:paraId="1C297A5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7E473C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r>
      <w:tr w:rsidR="00181744" w:rsidRPr="00181744" w14:paraId="0C45E725" w14:textId="77777777" w:rsidTr="00181744">
        <w:trPr>
          <w:gridAfter w:val="1"/>
          <w:wAfter w:w="9" w:type="dxa"/>
          <w:trHeight w:val="223"/>
        </w:trPr>
        <w:tc>
          <w:tcPr>
            <w:tcW w:w="1362" w:type="dxa"/>
            <w:tcBorders>
              <w:top w:val="nil"/>
              <w:left w:val="nil"/>
              <w:bottom w:val="single" w:sz="8" w:space="0" w:color="DCDDDE"/>
              <w:right w:val="nil"/>
            </w:tcBorders>
            <w:shd w:val="clear" w:color="000000" w:fill="FFFFFF"/>
            <w:vAlign w:val="center"/>
            <w:hideMark/>
          </w:tcPr>
          <w:p w14:paraId="498EBB7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02" w:type="dxa"/>
            <w:tcBorders>
              <w:top w:val="nil"/>
              <w:left w:val="nil"/>
              <w:bottom w:val="single" w:sz="8" w:space="0" w:color="DCDDDE"/>
              <w:right w:val="nil"/>
            </w:tcBorders>
            <w:shd w:val="clear" w:color="000000" w:fill="FFFFFF"/>
            <w:noWrap/>
            <w:vAlign w:val="center"/>
            <w:hideMark/>
          </w:tcPr>
          <w:p w14:paraId="03BAE93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492088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615CD3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1249D5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4B4687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0819A6D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B21F2E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07134C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201B4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688544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716EF6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5EA3B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5ECE62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r>
      <w:tr w:rsidR="00181744" w:rsidRPr="00181744" w14:paraId="7A5BCDD3"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70C137C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02" w:type="dxa"/>
            <w:tcBorders>
              <w:top w:val="nil"/>
              <w:left w:val="nil"/>
              <w:bottom w:val="single" w:sz="8" w:space="0" w:color="DCDDDE"/>
              <w:right w:val="nil"/>
            </w:tcBorders>
            <w:shd w:val="clear" w:color="000000" w:fill="FFFFFF"/>
            <w:noWrap/>
            <w:vAlign w:val="center"/>
            <w:hideMark/>
          </w:tcPr>
          <w:p w14:paraId="3F85B61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3.1</w:t>
            </w:r>
          </w:p>
        </w:tc>
        <w:tc>
          <w:tcPr>
            <w:tcW w:w="602" w:type="dxa"/>
            <w:tcBorders>
              <w:top w:val="nil"/>
              <w:left w:val="nil"/>
              <w:bottom w:val="single" w:sz="8" w:space="0" w:color="DCDDDE"/>
              <w:right w:val="nil"/>
            </w:tcBorders>
            <w:shd w:val="clear" w:color="000000" w:fill="FFFFFF"/>
            <w:noWrap/>
            <w:vAlign w:val="center"/>
            <w:hideMark/>
          </w:tcPr>
          <w:p w14:paraId="07A87B3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3.3</w:t>
            </w:r>
          </w:p>
        </w:tc>
        <w:tc>
          <w:tcPr>
            <w:tcW w:w="602" w:type="dxa"/>
            <w:tcBorders>
              <w:top w:val="nil"/>
              <w:left w:val="nil"/>
              <w:bottom w:val="single" w:sz="8" w:space="0" w:color="DCDDDE"/>
              <w:right w:val="nil"/>
            </w:tcBorders>
            <w:shd w:val="clear" w:color="000000" w:fill="FFFFFF"/>
            <w:noWrap/>
            <w:vAlign w:val="center"/>
            <w:hideMark/>
          </w:tcPr>
          <w:p w14:paraId="658C7A9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4.5</w:t>
            </w:r>
          </w:p>
        </w:tc>
        <w:tc>
          <w:tcPr>
            <w:tcW w:w="602" w:type="dxa"/>
            <w:tcBorders>
              <w:top w:val="nil"/>
              <w:left w:val="nil"/>
              <w:bottom w:val="single" w:sz="8" w:space="0" w:color="DCDDDE"/>
              <w:right w:val="nil"/>
            </w:tcBorders>
            <w:shd w:val="clear" w:color="000000" w:fill="FFFFFF"/>
            <w:noWrap/>
            <w:vAlign w:val="center"/>
            <w:hideMark/>
          </w:tcPr>
          <w:p w14:paraId="594721B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5.4</w:t>
            </w:r>
          </w:p>
        </w:tc>
        <w:tc>
          <w:tcPr>
            <w:tcW w:w="602" w:type="dxa"/>
            <w:tcBorders>
              <w:top w:val="nil"/>
              <w:left w:val="nil"/>
              <w:bottom w:val="single" w:sz="8" w:space="0" w:color="DCDDDE"/>
              <w:right w:val="nil"/>
            </w:tcBorders>
            <w:shd w:val="clear" w:color="000000" w:fill="FFFFFF"/>
            <w:noWrap/>
            <w:vAlign w:val="center"/>
            <w:hideMark/>
          </w:tcPr>
          <w:p w14:paraId="18E5017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w:t>
            </w:r>
          </w:p>
        </w:tc>
        <w:tc>
          <w:tcPr>
            <w:tcW w:w="602" w:type="dxa"/>
            <w:tcBorders>
              <w:top w:val="nil"/>
              <w:left w:val="nil"/>
              <w:bottom w:val="single" w:sz="8" w:space="0" w:color="DCDDDE"/>
              <w:right w:val="nil"/>
            </w:tcBorders>
            <w:shd w:val="clear" w:color="000000" w:fill="FFFFFF"/>
            <w:noWrap/>
            <w:vAlign w:val="center"/>
            <w:hideMark/>
          </w:tcPr>
          <w:p w14:paraId="2475C42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5.6</w:t>
            </w:r>
          </w:p>
        </w:tc>
        <w:tc>
          <w:tcPr>
            <w:tcW w:w="602" w:type="dxa"/>
            <w:tcBorders>
              <w:top w:val="nil"/>
              <w:left w:val="nil"/>
              <w:bottom w:val="single" w:sz="8" w:space="0" w:color="DCDDDE"/>
              <w:right w:val="nil"/>
            </w:tcBorders>
            <w:shd w:val="clear" w:color="000000" w:fill="FFFFFF"/>
            <w:noWrap/>
            <w:vAlign w:val="center"/>
            <w:hideMark/>
          </w:tcPr>
          <w:p w14:paraId="54F25C5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5.8</w:t>
            </w:r>
          </w:p>
        </w:tc>
        <w:tc>
          <w:tcPr>
            <w:tcW w:w="602" w:type="dxa"/>
            <w:tcBorders>
              <w:top w:val="nil"/>
              <w:left w:val="nil"/>
              <w:bottom w:val="single" w:sz="8" w:space="0" w:color="DCDDDE"/>
              <w:right w:val="nil"/>
            </w:tcBorders>
            <w:shd w:val="clear" w:color="000000" w:fill="FFFFFF"/>
            <w:noWrap/>
            <w:vAlign w:val="center"/>
            <w:hideMark/>
          </w:tcPr>
          <w:p w14:paraId="70CE39F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6.0</w:t>
            </w:r>
          </w:p>
        </w:tc>
        <w:tc>
          <w:tcPr>
            <w:tcW w:w="602" w:type="dxa"/>
            <w:tcBorders>
              <w:top w:val="nil"/>
              <w:left w:val="nil"/>
              <w:bottom w:val="single" w:sz="8" w:space="0" w:color="DCDDDE"/>
              <w:right w:val="nil"/>
            </w:tcBorders>
            <w:shd w:val="clear" w:color="000000" w:fill="FFFFFF"/>
            <w:noWrap/>
            <w:vAlign w:val="center"/>
            <w:hideMark/>
          </w:tcPr>
          <w:p w14:paraId="3292C54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w:t>
            </w:r>
          </w:p>
        </w:tc>
        <w:tc>
          <w:tcPr>
            <w:tcW w:w="602" w:type="dxa"/>
            <w:tcBorders>
              <w:top w:val="nil"/>
              <w:left w:val="nil"/>
              <w:bottom w:val="single" w:sz="8" w:space="0" w:color="DCDDDE"/>
              <w:right w:val="nil"/>
            </w:tcBorders>
            <w:shd w:val="clear" w:color="000000" w:fill="FFFFFF"/>
            <w:noWrap/>
            <w:vAlign w:val="center"/>
            <w:hideMark/>
          </w:tcPr>
          <w:p w14:paraId="43A7C52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5.5</w:t>
            </w:r>
          </w:p>
        </w:tc>
        <w:tc>
          <w:tcPr>
            <w:tcW w:w="602" w:type="dxa"/>
            <w:tcBorders>
              <w:top w:val="nil"/>
              <w:left w:val="nil"/>
              <w:bottom w:val="single" w:sz="8" w:space="0" w:color="DCDDDE"/>
              <w:right w:val="nil"/>
            </w:tcBorders>
            <w:shd w:val="clear" w:color="000000" w:fill="FFFFFF"/>
            <w:noWrap/>
            <w:vAlign w:val="center"/>
            <w:hideMark/>
          </w:tcPr>
          <w:p w14:paraId="1643737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5.7</w:t>
            </w:r>
          </w:p>
        </w:tc>
        <w:tc>
          <w:tcPr>
            <w:tcW w:w="602" w:type="dxa"/>
            <w:tcBorders>
              <w:top w:val="nil"/>
              <w:left w:val="nil"/>
              <w:bottom w:val="single" w:sz="8" w:space="0" w:color="DCDDDE"/>
              <w:right w:val="nil"/>
            </w:tcBorders>
            <w:shd w:val="clear" w:color="000000" w:fill="FFFFFF"/>
            <w:noWrap/>
            <w:vAlign w:val="center"/>
            <w:hideMark/>
          </w:tcPr>
          <w:p w14:paraId="34B241B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5.9</w:t>
            </w:r>
          </w:p>
        </w:tc>
        <w:tc>
          <w:tcPr>
            <w:tcW w:w="602" w:type="dxa"/>
            <w:tcBorders>
              <w:top w:val="nil"/>
              <w:left w:val="nil"/>
              <w:bottom w:val="single" w:sz="8" w:space="0" w:color="DCDDDE"/>
              <w:right w:val="nil"/>
            </w:tcBorders>
            <w:shd w:val="clear" w:color="000000" w:fill="FFFFFF"/>
            <w:noWrap/>
            <w:vAlign w:val="center"/>
            <w:hideMark/>
          </w:tcPr>
          <w:p w14:paraId="359042B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6.1</w:t>
            </w:r>
          </w:p>
        </w:tc>
      </w:tr>
      <w:tr w:rsidR="00181744" w:rsidRPr="00181744" w14:paraId="66A58E79" w14:textId="77777777" w:rsidTr="00181744">
        <w:trPr>
          <w:trHeight w:val="289"/>
        </w:trPr>
        <w:tc>
          <w:tcPr>
            <w:tcW w:w="9197" w:type="dxa"/>
            <w:gridSpan w:val="15"/>
            <w:tcBorders>
              <w:top w:val="single" w:sz="8" w:space="0" w:color="DCDDDE"/>
              <w:left w:val="nil"/>
              <w:bottom w:val="single" w:sz="8" w:space="0" w:color="DCDDDE"/>
              <w:right w:val="nil"/>
            </w:tcBorders>
            <w:shd w:val="clear" w:color="000000" w:fill="DADADA"/>
            <w:noWrap/>
            <w:vAlign w:val="center"/>
            <w:hideMark/>
          </w:tcPr>
          <w:p w14:paraId="2EF4211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1) | Reference</w:t>
            </w:r>
          </w:p>
        </w:tc>
      </w:tr>
      <w:tr w:rsidR="00181744" w:rsidRPr="00181744" w14:paraId="7ED42775" w14:textId="77777777" w:rsidTr="00181744">
        <w:trPr>
          <w:gridAfter w:val="1"/>
          <w:wAfter w:w="9" w:type="dxa"/>
          <w:trHeight w:val="510"/>
        </w:trPr>
        <w:tc>
          <w:tcPr>
            <w:tcW w:w="1362" w:type="dxa"/>
            <w:tcBorders>
              <w:top w:val="nil"/>
              <w:left w:val="nil"/>
              <w:bottom w:val="single" w:sz="8" w:space="0" w:color="DCDDDE"/>
              <w:right w:val="nil"/>
            </w:tcBorders>
            <w:shd w:val="clear" w:color="000000" w:fill="FFFFFF"/>
            <w:vAlign w:val="center"/>
            <w:hideMark/>
          </w:tcPr>
          <w:p w14:paraId="7857971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02" w:type="dxa"/>
            <w:tcBorders>
              <w:top w:val="nil"/>
              <w:left w:val="nil"/>
              <w:bottom w:val="single" w:sz="8" w:space="0" w:color="DCDDDE"/>
              <w:right w:val="nil"/>
            </w:tcBorders>
            <w:shd w:val="clear" w:color="000000" w:fill="FFFFFF"/>
            <w:noWrap/>
            <w:vAlign w:val="center"/>
            <w:hideMark/>
          </w:tcPr>
          <w:p w14:paraId="534D279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51F5005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3F1B92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1FDD8F5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11D09D6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0B34278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6ADC4F9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20E611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353B080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34B0309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6645CDB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1EF238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4D6D8D5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r>
      <w:tr w:rsidR="00181744" w:rsidRPr="00181744" w14:paraId="79C2E533"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2BFAA01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02" w:type="dxa"/>
            <w:tcBorders>
              <w:top w:val="nil"/>
              <w:left w:val="nil"/>
              <w:bottom w:val="single" w:sz="8" w:space="0" w:color="DCDDDE"/>
              <w:right w:val="nil"/>
            </w:tcBorders>
            <w:shd w:val="clear" w:color="000000" w:fill="FFFFFF"/>
            <w:noWrap/>
            <w:vAlign w:val="center"/>
            <w:hideMark/>
          </w:tcPr>
          <w:p w14:paraId="48DBDA6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3555C7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36D37AE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w:t>
            </w:r>
          </w:p>
        </w:tc>
        <w:tc>
          <w:tcPr>
            <w:tcW w:w="602" w:type="dxa"/>
            <w:tcBorders>
              <w:top w:val="nil"/>
              <w:left w:val="nil"/>
              <w:bottom w:val="single" w:sz="8" w:space="0" w:color="DCDDDE"/>
              <w:right w:val="nil"/>
            </w:tcBorders>
            <w:shd w:val="clear" w:color="000000" w:fill="FFFFFF"/>
            <w:noWrap/>
            <w:vAlign w:val="center"/>
            <w:hideMark/>
          </w:tcPr>
          <w:p w14:paraId="6A1EBDF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386B9D7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13843F5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537F8C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5F3FFF2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352C2D4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w:t>
            </w:r>
          </w:p>
        </w:tc>
        <w:tc>
          <w:tcPr>
            <w:tcW w:w="602" w:type="dxa"/>
            <w:tcBorders>
              <w:top w:val="nil"/>
              <w:left w:val="nil"/>
              <w:bottom w:val="single" w:sz="8" w:space="0" w:color="DCDDDE"/>
              <w:right w:val="nil"/>
            </w:tcBorders>
            <w:shd w:val="clear" w:color="000000" w:fill="FFFFFF"/>
            <w:noWrap/>
            <w:vAlign w:val="center"/>
            <w:hideMark/>
          </w:tcPr>
          <w:p w14:paraId="7AD283F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791C8B6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571C69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77FE81B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r>
      <w:tr w:rsidR="00181744" w:rsidRPr="00181744" w14:paraId="55F347C1"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44DFDDD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02" w:type="dxa"/>
            <w:tcBorders>
              <w:top w:val="nil"/>
              <w:left w:val="nil"/>
              <w:bottom w:val="single" w:sz="8" w:space="0" w:color="DCDDDE"/>
              <w:right w:val="nil"/>
            </w:tcBorders>
            <w:shd w:val="clear" w:color="000000" w:fill="FFFFFF"/>
            <w:noWrap/>
            <w:vAlign w:val="center"/>
            <w:hideMark/>
          </w:tcPr>
          <w:p w14:paraId="5B4DAAB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0.5</w:t>
            </w:r>
          </w:p>
        </w:tc>
        <w:tc>
          <w:tcPr>
            <w:tcW w:w="602" w:type="dxa"/>
            <w:tcBorders>
              <w:top w:val="nil"/>
              <w:left w:val="nil"/>
              <w:bottom w:val="single" w:sz="8" w:space="0" w:color="DCDDDE"/>
              <w:right w:val="nil"/>
            </w:tcBorders>
            <w:shd w:val="clear" w:color="000000" w:fill="FFFFFF"/>
            <w:noWrap/>
            <w:vAlign w:val="center"/>
            <w:hideMark/>
          </w:tcPr>
          <w:p w14:paraId="4D9AF7C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02" w:type="dxa"/>
            <w:tcBorders>
              <w:top w:val="nil"/>
              <w:left w:val="nil"/>
              <w:bottom w:val="single" w:sz="8" w:space="0" w:color="DCDDDE"/>
              <w:right w:val="nil"/>
            </w:tcBorders>
            <w:shd w:val="clear" w:color="000000" w:fill="FFFFFF"/>
            <w:noWrap/>
            <w:vAlign w:val="center"/>
            <w:hideMark/>
          </w:tcPr>
          <w:p w14:paraId="4D1FC00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5617356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5369386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06A52B1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09731E9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2069961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w:t>
            </w:r>
          </w:p>
        </w:tc>
        <w:tc>
          <w:tcPr>
            <w:tcW w:w="602" w:type="dxa"/>
            <w:tcBorders>
              <w:top w:val="nil"/>
              <w:left w:val="nil"/>
              <w:bottom w:val="single" w:sz="8" w:space="0" w:color="DCDDDE"/>
              <w:right w:val="nil"/>
            </w:tcBorders>
            <w:shd w:val="clear" w:color="000000" w:fill="FFFFFF"/>
            <w:noWrap/>
            <w:vAlign w:val="center"/>
            <w:hideMark/>
          </w:tcPr>
          <w:p w14:paraId="0DB0E22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55DFCEA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w:t>
            </w:r>
          </w:p>
        </w:tc>
        <w:tc>
          <w:tcPr>
            <w:tcW w:w="602" w:type="dxa"/>
            <w:tcBorders>
              <w:top w:val="nil"/>
              <w:left w:val="nil"/>
              <w:bottom w:val="single" w:sz="8" w:space="0" w:color="DCDDDE"/>
              <w:right w:val="nil"/>
            </w:tcBorders>
            <w:shd w:val="clear" w:color="000000" w:fill="FFFFFF"/>
            <w:noWrap/>
            <w:vAlign w:val="center"/>
            <w:hideMark/>
          </w:tcPr>
          <w:p w14:paraId="06088FA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w:t>
            </w:r>
          </w:p>
        </w:tc>
        <w:tc>
          <w:tcPr>
            <w:tcW w:w="602" w:type="dxa"/>
            <w:tcBorders>
              <w:top w:val="nil"/>
              <w:left w:val="nil"/>
              <w:bottom w:val="single" w:sz="8" w:space="0" w:color="DCDDDE"/>
              <w:right w:val="nil"/>
            </w:tcBorders>
            <w:shd w:val="clear" w:color="000000" w:fill="FFFFFF"/>
            <w:noWrap/>
            <w:vAlign w:val="center"/>
            <w:hideMark/>
          </w:tcPr>
          <w:p w14:paraId="117BB41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51B98A1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r>
      <w:tr w:rsidR="00181744" w:rsidRPr="00181744" w14:paraId="3491A476" w14:textId="77777777" w:rsidTr="00181744">
        <w:trPr>
          <w:gridAfter w:val="1"/>
          <w:wAfter w:w="9" w:type="dxa"/>
          <w:trHeight w:val="268"/>
        </w:trPr>
        <w:tc>
          <w:tcPr>
            <w:tcW w:w="1362" w:type="dxa"/>
            <w:tcBorders>
              <w:top w:val="nil"/>
              <w:left w:val="nil"/>
              <w:bottom w:val="single" w:sz="8" w:space="0" w:color="DCDDDE"/>
              <w:right w:val="nil"/>
            </w:tcBorders>
            <w:shd w:val="clear" w:color="000000" w:fill="FFFFFF"/>
            <w:vAlign w:val="center"/>
            <w:hideMark/>
          </w:tcPr>
          <w:p w14:paraId="7114A82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02" w:type="dxa"/>
            <w:tcBorders>
              <w:top w:val="nil"/>
              <w:left w:val="nil"/>
              <w:bottom w:val="single" w:sz="8" w:space="0" w:color="DCDDDE"/>
              <w:right w:val="nil"/>
            </w:tcBorders>
            <w:shd w:val="clear" w:color="000000" w:fill="FFFFFF"/>
            <w:noWrap/>
            <w:vAlign w:val="center"/>
            <w:hideMark/>
          </w:tcPr>
          <w:p w14:paraId="4084CA3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14EBA8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0457CF3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7B59E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D865B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6801F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6C56C39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79A133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CDF97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8BB02B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796304D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66BE4D7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DAF2E5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r>
      <w:tr w:rsidR="00181744" w:rsidRPr="00181744" w14:paraId="2F6EBF9B"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525F091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02" w:type="dxa"/>
            <w:tcBorders>
              <w:top w:val="nil"/>
              <w:left w:val="nil"/>
              <w:bottom w:val="single" w:sz="8" w:space="0" w:color="DCDDDE"/>
              <w:right w:val="nil"/>
            </w:tcBorders>
            <w:shd w:val="clear" w:color="000000" w:fill="FFFFFF"/>
            <w:noWrap/>
            <w:vAlign w:val="center"/>
            <w:hideMark/>
          </w:tcPr>
          <w:p w14:paraId="22EBFF5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3.6</w:t>
            </w:r>
          </w:p>
        </w:tc>
        <w:tc>
          <w:tcPr>
            <w:tcW w:w="602" w:type="dxa"/>
            <w:tcBorders>
              <w:top w:val="nil"/>
              <w:left w:val="nil"/>
              <w:bottom w:val="single" w:sz="8" w:space="0" w:color="DCDDDE"/>
              <w:right w:val="nil"/>
            </w:tcBorders>
            <w:shd w:val="clear" w:color="000000" w:fill="FFFFFF"/>
            <w:noWrap/>
            <w:vAlign w:val="center"/>
            <w:hideMark/>
          </w:tcPr>
          <w:p w14:paraId="52AE58A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3.8</w:t>
            </w:r>
          </w:p>
        </w:tc>
        <w:tc>
          <w:tcPr>
            <w:tcW w:w="602" w:type="dxa"/>
            <w:tcBorders>
              <w:top w:val="nil"/>
              <w:left w:val="nil"/>
              <w:bottom w:val="single" w:sz="8" w:space="0" w:color="DCDDDE"/>
              <w:right w:val="nil"/>
            </w:tcBorders>
            <w:shd w:val="clear" w:color="000000" w:fill="FFFFFF"/>
            <w:noWrap/>
            <w:vAlign w:val="center"/>
            <w:hideMark/>
          </w:tcPr>
          <w:p w14:paraId="058B1E0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4.7</w:t>
            </w:r>
          </w:p>
        </w:tc>
        <w:tc>
          <w:tcPr>
            <w:tcW w:w="602" w:type="dxa"/>
            <w:tcBorders>
              <w:top w:val="nil"/>
              <w:left w:val="nil"/>
              <w:bottom w:val="single" w:sz="8" w:space="0" w:color="DCDDDE"/>
              <w:right w:val="nil"/>
            </w:tcBorders>
            <w:shd w:val="clear" w:color="000000" w:fill="FFFFFF"/>
            <w:noWrap/>
            <w:vAlign w:val="center"/>
            <w:hideMark/>
          </w:tcPr>
          <w:p w14:paraId="450B26C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5.6</w:t>
            </w:r>
          </w:p>
        </w:tc>
        <w:tc>
          <w:tcPr>
            <w:tcW w:w="602" w:type="dxa"/>
            <w:tcBorders>
              <w:top w:val="nil"/>
              <w:left w:val="nil"/>
              <w:bottom w:val="single" w:sz="8" w:space="0" w:color="DCDDDE"/>
              <w:right w:val="nil"/>
            </w:tcBorders>
            <w:shd w:val="clear" w:color="000000" w:fill="FFFFFF"/>
            <w:noWrap/>
            <w:vAlign w:val="center"/>
            <w:hideMark/>
          </w:tcPr>
          <w:p w14:paraId="57DBFB1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5.7</w:t>
            </w:r>
          </w:p>
        </w:tc>
        <w:tc>
          <w:tcPr>
            <w:tcW w:w="602" w:type="dxa"/>
            <w:tcBorders>
              <w:top w:val="nil"/>
              <w:left w:val="nil"/>
              <w:bottom w:val="single" w:sz="8" w:space="0" w:color="DCDDDE"/>
              <w:right w:val="nil"/>
            </w:tcBorders>
            <w:shd w:val="clear" w:color="000000" w:fill="FFFFFF"/>
            <w:noWrap/>
            <w:vAlign w:val="center"/>
            <w:hideMark/>
          </w:tcPr>
          <w:p w14:paraId="2D3C3D7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6.1</w:t>
            </w:r>
          </w:p>
        </w:tc>
        <w:tc>
          <w:tcPr>
            <w:tcW w:w="602" w:type="dxa"/>
            <w:tcBorders>
              <w:top w:val="nil"/>
              <w:left w:val="nil"/>
              <w:bottom w:val="single" w:sz="8" w:space="0" w:color="DCDDDE"/>
              <w:right w:val="nil"/>
            </w:tcBorders>
            <w:shd w:val="clear" w:color="000000" w:fill="FFFFFF"/>
            <w:noWrap/>
            <w:vAlign w:val="center"/>
            <w:hideMark/>
          </w:tcPr>
          <w:p w14:paraId="7B0E696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6.1</w:t>
            </w:r>
          </w:p>
        </w:tc>
        <w:tc>
          <w:tcPr>
            <w:tcW w:w="602" w:type="dxa"/>
            <w:tcBorders>
              <w:top w:val="nil"/>
              <w:left w:val="nil"/>
              <w:bottom w:val="single" w:sz="8" w:space="0" w:color="DCDDDE"/>
              <w:right w:val="nil"/>
            </w:tcBorders>
            <w:shd w:val="clear" w:color="000000" w:fill="FFFFFF"/>
            <w:noWrap/>
            <w:vAlign w:val="center"/>
            <w:hideMark/>
          </w:tcPr>
          <w:p w14:paraId="72EE5B3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w:t>
            </w:r>
          </w:p>
        </w:tc>
        <w:tc>
          <w:tcPr>
            <w:tcW w:w="602" w:type="dxa"/>
            <w:tcBorders>
              <w:top w:val="nil"/>
              <w:left w:val="nil"/>
              <w:bottom w:val="single" w:sz="8" w:space="0" w:color="DCDDDE"/>
              <w:right w:val="nil"/>
            </w:tcBorders>
            <w:shd w:val="clear" w:color="000000" w:fill="FFFFFF"/>
            <w:noWrap/>
            <w:vAlign w:val="center"/>
            <w:hideMark/>
          </w:tcPr>
          <w:p w14:paraId="3D2E8C9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5.8</w:t>
            </w:r>
          </w:p>
        </w:tc>
        <w:tc>
          <w:tcPr>
            <w:tcW w:w="602" w:type="dxa"/>
            <w:tcBorders>
              <w:top w:val="nil"/>
              <w:left w:val="nil"/>
              <w:bottom w:val="single" w:sz="8" w:space="0" w:color="DCDDDE"/>
              <w:right w:val="nil"/>
            </w:tcBorders>
            <w:shd w:val="clear" w:color="000000" w:fill="FFFFFF"/>
            <w:noWrap/>
            <w:vAlign w:val="center"/>
            <w:hideMark/>
          </w:tcPr>
          <w:p w14:paraId="3DD3A86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5.8</w:t>
            </w:r>
          </w:p>
        </w:tc>
        <w:tc>
          <w:tcPr>
            <w:tcW w:w="602" w:type="dxa"/>
            <w:tcBorders>
              <w:top w:val="nil"/>
              <w:left w:val="nil"/>
              <w:bottom w:val="single" w:sz="8" w:space="0" w:color="DCDDDE"/>
              <w:right w:val="nil"/>
            </w:tcBorders>
            <w:shd w:val="clear" w:color="000000" w:fill="FFFFFF"/>
            <w:noWrap/>
            <w:vAlign w:val="center"/>
            <w:hideMark/>
          </w:tcPr>
          <w:p w14:paraId="7BF0A92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6.0</w:t>
            </w:r>
          </w:p>
        </w:tc>
        <w:tc>
          <w:tcPr>
            <w:tcW w:w="602" w:type="dxa"/>
            <w:tcBorders>
              <w:top w:val="nil"/>
              <w:left w:val="nil"/>
              <w:bottom w:val="single" w:sz="8" w:space="0" w:color="DCDDDE"/>
              <w:right w:val="nil"/>
            </w:tcBorders>
            <w:shd w:val="clear" w:color="000000" w:fill="FFFFFF"/>
            <w:noWrap/>
            <w:vAlign w:val="center"/>
            <w:hideMark/>
          </w:tcPr>
          <w:p w14:paraId="5A95EAF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6.1</w:t>
            </w:r>
          </w:p>
        </w:tc>
        <w:tc>
          <w:tcPr>
            <w:tcW w:w="602" w:type="dxa"/>
            <w:tcBorders>
              <w:top w:val="nil"/>
              <w:left w:val="nil"/>
              <w:bottom w:val="single" w:sz="8" w:space="0" w:color="DCDDDE"/>
              <w:right w:val="nil"/>
            </w:tcBorders>
            <w:shd w:val="clear" w:color="000000" w:fill="FFFFFF"/>
            <w:noWrap/>
            <w:vAlign w:val="center"/>
            <w:hideMark/>
          </w:tcPr>
          <w:p w14:paraId="4463458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6.3</w:t>
            </w:r>
          </w:p>
        </w:tc>
      </w:tr>
      <w:tr w:rsidR="00181744" w:rsidRPr="00181744" w14:paraId="533C8890" w14:textId="77777777" w:rsidTr="00181744">
        <w:trPr>
          <w:trHeight w:val="289"/>
        </w:trPr>
        <w:tc>
          <w:tcPr>
            <w:tcW w:w="9197" w:type="dxa"/>
            <w:gridSpan w:val="15"/>
            <w:tcBorders>
              <w:top w:val="single" w:sz="8" w:space="0" w:color="DCDDDE"/>
              <w:left w:val="nil"/>
              <w:bottom w:val="single" w:sz="8" w:space="0" w:color="DCDDDE"/>
              <w:right w:val="nil"/>
            </w:tcBorders>
            <w:shd w:val="clear" w:color="000000" w:fill="DADADA"/>
            <w:noWrap/>
            <w:vAlign w:val="center"/>
            <w:hideMark/>
          </w:tcPr>
          <w:p w14:paraId="46B9714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mTRC (GHG adder 2) | Reference</w:t>
            </w:r>
          </w:p>
        </w:tc>
      </w:tr>
      <w:tr w:rsidR="00181744" w:rsidRPr="00181744" w14:paraId="0F1C30E2" w14:textId="77777777" w:rsidTr="00181744">
        <w:trPr>
          <w:gridAfter w:val="1"/>
          <w:wAfter w:w="9" w:type="dxa"/>
          <w:trHeight w:val="510"/>
        </w:trPr>
        <w:tc>
          <w:tcPr>
            <w:tcW w:w="1362" w:type="dxa"/>
            <w:tcBorders>
              <w:top w:val="nil"/>
              <w:left w:val="nil"/>
              <w:bottom w:val="single" w:sz="8" w:space="0" w:color="DCDDDE"/>
              <w:right w:val="nil"/>
            </w:tcBorders>
            <w:shd w:val="clear" w:color="000000" w:fill="FFFFFF"/>
            <w:vAlign w:val="center"/>
            <w:hideMark/>
          </w:tcPr>
          <w:p w14:paraId="544FE43D"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02" w:type="dxa"/>
            <w:tcBorders>
              <w:top w:val="nil"/>
              <w:left w:val="nil"/>
              <w:bottom w:val="single" w:sz="8" w:space="0" w:color="DCDDDE"/>
              <w:right w:val="nil"/>
            </w:tcBorders>
            <w:shd w:val="clear" w:color="000000" w:fill="FFFFFF"/>
            <w:noWrap/>
            <w:vAlign w:val="center"/>
            <w:hideMark/>
          </w:tcPr>
          <w:p w14:paraId="17F3CF8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7F6D3FF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1D3AC8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7329FEE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2D24FD8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7F1EBF3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599B84E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3E45F0E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1C36973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7555058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59C119D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6009A0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6C6F910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r>
      <w:tr w:rsidR="00181744" w:rsidRPr="00181744" w14:paraId="5774F487"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478C1881"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02" w:type="dxa"/>
            <w:tcBorders>
              <w:top w:val="nil"/>
              <w:left w:val="nil"/>
              <w:bottom w:val="single" w:sz="8" w:space="0" w:color="DCDDDE"/>
              <w:right w:val="nil"/>
            </w:tcBorders>
            <w:shd w:val="clear" w:color="000000" w:fill="FFFFFF"/>
            <w:noWrap/>
            <w:vAlign w:val="center"/>
            <w:hideMark/>
          </w:tcPr>
          <w:p w14:paraId="6494F4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4182A09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4B58C18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w:t>
            </w:r>
          </w:p>
        </w:tc>
        <w:tc>
          <w:tcPr>
            <w:tcW w:w="602" w:type="dxa"/>
            <w:tcBorders>
              <w:top w:val="nil"/>
              <w:left w:val="nil"/>
              <w:bottom w:val="single" w:sz="8" w:space="0" w:color="DCDDDE"/>
              <w:right w:val="nil"/>
            </w:tcBorders>
            <w:shd w:val="clear" w:color="000000" w:fill="FFFFFF"/>
            <w:noWrap/>
            <w:vAlign w:val="center"/>
            <w:hideMark/>
          </w:tcPr>
          <w:p w14:paraId="2705937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1BF6146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4A791EF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23A5AD0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25EB50A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4F81636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w:t>
            </w:r>
          </w:p>
        </w:tc>
        <w:tc>
          <w:tcPr>
            <w:tcW w:w="602" w:type="dxa"/>
            <w:tcBorders>
              <w:top w:val="nil"/>
              <w:left w:val="nil"/>
              <w:bottom w:val="single" w:sz="8" w:space="0" w:color="DCDDDE"/>
              <w:right w:val="nil"/>
            </w:tcBorders>
            <w:shd w:val="clear" w:color="000000" w:fill="FFFFFF"/>
            <w:noWrap/>
            <w:vAlign w:val="center"/>
            <w:hideMark/>
          </w:tcPr>
          <w:p w14:paraId="31CFD06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0C7B7CD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7870905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115DD30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r>
      <w:tr w:rsidR="00181744" w:rsidRPr="00181744" w14:paraId="27566695"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3CD5C219"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02" w:type="dxa"/>
            <w:tcBorders>
              <w:top w:val="nil"/>
              <w:left w:val="nil"/>
              <w:bottom w:val="single" w:sz="8" w:space="0" w:color="DCDDDE"/>
              <w:right w:val="nil"/>
            </w:tcBorders>
            <w:shd w:val="clear" w:color="000000" w:fill="FFFFFF"/>
            <w:noWrap/>
            <w:vAlign w:val="center"/>
            <w:hideMark/>
          </w:tcPr>
          <w:p w14:paraId="6F8417D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0.5</w:t>
            </w:r>
          </w:p>
        </w:tc>
        <w:tc>
          <w:tcPr>
            <w:tcW w:w="602" w:type="dxa"/>
            <w:tcBorders>
              <w:top w:val="nil"/>
              <w:left w:val="nil"/>
              <w:bottom w:val="single" w:sz="8" w:space="0" w:color="DCDDDE"/>
              <w:right w:val="nil"/>
            </w:tcBorders>
            <w:shd w:val="clear" w:color="000000" w:fill="FFFFFF"/>
            <w:noWrap/>
            <w:vAlign w:val="center"/>
            <w:hideMark/>
          </w:tcPr>
          <w:p w14:paraId="399470D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02" w:type="dxa"/>
            <w:tcBorders>
              <w:top w:val="nil"/>
              <w:left w:val="nil"/>
              <w:bottom w:val="single" w:sz="8" w:space="0" w:color="DCDDDE"/>
              <w:right w:val="nil"/>
            </w:tcBorders>
            <w:shd w:val="clear" w:color="000000" w:fill="FFFFFF"/>
            <w:noWrap/>
            <w:vAlign w:val="center"/>
            <w:hideMark/>
          </w:tcPr>
          <w:p w14:paraId="0EBAF0F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34BAA79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77BC3BB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0B4C095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7F0E2B7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5DA723B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w:t>
            </w:r>
          </w:p>
        </w:tc>
        <w:tc>
          <w:tcPr>
            <w:tcW w:w="602" w:type="dxa"/>
            <w:tcBorders>
              <w:top w:val="nil"/>
              <w:left w:val="nil"/>
              <w:bottom w:val="single" w:sz="8" w:space="0" w:color="DCDDDE"/>
              <w:right w:val="nil"/>
            </w:tcBorders>
            <w:shd w:val="clear" w:color="000000" w:fill="FFFFFF"/>
            <w:noWrap/>
            <w:vAlign w:val="center"/>
            <w:hideMark/>
          </w:tcPr>
          <w:p w14:paraId="701109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58AC290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w:t>
            </w:r>
          </w:p>
        </w:tc>
        <w:tc>
          <w:tcPr>
            <w:tcW w:w="602" w:type="dxa"/>
            <w:tcBorders>
              <w:top w:val="nil"/>
              <w:left w:val="nil"/>
              <w:bottom w:val="single" w:sz="8" w:space="0" w:color="DCDDDE"/>
              <w:right w:val="nil"/>
            </w:tcBorders>
            <w:shd w:val="clear" w:color="000000" w:fill="FFFFFF"/>
            <w:noWrap/>
            <w:vAlign w:val="center"/>
            <w:hideMark/>
          </w:tcPr>
          <w:p w14:paraId="5FAED7F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w:t>
            </w:r>
          </w:p>
        </w:tc>
        <w:tc>
          <w:tcPr>
            <w:tcW w:w="602" w:type="dxa"/>
            <w:tcBorders>
              <w:top w:val="nil"/>
              <w:left w:val="nil"/>
              <w:bottom w:val="single" w:sz="8" w:space="0" w:color="DCDDDE"/>
              <w:right w:val="nil"/>
            </w:tcBorders>
            <w:shd w:val="clear" w:color="000000" w:fill="FFFFFF"/>
            <w:noWrap/>
            <w:vAlign w:val="center"/>
            <w:hideMark/>
          </w:tcPr>
          <w:p w14:paraId="51A02A8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088D147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r>
      <w:tr w:rsidR="00181744" w:rsidRPr="00181744" w14:paraId="5978E343" w14:textId="77777777" w:rsidTr="00181744">
        <w:trPr>
          <w:gridAfter w:val="1"/>
          <w:wAfter w:w="9" w:type="dxa"/>
          <w:trHeight w:val="223"/>
        </w:trPr>
        <w:tc>
          <w:tcPr>
            <w:tcW w:w="1362" w:type="dxa"/>
            <w:tcBorders>
              <w:top w:val="nil"/>
              <w:left w:val="nil"/>
              <w:bottom w:val="single" w:sz="8" w:space="0" w:color="DCDDDE"/>
              <w:right w:val="nil"/>
            </w:tcBorders>
            <w:shd w:val="clear" w:color="000000" w:fill="FFFFFF"/>
            <w:vAlign w:val="center"/>
            <w:hideMark/>
          </w:tcPr>
          <w:p w14:paraId="38AA1DB3"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02" w:type="dxa"/>
            <w:tcBorders>
              <w:top w:val="nil"/>
              <w:left w:val="nil"/>
              <w:bottom w:val="single" w:sz="8" w:space="0" w:color="DCDDDE"/>
              <w:right w:val="nil"/>
            </w:tcBorders>
            <w:shd w:val="clear" w:color="000000" w:fill="FFFFFF"/>
            <w:noWrap/>
            <w:vAlign w:val="center"/>
            <w:hideMark/>
          </w:tcPr>
          <w:p w14:paraId="71421F0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10AC9EC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953959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69F0A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E746D4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139175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E4C93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6AB757F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16B6ECD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02A982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BECF7D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0CEBE12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0293F9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r>
      <w:tr w:rsidR="00181744" w:rsidRPr="00181744" w14:paraId="1490974D"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0DB35AA8"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02" w:type="dxa"/>
            <w:tcBorders>
              <w:top w:val="nil"/>
              <w:left w:val="nil"/>
              <w:bottom w:val="single" w:sz="8" w:space="0" w:color="DCDDDE"/>
              <w:right w:val="nil"/>
            </w:tcBorders>
            <w:shd w:val="clear" w:color="000000" w:fill="FFFFFF"/>
            <w:noWrap/>
            <w:vAlign w:val="center"/>
            <w:hideMark/>
          </w:tcPr>
          <w:p w14:paraId="34A9A64A"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3.8</w:t>
            </w:r>
          </w:p>
        </w:tc>
        <w:tc>
          <w:tcPr>
            <w:tcW w:w="602" w:type="dxa"/>
            <w:tcBorders>
              <w:top w:val="nil"/>
              <w:left w:val="nil"/>
              <w:bottom w:val="single" w:sz="8" w:space="0" w:color="DCDDDE"/>
              <w:right w:val="nil"/>
            </w:tcBorders>
            <w:shd w:val="clear" w:color="000000" w:fill="FFFFFF"/>
            <w:noWrap/>
            <w:vAlign w:val="center"/>
            <w:hideMark/>
          </w:tcPr>
          <w:p w14:paraId="6B5D34C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4.3</w:t>
            </w:r>
          </w:p>
        </w:tc>
        <w:tc>
          <w:tcPr>
            <w:tcW w:w="602" w:type="dxa"/>
            <w:tcBorders>
              <w:top w:val="nil"/>
              <w:left w:val="nil"/>
              <w:bottom w:val="single" w:sz="8" w:space="0" w:color="DCDDDE"/>
              <w:right w:val="nil"/>
            </w:tcBorders>
            <w:shd w:val="clear" w:color="000000" w:fill="FFFFFF"/>
            <w:noWrap/>
            <w:vAlign w:val="center"/>
            <w:hideMark/>
          </w:tcPr>
          <w:p w14:paraId="71BDC21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5.3</w:t>
            </w:r>
          </w:p>
        </w:tc>
        <w:tc>
          <w:tcPr>
            <w:tcW w:w="602" w:type="dxa"/>
            <w:tcBorders>
              <w:top w:val="nil"/>
              <w:left w:val="nil"/>
              <w:bottom w:val="single" w:sz="8" w:space="0" w:color="DCDDDE"/>
              <w:right w:val="nil"/>
            </w:tcBorders>
            <w:shd w:val="clear" w:color="000000" w:fill="FFFFFF"/>
            <w:noWrap/>
            <w:vAlign w:val="center"/>
            <w:hideMark/>
          </w:tcPr>
          <w:p w14:paraId="17CB5DB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6.4</w:t>
            </w:r>
          </w:p>
        </w:tc>
        <w:tc>
          <w:tcPr>
            <w:tcW w:w="602" w:type="dxa"/>
            <w:tcBorders>
              <w:top w:val="nil"/>
              <w:left w:val="nil"/>
              <w:bottom w:val="single" w:sz="8" w:space="0" w:color="DCDDDE"/>
              <w:right w:val="nil"/>
            </w:tcBorders>
            <w:shd w:val="clear" w:color="000000" w:fill="FFFFFF"/>
            <w:noWrap/>
            <w:vAlign w:val="center"/>
            <w:hideMark/>
          </w:tcPr>
          <w:p w14:paraId="6FD8323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6.5</w:t>
            </w:r>
          </w:p>
        </w:tc>
        <w:tc>
          <w:tcPr>
            <w:tcW w:w="602" w:type="dxa"/>
            <w:tcBorders>
              <w:top w:val="nil"/>
              <w:left w:val="nil"/>
              <w:bottom w:val="single" w:sz="8" w:space="0" w:color="DCDDDE"/>
              <w:right w:val="nil"/>
            </w:tcBorders>
            <w:shd w:val="clear" w:color="000000" w:fill="FFFFFF"/>
            <w:noWrap/>
            <w:vAlign w:val="center"/>
            <w:hideMark/>
          </w:tcPr>
          <w:p w14:paraId="540A586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6.7</w:t>
            </w:r>
          </w:p>
        </w:tc>
        <w:tc>
          <w:tcPr>
            <w:tcW w:w="602" w:type="dxa"/>
            <w:tcBorders>
              <w:top w:val="nil"/>
              <w:left w:val="nil"/>
              <w:bottom w:val="single" w:sz="8" w:space="0" w:color="DCDDDE"/>
              <w:right w:val="nil"/>
            </w:tcBorders>
            <w:shd w:val="clear" w:color="000000" w:fill="FFFFFF"/>
            <w:noWrap/>
            <w:vAlign w:val="center"/>
            <w:hideMark/>
          </w:tcPr>
          <w:p w14:paraId="2BEED9D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6.8</w:t>
            </w:r>
          </w:p>
        </w:tc>
        <w:tc>
          <w:tcPr>
            <w:tcW w:w="602" w:type="dxa"/>
            <w:tcBorders>
              <w:top w:val="nil"/>
              <w:left w:val="nil"/>
              <w:bottom w:val="single" w:sz="8" w:space="0" w:color="DCDDDE"/>
              <w:right w:val="nil"/>
            </w:tcBorders>
            <w:shd w:val="clear" w:color="000000" w:fill="FFFFFF"/>
            <w:noWrap/>
            <w:vAlign w:val="center"/>
            <w:hideMark/>
          </w:tcPr>
          <w:p w14:paraId="0526CB5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7.1</w:t>
            </w:r>
          </w:p>
        </w:tc>
        <w:tc>
          <w:tcPr>
            <w:tcW w:w="602" w:type="dxa"/>
            <w:tcBorders>
              <w:top w:val="nil"/>
              <w:left w:val="nil"/>
              <w:bottom w:val="single" w:sz="8" w:space="0" w:color="DCDDDE"/>
              <w:right w:val="nil"/>
            </w:tcBorders>
            <w:shd w:val="clear" w:color="000000" w:fill="FFFFFF"/>
            <w:noWrap/>
            <w:vAlign w:val="center"/>
            <w:hideMark/>
          </w:tcPr>
          <w:p w14:paraId="3C53AD1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6.7</w:t>
            </w:r>
          </w:p>
        </w:tc>
        <w:tc>
          <w:tcPr>
            <w:tcW w:w="602" w:type="dxa"/>
            <w:tcBorders>
              <w:top w:val="nil"/>
              <w:left w:val="nil"/>
              <w:bottom w:val="single" w:sz="8" w:space="0" w:color="DCDDDE"/>
              <w:right w:val="nil"/>
            </w:tcBorders>
            <w:shd w:val="clear" w:color="000000" w:fill="FFFFFF"/>
            <w:noWrap/>
            <w:vAlign w:val="center"/>
            <w:hideMark/>
          </w:tcPr>
          <w:p w14:paraId="7123EEB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6.6</w:t>
            </w:r>
          </w:p>
        </w:tc>
        <w:tc>
          <w:tcPr>
            <w:tcW w:w="602" w:type="dxa"/>
            <w:tcBorders>
              <w:top w:val="nil"/>
              <w:left w:val="nil"/>
              <w:bottom w:val="single" w:sz="8" w:space="0" w:color="DCDDDE"/>
              <w:right w:val="nil"/>
            </w:tcBorders>
            <w:shd w:val="clear" w:color="000000" w:fill="FFFFFF"/>
            <w:noWrap/>
            <w:vAlign w:val="center"/>
            <w:hideMark/>
          </w:tcPr>
          <w:p w14:paraId="0A89FED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6.8</w:t>
            </w:r>
          </w:p>
        </w:tc>
        <w:tc>
          <w:tcPr>
            <w:tcW w:w="602" w:type="dxa"/>
            <w:tcBorders>
              <w:top w:val="nil"/>
              <w:left w:val="nil"/>
              <w:bottom w:val="single" w:sz="8" w:space="0" w:color="DCDDDE"/>
              <w:right w:val="nil"/>
            </w:tcBorders>
            <w:shd w:val="clear" w:color="000000" w:fill="FFFFFF"/>
            <w:noWrap/>
            <w:vAlign w:val="center"/>
            <w:hideMark/>
          </w:tcPr>
          <w:p w14:paraId="6B02F4B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6.9</w:t>
            </w:r>
          </w:p>
        </w:tc>
        <w:tc>
          <w:tcPr>
            <w:tcW w:w="602" w:type="dxa"/>
            <w:tcBorders>
              <w:top w:val="nil"/>
              <w:left w:val="nil"/>
              <w:bottom w:val="single" w:sz="8" w:space="0" w:color="DCDDDE"/>
              <w:right w:val="nil"/>
            </w:tcBorders>
            <w:shd w:val="clear" w:color="000000" w:fill="FFFFFF"/>
            <w:noWrap/>
            <w:vAlign w:val="center"/>
            <w:hideMark/>
          </w:tcPr>
          <w:p w14:paraId="6B72220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7.0</w:t>
            </w:r>
          </w:p>
        </w:tc>
      </w:tr>
      <w:tr w:rsidR="00181744" w:rsidRPr="00181744" w14:paraId="1CD024DD" w14:textId="77777777" w:rsidTr="00181744">
        <w:trPr>
          <w:trHeight w:val="289"/>
        </w:trPr>
        <w:tc>
          <w:tcPr>
            <w:tcW w:w="9197" w:type="dxa"/>
            <w:gridSpan w:val="15"/>
            <w:tcBorders>
              <w:top w:val="single" w:sz="8" w:space="0" w:color="DCDDDE"/>
              <w:left w:val="nil"/>
              <w:bottom w:val="single" w:sz="8" w:space="0" w:color="DCDDDE"/>
              <w:right w:val="nil"/>
            </w:tcBorders>
            <w:shd w:val="clear" w:color="000000" w:fill="DADADA"/>
            <w:noWrap/>
            <w:vAlign w:val="center"/>
            <w:hideMark/>
          </w:tcPr>
          <w:p w14:paraId="0A092B55"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Reference</w:t>
            </w:r>
          </w:p>
        </w:tc>
      </w:tr>
      <w:tr w:rsidR="00181744" w:rsidRPr="00181744" w14:paraId="033D58A1" w14:textId="77777777" w:rsidTr="00181744">
        <w:trPr>
          <w:gridAfter w:val="1"/>
          <w:wAfter w:w="9" w:type="dxa"/>
          <w:trHeight w:val="510"/>
        </w:trPr>
        <w:tc>
          <w:tcPr>
            <w:tcW w:w="1362" w:type="dxa"/>
            <w:tcBorders>
              <w:top w:val="nil"/>
              <w:left w:val="nil"/>
              <w:bottom w:val="single" w:sz="8" w:space="0" w:color="DCDDDE"/>
              <w:right w:val="nil"/>
            </w:tcBorders>
            <w:shd w:val="clear" w:color="000000" w:fill="FFFFFF"/>
            <w:vAlign w:val="center"/>
            <w:hideMark/>
          </w:tcPr>
          <w:p w14:paraId="7822E29C"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02" w:type="dxa"/>
            <w:tcBorders>
              <w:top w:val="nil"/>
              <w:left w:val="nil"/>
              <w:bottom w:val="single" w:sz="8" w:space="0" w:color="DCDDDE"/>
              <w:right w:val="nil"/>
            </w:tcBorders>
            <w:shd w:val="clear" w:color="000000" w:fill="FFFFFF"/>
            <w:noWrap/>
            <w:vAlign w:val="center"/>
            <w:hideMark/>
          </w:tcPr>
          <w:p w14:paraId="6D5C80F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10CB8A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w:t>
            </w:r>
          </w:p>
        </w:tc>
        <w:tc>
          <w:tcPr>
            <w:tcW w:w="602" w:type="dxa"/>
            <w:tcBorders>
              <w:top w:val="nil"/>
              <w:left w:val="nil"/>
              <w:bottom w:val="single" w:sz="8" w:space="0" w:color="DCDDDE"/>
              <w:right w:val="nil"/>
            </w:tcBorders>
            <w:shd w:val="clear" w:color="000000" w:fill="FFFFFF"/>
            <w:noWrap/>
            <w:vAlign w:val="center"/>
            <w:hideMark/>
          </w:tcPr>
          <w:p w14:paraId="6B8FE7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1.4</w:t>
            </w:r>
          </w:p>
        </w:tc>
        <w:tc>
          <w:tcPr>
            <w:tcW w:w="602" w:type="dxa"/>
            <w:tcBorders>
              <w:top w:val="nil"/>
              <w:left w:val="nil"/>
              <w:bottom w:val="single" w:sz="8" w:space="0" w:color="DCDDDE"/>
              <w:right w:val="nil"/>
            </w:tcBorders>
            <w:shd w:val="clear" w:color="000000" w:fill="FFFFFF"/>
            <w:noWrap/>
            <w:vAlign w:val="center"/>
            <w:hideMark/>
          </w:tcPr>
          <w:p w14:paraId="0AC2E24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716F4E8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562371B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28CF7FE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w:t>
            </w:r>
          </w:p>
        </w:tc>
        <w:tc>
          <w:tcPr>
            <w:tcW w:w="602" w:type="dxa"/>
            <w:tcBorders>
              <w:top w:val="nil"/>
              <w:left w:val="nil"/>
              <w:bottom w:val="single" w:sz="8" w:space="0" w:color="DCDDDE"/>
              <w:right w:val="nil"/>
            </w:tcBorders>
            <w:shd w:val="clear" w:color="000000" w:fill="FFFFFF"/>
            <w:noWrap/>
            <w:vAlign w:val="center"/>
            <w:hideMark/>
          </w:tcPr>
          <w:p w14:paraId="3B6BBB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2F09039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07DBD9B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183B8F0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3FEBDC8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567936E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r>
      <w:tr w:rsidR="00181744" w:rsidRPr="00181744" w14:paraId="01A8CB01"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637DB7E2"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02" w:type="dxa"/>
            <w:tcBorders>
              <w:top w:val="nil"/>
              <w:left w:val="nil"/>
              <w:bottom w:val="single" w:sz="8" w:space="0" w:color="DCDDDE"/>
              <w:right w:val="nil"/>
            </w:tcBorders>
            <w:shd w:val="clear" w:color="000000" w:fill="FFFFFF"/>
            <w:noWrap/>
            <w:vAlign w:val="center"/>
            <w:hideMark/>
          </w:tcPr>
          <w:p w14:paraId="6904371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61C1491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4F1EB16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w:t>
            </w:r>
          </w:p>
        </w:tc>
        <w:tc>
          <w:tcPr>
            <w:tcW w:w="602" w:type="dxa"/>
            <w:tcBorders>
              <w:top w:val="nil"/>
              <w:left w:val="nil"/>
              <w:bottom w:val="single" w:sz="8" w:space="0" w:color="DCDDDE"/>
              <w:right w:val="nil"/>
            </w:tcBorders>
            <w:shd w:val="clear" w:color="000000" w:fill="FFFFFF"/>
            <w:noWrap/>
            <w:vAlign w:val="center"/>
            <w:hideMark/>
          </w:tcPr>
          <w:p w14:paraId="6787B9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5CF34FF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7D50C04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1DEC568E"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0EC1507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2937C42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w:t>
            </w:r>
          </w:p>
        </w:tc>
        <w:tc>
          <w:tcPr>
            <w:tcW w:w="602" w:type="dxa"/>
            <w:tcBorders>
              <w:top w:val="nil"/>
              <w:left w:val="nil"/>
              <w:bottom w:val="single" w:sz="8" w:space="0" w:color="DCDDDE"/>
              <w:right w:val="nil"/>
            </w:tcBorders>
            <w:shd w:val="clear" w:color="000000" w:fill="FFFFFF"/>
            <w:noWrap/>
            <w:vAlign w:val="center"/>
            <w:hideMark/>
          </w:tcPr>
          <w:p w14:paraId="5B6C385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61B998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280FCFE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01A713A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r>
      <w:tr w:rsidR="00181744" w:rsidRPr="00181744" w14:paraId="63482A30"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43808BB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02" w:type="dxa"/>
            <w:tcBorders>
              <w:top w:val="nil"/>
              <w:left w:val="nil"/>
              <w:bottom w:val="single" w:sz="8" w:space="0" w:color="DCDDDE"/>
              <w:right w:val="nil"/>
            </w:tcBorders>
            <w:shd w:val="clear" w:color="000000" w:fill="FFFFFF"/>
            <w:noWrap/>
            <w:vAlign w:val="center"/>
            <w:hideMark/>
          </w:tcPr>
          <w:p w14:paraId="357D43E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0.5</w:t>
            </w:r>
          </w:p>
        </w:tc>
        <w:tc>
          <w:tcPr>
            <w:tcW w:w="602" w:type="dxa"/>
            <w:tcBorders>
              <w:top w:val="nil"/>
              <w:left w:val="nil"/>
              <w:bottom w:val="single" w:sz="8" w:space="0" w:color="DCDDDE"/>
              <w:right w:val="nil"/>
            </w:tcBorders>
            <w:shd w:val="clear" w:color="000000" w:fill="FFFFFF"/>
            <w:noWrap/>
            <w:vAlign w:val="center"/>
            <w:hideMark/>
          </w:tcPr>
          <w:p w14:paraId="21A30B0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02" w:type="dxa"/>
            <w:tcBorders>
              <w:top w:val="nil"/>
              <w:left w:val="nil"/>
              <w:bottom w:val="single" w:sz="8" w:space="0" w:color="DCDDDE"/>
              <w:right w:val="nil"/>
            </w:tcBorders>
            <w:shd w:val="clear" w:color="000000" w:fill="FFFFFF"/>
            <w:noWrap/>
            <w:vAlign w:val="center"/>
            <w:hideMark/>
          </w:tcPr>
          <w:p w14:paraId="06E9D22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0.8</w:t>
            </w:r>
          </w:p>
        </w:tc>
        <w:tc>
          <w:tcPr>
            <w:tcW w:w="602" w:type="dxa"/>
            <w:tcBorders>
              <w:top w:val="nil"/>
              <w:left w:val="nil"/>
              <w:bottom w:val="single" w:sz="8" w:space="0" w:color="DCDDDE"/>
              <w:right w:val="nil"/>
            </w:tcBorders>
            <w:shd w:val="clear" w:color="000000" w:fill="FFFFFF"/>
            <w:noWrap/>
            <w:vAlign w:val="center"/>
            <w:hideMark/>
          </w:tcPr>
          <w:p w14:paraId="5330AD4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0.9</w:t>
            </w:r>
          </w:p>
        </w:tc>
        <w:tc>
          <w:tcPr>
            <w:tcW w:w="602" w:type="dxa"/>
            <w:tcBorders>
              <w:top w:val="nil"/>
              <w:left w:val="nil"/>
              <w:bottom w:val="single" w:sz="8" w:space="0" w:color="DCDDDE"/>
              <w:right w:val="nil"/>
            </w:tcBorders>
            <w:shd w:val="clear" w:color="000000" w:fill="FFFFFF"/>
            <w:noWrap/>
            <w:vAlign w:val="center"/>
            <w:hideMark/>
          </w:tcPr>
          <w:p w14:paraId="0D74B86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51D38DC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1.1</w:t>
            </w:r>
          </w:p>
        </w:tc>
        <w:tc>
          <w:tcPr>
            <w:tcW w:w="602" w:type="dxa"/>
            <w:tcBorders>
              <w:top w:val="nil"/>
              <w:left w:val="nil"/>
              <w:bottom w:val="single" w:sz="8" w:space="0" w:color="DCDDDE"/>
              <w:right w:val="nil"/>
            </w:tcBorders>
            <w:shd w:val="clear" w:color="000000" w:fill="FFFFFF"/>
            <w:noWrap/>
            <w:vAlign w:val="center"/>
            <w:hideMark/>
          </w:tcPr>
          <w:p w14:paraId="3BF1F76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4CAC556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1.3</w:t>
            </w:r>
          </w:p>
        </w:tc>
        <w:tc>
          <w:tcPr>
            <w:tcW w:w="602" w:type="dxa"/>
            <w:tcBorders>
              <w:top w:val="nil"/>
              <w:left w:val="nil"/>
              <w:bottom w:val="single" w:sz="8" w:space="0" w:color="DCDDDE"/>
              <w:right w:val="nil"/>
            </w:tcBorders>
            <w:shd w:val="clear" w:color="000000" w:fill="FFFFFF"/>
            <w:noWrap/>
            <w:vAlign w:val="center"/>
            <w:hideMark/>
          </w:tcPr>
          <w:p w14:paraId="0A54178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571631E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w:t>
            </w:r>
          </w:p>
        </w:tc>
        <w:tc>
          <w:tcPr>
            <w:tcW w:w="602" w:type="dxa"/>
            <w:tcBorders>
              <w:top w:val="nil"/>
              <w:left w:val="nil"/>
              <w:bottom w:val="single" w:sz="8" w:space="0" w:color="DCDDDE"/>
              <w:right w:val="nil"/>
            </w:tcBorders>
            <w:shd w:val="clear" w:color="000000" w:fill="FFFFFF"/>
            <w:noWrap/>
            <w:vAlign w:val="center"/>
            <w:hideMark/>
          </w:tcPr>
          <w:p w14:paraId="0984A7A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w:t>
            </w:r>
          </w:p>
        </w:tc>
        <w:tc>
          <w:tcPr>
            <w:tcW w:w="602" w:type="dxa"/>
            <w:tcBorders>
              <w:top w:val="nil"/>
              <w:left w:val="nil"/>
              <w:bottom w:val="single" w:sz="8" w:space="0" w:color="DCDDDE"/>
              <w:right w:val="nil"/>
            </w:tcBorders>
            <w:shd w:val="clear" w:color="000000" w:fill="FFFFFF"/>
            <w:noWrap/>
            <w:vAlign w:val="center"/>
            <w:hideMark/>
          </w:tcPr>
          <w:p w14:paraId="411FC75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7B2F5E7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r>
      <w:tr w:rsidR="00181744" w:rsidRPr="00181744" w14:paraId="621D1402" w14:textId="77777777" w:rsidTr="00181744">
        <w:trPr>
          <w:gridAfter w:val="1"/>
          <w:wAfter w:w="9" w:type="dxa"/>
          <w:trHeight w:val="367"/>
        </w:trPr>
        <w:tc>
          <w:tcPr>
            <w:tcW w:w="1362" w:type="dxa"/>
            <w:tcBorders>
              <w:top w:val="nil"/>
              <w:left w:val="nil"/>
              <w:bottom w:val="single" w:sz="8" w:space="0" w:color="DCDDDE"/>
              <w:right w:val="nil"/>
            </w:tcBorders>
            <w:shd w:val="clear" w:color="000000" w:fill="FFFFFF"/>
            <w:vAlign w:val="center"/>
            <w:hideMark/>
          </w:tcPr>
          <w:p w14:paraId="6287525F"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02" w:type="dxa"/>
            <w:tcBorders>
              <w:top w:val="nil"/>
              <w:left w:val="nil"/>
              <w:bottom w:val="single" w:sz="8" w:space="0" w:color="DCDDDE"/>
              <w:right w:val="nil"/>
            </w:tcBorders>
            <w:shd w:val="clear" w:color="000000" w:fill="FFFFFF"/>
            <w:noWrap/>
            <w:vAlign w:val="center"/>
            <w:hideMark/>
          </w:tcPr>
          <w:p w14:paraId="7C6FE5A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6BCAC52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CFB83D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7FE0B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813B32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16CC08C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C7983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CB96A9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003B8BB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076C737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6695FFE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3875C8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1AF5C89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r>
      <w:tr w:rsidR="00181744" w:rsidRPr="00181744" w14:paraId="5B5562DA"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109571B0"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02" w:type="dxa"/>
            <w:tcBorders>
              <w:top w:val="nil"/>
              <w:left w:val="nil"/>
              <w:bottom w:val="single" w:sz="8" w:space="0" w:color="DCDDDE"/>
              <w:right w:val="nil"/>
            </w:tcBorders>
            <w:shd w:val="clear" w:color="000000" w:fill="FFFFFF"/>
            <w:noWrap/>
            <w:vAlign w:val="center"/>
            <w:hideMark/>
          </w:tcPr>
          <w:p w14:paraId="50372210"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3.8</w:t>
            </w:r>
          </w:p>
        </w:tc>
        <w:tc>
          <w:tcPr>
            <w:tcW w:w="602" w:type="dxa"/>
            <w:tcBorders>
              <w:top w:val="nil"/>
              <w:left w:val="nil"/>
              <w:bottom w:val="single" w:sz="8" w:space="0" w:color="DCDDDE"/>
              <w:right w:val="nil"/>
            </w:tcBorders>
            <w:shd w:val="clear" w:color="000000" w:fill="FFFFFF"/>
            <w:noWrap/>
            <w:vAlign w:val="center"/>
            <w:hideMark/>
          </w:tcPr>
          <w:p w14:paraId="6E229155"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4.2</w:t>
            </w:r>
          </w:p>
        </w:tc>
        <w:tc>
          <w:tcPr>
            <w:tcW w:w="602" w:type="dxa"/>
            <w:tcBorders>
              <w:top w:val="nil"/>
              <w:left w:val="nil"/>
              <w:bottom w:val="single" w:sz="8" w:space="0" w:color="DCDDDE"/>
              <w:right w:val="nil"/>
            </w:tcBorders>
            <w:shd w:val="clear" w:color="000000" w:fill="FFFFFF"/>
            <w:noWrap/>
            <w:vAlign w:val="center"/>
            <w:hideMark/>
          </w:tcPr>
          <w:p w14:paraId="3F2E5BB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5.2</w:t>
            </w:r>
          </w:p>
        </w:tc>
        <w:tc>
          <w:tcPr>
            <w:tcW w:w="602" w:type="dxa"/>
            <w:tcBorders>
              <w:top w:val="nil"/>
              <w:left w:val="nil"/>
              <w:bottom w:val="single" w:sz="8" w:space="0" w:color="DCDDDE"/>
              <w:right w:val="nil"/>
            </w:tcBorders>
            <w:shd w:val="clear" w:color="000000" w:fill="FFFFFF"/>
            <w:noWrap/>
            <w:vAlign w:val="center"/>
            <w:hideMark/>
          </w:tcPr>
          <w:p w14:paraId="70809234"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6.0</w:t>
            </w:r>
          </w:p>
        </w:tc>
        <w:tc>
          <w:tcPr>
            <w:tcW w:w="602" w:type="dxa"/>
            <w:tcBorders>
              <w:top w:val="nil"/>
              <w:left w:val="nil"/>
              <w:bottom w:val="single" w:sz="8" w:space="0" w:color="DCDDDE"/>
              <w:right w:val="nil"/>
            </w:tcBorders>
            <w:shd w:val="clear" w:color="000000" w:fill="FFFFFF"/>
            <w:noWrap/>
            <w:vAlign w:val="center"/>
            <w:hideMark/>
          </w:tcPr>
          <w:p w14:paraId="0F75CD3B"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6.2</w:t>
            </w:r>
          </w:p>
        </w:tc>
        <w:tc>
          <w:tcPr>
            <w:tcW w:w="602" w:type="dxa"/>
            <w:tcBorders>
              <w:top w:val="nil"/>
              <w:left w:val="nil"/>
              <w:bottom w:val="single" w:sz="8" w:space="0" w:color="DCDDDE"/>
              <w:right w:val="nil"/>
            </w:tcBorders>
            <w:shd w:val="clear" w:color="000000" w:fill="FFFFFF"/>
            <w:noWrap/>
            <w:vAlign w:val="center"/>
            <w:hideMark/>
          </w:tcPr>
          <w:p w14:paraId="354EF91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6.4</w:t>
            </w:r>
          </w:p>
        </w:tc>
        <w:tc>
          <w:tcPr>
            <w:tcW w:w="602" w:type="dxa"/>
            <w:tcBorders>
              <w:top w:val="nil"/>
              <w:left w:val="nil"/>
              <w:bottom w:val="single" w:sz="8" w:space="0" w:color="DCDDDE"/>
              <w:right w:val="nil"/>
            </w:tcBorders>
            <w:shd w:val="clear" w:color="000000" w:fill="FFFFFF"/>
            <w:noWrap/>
            <w:vAlign w:val="center"/>
            <w:hideMark/>
          </w:tcPr>
          <w:p w14:paraId="31B7E5F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6.6</w:t>
            </w:r>
          </w:p>
        </w:tc>
        <w:tc>
          <w:tcPr>
            <w:tcW w:w="602" w:type="dxa"/>
            <w:tcBorders>
              <w:top w:val="nil"/>
              <w:left w:val="nil"/>
              <w:bottom w:val="single" w:sz="8" w:space="0" w:color="DCDDDE"/>
              <w:right w:val="nil"/>
            </w:tcBorders>
            <w:shd w:val="clear" w:color="000000" w:fill="FFFFFF"/>
            <w:noWrap/>
            <w:vAlign w:val="center"/>
            <w:hideMark/>
          </w:tcPr>
          <w:p w14:paraId="76FD138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6.9</w:t>
            </w:r>
          </w:p>
        </w:tc>
        <w:tc>
          <w:tcPr>
            <w:tcW w:w="602" w:type="dxa"/>
            <w:tcBorders>
              <w:top w:val="nil"/>
              <w:left w:val="nil"/>
              <w:bottom w:val="single" w:sz="8" w:space="0" w:color="DCDDDE"/>
              <w:right w:val="nil"/>
            </w:tcBorders>
            <w:shd w:val="clear" w:color="000000" w:fill="FFFFFF"/>
            <w:noWrap/>
            <w:vAlign w:val="center"/>
            <w:hideMark/>
          </w:tcPr>
          <w:p w14:paraId="65E439F3"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6.5</w:t>
            </w:r>
          </w:p>
        </w:tc>
        <w:tc>
          <w:tcPr>
            <w:tcW w:w="602" w:type="dxa"/>
            <w:tcBorders>
              <w:top w:val="nil"/>
              <w:left w:val="nil"/>
              <w:bottom w:val="single" w:sz="8" w:space="0" w:color="DCDDDE"/>
              <w:right w:val="nil"/>
            </w:tcBorders>
            <w:shd w:val="clear" w:color="000000" w:fill="FFFFFF"/>
            <w:noWrap/>
            <w:vAlign w:val="center"/>
            <w:hideMark/>
          </w:tcPr>
          <w:p w14:paraId="7F9019C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6.5</w:t>
            </w:r>
          </w:p>
        </w:tc>
        <w:tc>
          <w:tcPr>
            <w:tcW w:w="602" w:type="dxa"/>
            <w:tcBorders>
              <w:top w:val="nil"/>
              <w:left w:val="nil"/>
              <w:bottom w:val="single" w:sz="8" w:space="0" w:color="DCDDDE"/>
              <w:right w:val="nil"/>
            </w:tcBorders>
            <w:shd w:val="clear" w:color="000000" w:fill="FFFFFF"/>
            <w:noWrap/>
            <w:vAlign w:val="center"/>
            <w:hideMark/>
          </w:tcPr>
          <w:p w14:paraId="563A0D2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6.7</w:t>
            </w:r>
          </w:p>
        </w:tc>
        <w:tc>
          <w:tcPr>
            <w:tcW w:w="602" w:type="dxa"/>
            <w:tcBorders>
              <w:top w:val="nil"/>
              <w:left w:val="nil"/>
              <w:bottom w:val="single" w:sz="8" w:space="0" w:color="DCDDDE"/>
              <w:right w:val="nil"/>
            </w:tcBorders>
            <w:shd w:val="clear" w:color="000000" w:fill="FFFFFF"/>
            <w:noWrap/>
            <w:vAlign w:val="center"/>
            <w:hideMark/>
          </w:tcPr>
          <w:p w14:paraId="0C18A3E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6.8</w:t>
            </w:r>
          </w:p>
        </w:tc>
        <w:tc>
          <w:tcPr>
            <w:tcW w:w="602" w:type="dxa"/>
            <w:tcBorders>
              <w:top w:val="nil"/>
              <w:left w:val="nil"/>
              <w:bottom w:val="single" w:sz="8" w:space="0" w:color="DCDDDE"/>
              <w:right w:val="nil"/>
            </w:tcBorders>
            <w:shd w:val="clear" w:color="000000" w:fill="FFFFFF"/>
            <w:noWrap/>
            <w:vAlign w:val="center"/>
            <w:hideMark/>
          </w:tcPr>
          <w:p w14:paraId="2854E156"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6.9</w:t>
            </w:r>
          </w:p>
        </w:tc>
      </w:tr>
      <w:tr w:rsidR="00181744" w:rsidRPr="00181744" w14:paraId="1C79AE42" w14:textId="77777777" w:rsidTr="00181744">
        <w:trPr>
          <w:trHeight w:val="289"/>
        </w:trPr>
        <w:tc>
          <w:tcPr>
            <w:tcW w:w="9197" w:type="dxa"/>
            <w:gridSpan w:val="15"/>
            <w:tcBorders>
              <w:top w:val="single" w:sz="8" w:space="0" w:color="DCDDDE"/>
              <w:left w:val="nil"/>
              <w:bottom w:val="single" w:sz="8" w:space="0" w:color="DCDDDE"/>
              <w:right w:val="nil"/>
            </w:tcBorders>
            <w:shd w:val="clear" w:color="000000" w:fill="DADADA"/>
            <w:noWrap/>
            <w:vAlign w:val="center"/>
            <w:hideMark/>
          </w:tcPr>
          <w:p w14:paraId="75BE3164"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PAC | Aggressive</w:t>
            </w:r>
          </w:p>
        </w:tc>
      </w:tr>
      <w:tr w:rsidR="00181744" w:rsidRPr="00181744" w14:paraId="29C13F1D" w14:textId="77777777" w:rsidTr="00181744">
        <w:trPr>
          <w:gridAfter w:val="1"/>
          <w:wAfter w:w="9" w:type="dxa"/>
          <w:trHeight w:val="510"/>
        </w:trPr>
        <w:tc>
          <w:tcPr>
            <w:tcW w:w="1362" w:type="dxa"/>
            <w:tcBorders>
              <w:top w:val="nil"/>
              <w:left w:val="nil"/>
              <w:bottom w:val="single" w:sz="8" w:space="0" w:color="DCDDDE"/>
              <w:right w:val="nil"/>
            </w:tcBorders>
            <w:shd w:val="clear" w:color="000000" w:fill="FFFFFF"/>
            <w:vAlign w:val="center"/>
            <w:hideMark/>
          </w:tcPr>
          <w:p w14:paraId="031EE73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Rebate Programs</w:t>
            </w:r>
          </w:p>
        </w:tc>
        <w:tc>
          <w:tcPr>
            <w:tcW w:w="602" w:type="dxa"/>
            <w:tcBorders>
              <w:top w:val="nil"/>
              <w:left w:val="nil"/>
              <w:bottom w:val="single" w:sz="8" w:space="0" w:color="DCDDDE"/>
              <w:right w:val="nil"/>
            </w:tcBorders>
            <w:shd w:val="clear" w:color="000000" w:fill="FFFFFF"/>
            <w:noWrap/>
            <w:vAlign w:val="center"/>
            <w:hideMark/>
          </w:tcPr>
          <w:p w14:paraId="5399805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42DCCB58"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2B71BB9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w:t>
            </w:r>
          </w:p>
        </w:tc>
        <w:tc>
          <w:tcPr>
            <w:tcW w:w="602" w:type="dxa"/>
            <w:tcBorders>
              <w:top w:val="nil"/>
              <w:left w:val="nil"/>
              <w:bottom w:val="single" w:sz="8" w:space="0" w:color="DCDDDE"/>
              <w:right w:val="nil"/>
            </w:tcBorders>
            <w:shd w:val="clear" w:color="000000" w:fill="FFFFFF"/>
            <w:noWrap/>
            <w:vAlign w:val="center"/>
            <w:hideMark/>
          </w:tcPr>
          <w:p w14:paraId="453795A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1.6</w:t>
            </w:r>
          </w:p>
        </w:tc>
        <w:tc>
          <w:tcPr>
            <w:tcW w:w="602" w:type="dxa"/>
            <w:tcBorders>
              <w:top w:val="nil"/>
              <w:left w:val="nil"/>
              <w:bottom w:val="single" w:sz="8" w:space="0" w:color="DCDDDE"/>
              <w:right w:val="nil"/>
            </w:tcBorders>
            <w:shd w:val="clear" w:color="000000" w:fill="FFFFFF"/>
            <w:noWrap/>
            <w:vAlign w:val="center"/>
            <w:hideMark/>
          </w:tcPr>
          <w:p w14:paraId="00743DA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w:t>
            </w:r>
          </w:p>
        </w:tc>
        <w:tc>
          <w:tcPr>
            <w:tcW w:w="602" w:type="dxa"/>
            <w:tcBorders>
              <w:top w:val="nil"/>
              <w:left w:val="nil"/>
              <w:bottom w:val="single" w:sz="8" w:space="0" w:color="DCDDDE"/>
              <w:right w:val="nil"/>
            </w:tcBorders>
            <w:shd w:val="clear" w:color="000000" w:fill="FFFFFF"/>
            <w:noWrap/>
            <w:vAlign w:val="center"/>
            <w:hideMark/>
          </w:tcPr>
          <w:p w14:paraId="066DBBF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w:t>
            </w:r>
          </w:p>
        </w:tc>
        <w:tc>
          <w:tcPr>
            <w:tcW w:w="602" w:type="dxa"/>
            <w:tcBorders>
              <w:top w:val="nil"/>
              <w:left w:val="nil"/>
              <w:bottom w:val="single" w:sz="8" w:space="0" w:color="DCDDDE"/>
              <w:right w:val="nil"/>
            </w:tcBorders>
            <w:shd w:val="clear" w:color="000000" w:fill="FFFFFF"/>
            <w:noWrap/>
            <w:vAlign w:val="center"/>
            <w:hideMark/>
          </w:tcPr>
          <w:p w14:paraId="3AD077C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1.8</w:t>
            </w:r>
          </w:p>
        </w:tc>
        <w:tc>
          <w:tcPr>
            <w:tcW w:w="602" w:type="dxa"/>
            <w:tcBorders>
              <w:top w:val="nil"/>
              <w:left w:val="nil"/>
              <w:bottom w:val="single" w:sz="8" w:space="0" w:color="DCDDDE"/>
              <w:right w:val="nil"/>
            </w:tcBorders>
            <w:shd w:val="clear" w:color="000000" w:fill="FFFFFF"/>
            <w:noWrap/>
            <w:vAlign w:val="center"/>
            <w:hideMark/>
          </w:tcPr>
          <w:p w14:paraId="6A8EEC9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0817C77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134BA27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57A50D6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71FFA4D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2.0</w:t>
            </w:r>
          </w:p>
        </w:tc>
        <w:tc>
          <w:tcPr>
            <w:tcW w:w="602" w:type="dxa"/>
            <w:tcBorders>
              <w:top w:val="nil"/>
              <w:left w:val="nil"/>
              <w:bottom w:val="single" w:sz="8" w:space="0" w:color="DCDDDE"/>
              <w:right w:val="nil"/>
            </w:tcBorders>
            <w:shd w:val="clear" w:color="000000" w:fill="FFFFFF"/>
            <w:noWrap/>
            <w:vAlign w:val="center"/>
            <w:hideMark/>
          </w:tcPr>
          <w:p w14:paraId="7762F0E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r>
      <w:tr w:rsidR="00181744" w:rsidRPr="00181744" w14:paraId="7844EBEE"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759F09FB"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C&amp;S*</w:t>
            </w:r>
          </w:p>
        </w:tc>
        <w:tc>
          <w:tcPr>
            <w:tcW w:w="602" w:type="dxa"/>
            <w:tcBorders>
              <w:top w:val="nil"/>
              <w:left w:val="nil"/>
              <w:bottom w:val="single" w:sz="8" w:space="0" w:color="DCDDDE"/>
              <w:right w:val="nil"/>
            </w:tcBorders>
            <w:shd w:val="clear" w:color="000000" w:fill="FFFFFF"/>
            <w:noWrap/>
            <w:vAlign w:val="center"/>
            <w:hideMark/>
          </w:tcPr>
          <w:p w14:paraId="714EE93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7B55560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13D1C77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2.7</w:t>
            </w:r>
          </w:p>
        </w:tc>
        <w:tc>
          <w:tcPr>
            <w:tcW w:w="602" w:type="dxa"/>
            <w:tcBorders>
              <w:top w:val="nil"/>
              <w:left w:val="nil"/>
              <w:bottom w:val="single" w:sz="8" w:space="0" w:color="DCDDDE"/>
              <w:right w:val="nil"/>
            </w:tcBorders>
            <w:shd w:val="clear" w:color="000000" w:fill="FFFFFF"/>
            <w:noWrap/>
            <w:vAlign w:val="center"/>
            <w:hideMark/>
          </w:tcPr>
          <w:p w14:paraId="71DE35B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74BF6F44"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6F1C701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31064F2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5A1812D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3.5</w:t>
            </w:r>
          </w:p>
        </w:tc>
        <w:tc>
          <w:tcPr>
            <w:tcW w:w="602" w:type="dxa"/>
            <w:tcBorders>
              <w:top w:val="nil"/>
              <w:left w:val="nil"/>
              <w:bottom w:val="single" w:sz="8" w:space="0" w:color="DCDDDE"/>
              <w:right w:val="nil"/>
            </w:tcBorders>
            <w:shd w:val="clear" w:color="000000" w:fill="FFFFFF"/>
            <w:noWrap/>
            <w:vAlign w:val="center"/>
            <w:hideMark/>
          </w:tcPr>
          <w:p w14:paraId="6897A35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2.9</w:t>
            </w:r>
          </w:p>
        </w:tc>
        <w:tc>
          <w:tcPr>
            <w:tcW w:w="602" w:type="dxa"/>
            <w:tcBorders>
              <w:top w:val="nil"/>
              <w:left w:val="nil"/>
              <w:bottom w:val="single" w:sz="8" w:space="0" w:color="DCDDDE"/>
              <w:right w:val="nil"/>
            </w:tcBorders>
            <w:shd w:val="clear" w:color="000000" w:fill="FFFFFF"/>
            <w:noWrap/>
            <w:vAlign w:val="center"/>
            <w:hideMark/>
          </w:tcPr>
          <w:p w14:paraId="1C62F7C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1BC89B0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79F15B66"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3B4C46C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r>
      <w:tr w:rsidR="00181744" w:rsidRPr="00181744" w14:paraId="0F659121"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071BF1EA"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BROs</w:t>
            </w:r>
          </w:p>
        </w:tc>
        <w:tc>
          <w:tcPr>
            <w:tcW w:w="602" w:type="dxa"/>
            <w:tcBorders>
              <w:top w:val="nil"/>
              <w:left w:val="nil"/>
              <w:bottom w:val="single" w:sz="8" w:space="0" w:color="DCDDDE"/>
              <w:right w:val="nil"/>
            </w:tcBorders>
            <w:shd w:val="clear" w:color="000000" w:fill="FFFFFF"/>
            <w:noWrap/>
            <w:vAlign w:val="center"/>
            <w:hideMark/>
          </w:tcPr>
          <w:p w14:paraId="561C59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0.7</w:t>
            </w:r>
          </w:p>
        </w:tc>
        <w:tc>
          <w:tcPr>
            <w:tcW w:w="602" w:type="dxa"/>
            <w:tcBorders>
              <w:top w:val="nil"/>
              <w:left w:val="nil"/>
              <w:bottom w:val="single" w:sz="8" w:space="0" w:color="DCDDDE"/>
              <w:right w:val="nil"/>
            </w:tcBorders>
            <w:shd w:val="clear" w:color="000000" w:fill="FFFFFF"/>
            <w:noWrap/>
            <w:vAlign w:val="center"/>
            <w:hideMark/>
          </w:tcPr>
          <w:p w14:paraId="18A545C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1.0</w:t>
            </w:r>
          </w:p>
        </w:tc>
        <w:tc>
          <w:tcPr>
            <w:tcW w:w="602" w:type="dxa"/>
            <w:tcBorders>
              <w:top w:val="nil"/>
              <w:left w:val="nil"/>
              <w:bottom w:val="single" w:sz="8" w:space="0" w:color="DCDDDE"/>
              <w:right w:val="nil"/>
            </w:tcBorders>
            <w:shd w:val="clear" w:color="000000" w:fill="FFFFFF"/>
            <w:noWrap/>
            <w:vAlign w:val="center"/>
            <w:hideMark/>
          </w:tcPr>
          <w:p w14:paraId="1771BF6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1.2</w:t>
            </w:r>
          </w:p>
        </w:tc>
        <w:tc>
          <w:tcPr>
            <w:tcW w:w="602" w:type="dxa"/>
            <w:tcBorders>
              <w:top w:val="nil"/>
              <w:left w:val="nil"/>
              <w:bottom w:val="single" w:sz="8" w:space="0" w:color="DCDDDE"/>
              <w:right w:val="nil"/>
            </w:tcBorders>
            <w:shd w:val="clear" w:color="000000" w:fill="FFFFFF"/>
            <w:noWrap/>
            <w:vAlign w:val="center"/>
            <w:hideMark/>
          </w:tcPr>
          <w:p w14:paraId="01C988ED"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1.5</w:t>
            </w:r>
          </w:p>
        </w:tc>
        <w:tc>
          <w:tcPr>
            <w:tcW w:w="602" w:type="dxa"/>
            <w:tcBorders>
              <w:top w:val="nil"/>
              <w:left w:val="nil"/>
              <w:bottom w:val="single" w:sz="8" w:space="0" w:color="DCDDDE"/>
              <w:right w:val="nil"/>
            </w:tcBorders>
            <w:shd w:val="clear" w:color="000000" w:fill="FFFFFF"/>
            <w:noWrap/>
            <w:vAlign w:val="center"/>
            <w:hideMark/>
          </w:tcPr>
          <w:p w14:paraId="2B9694C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1.7</w:t>
            </w:r>
          </w:p>
        </w:tc>
        <w:tc>
          <w:tcPr>
            <w:tcW w:w="602" w:type="dxa"/>
            <w:tcBorders>
              <w:top w:val="nil"/>
              <w:left w:val="nil"/>
              <w:bottom w:val="single" w:sz="8" w:space="0" w:color="DCDDDE"/>
              <w:right w:val="nil"/>
            </w:tcBorders>
            <w:shd w:val="clear" w:color="000000" w:fill="FFFFFF"/>
            <w:noWrap/>
            <w:vAlign w:val="center"/>
            <w:hideMark/>
          </w:tcPr>
          <w:p w14:paraId="4AD6AEB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1.9</w:t>
            </w:r>
          </w:p>
        </w:tc>
        <w:tc>
          <w:tcPr>
            <w:tcW w:w="602" w:type="dxa"/>
            <w:tcBorders>
              <w:top w:val="nil"/>
              <w:left w:val="nil"/>
              <w:bottom w:val="single" w:sz="8" w:space="0" w:color="DCDDDE"/>
              <w:right w:val="nil"/>
            </w:tcBorders>
            <w:shd w:val="clear" w:color="000000" w:fill="FFFFFF"/>
            <w:noWrap/>
            <w:vAlign w:val="center"/>
            <w:hideMark/>
          </w:tcPr>
          <w:p w14:paraId="28F8E50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2.3</w:t>
            </w:r>
          </w:p>
        </w:tc>
        <w:tc>
          <w:tcPr>
            <w:tcW w:w="602" w:type="dxa"/>
            <w:tcBorders>
              <w:top w:val="nil"/>
              <w:left w:val="nil"/>
              <w:bottom w:val="single" w:sz="8" w:space="0" w:color="DCDDDE"/>
              <w:right w:val="nil"/>
            </w:tcBorders>
            <w:shd w:val="clear" w:color="000000" w:fill="FFFFFF"/>
            <w:noWrap/>
            <w:vAlign w:val="center"/>
            <w:hideMark/>
          </w:tcPr>
          <w:p w14:paraId="6F778C9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2.5</w:t>
            </w:r>
          </w:p>
        </w:tc>
        <w:tc>
          <w:tcPr>
            <w:tcW w:w="602" w:type="dxa"/>
            <w:tcBorders>
              <w:top w:val="nil"/>
              <w:left w:val="nil"/>
              <w:bottom w:val="single" w:sz="8" w:space="0" w:color="DCDDDE"/>
              <w:right w:val="nil"/>
            </w:tcBorders>
            <w:shd w:val="clear" w:color="000000" w:fill="FFFFFF"/>
            <w:noWrap/>
            <w:vAlign w:val="center"/>
            <w:hideMark/>
          </w:tcPr>
          <w:p w14:paraId="58589202"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2.8</w:t>
            </w:r>
          </w:p>
        </w:tc>
        <w:tc>
          <w:tcPr>
            <w:tcW w:w="602" w:type="dxa"/>
            <w:tcBorders>
              <w:top w:val="nil"/>
              <w:left w:val="nil"/>
              <w:bottom w:val="single" w:sz="8" w:space="0" w:color="DCDDDE"/>
              <w:right w:val="nil"/>
            </w:tcBorders>
            <w:shd w:val="clear" w:color="000000" w:fill="FFFFFF"/>
            <w:noWrap/>
            <w:vAlign w:val="center"/>
            <w:hideMark/>
          </w:tcPr>
          <w:p w14:paraId="58E62FF7"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3.1</w:t>
            </w:r>
          </w:p>
        </w:tc>
        <w:tc>
          <w:tcPr>
            <w:tcW w:w="602" w:type="dxa"/>
            <w:tcBorders>
              <w:top w:val="nil"/>
              <w:left w:val="nil"/>
              <w:bottom w:val="single" w:sz="8" w:space="0" w:color="DCDDDE"/>
              <w:right w:val="nil"/>
            </w:tcBorders>
            <w:shd w:val="clear" w:color="000000" w:fill="FFFFFF"/>
            <w:noWrap/>
            <w:vAlign w:val="center"/>
            <w:hideMark/>
          </w:tcPr>
          <w:p w14:paraId="11CAFD6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3.4</w:t>
            </w:r>
          </w:p>
        </w:tc>
        <w:tc>
          <w:tcPr>
            <w:tcW w:w="602" w:type="dxa"/>
            <w:tcBorders>
              <w:top w:val="nil"/>
              <w:left w:val="nil"/>
              <w:bottom w:val="single" w:sz="8" w:space="0" w:color="DCDDDE"/>
              <w:right w:val="nil"/>
            </w:tcBorders>
            <w:shd w:val="clear" w:color="000000" w:fill="FFFFFF"/>
            <w:noWrap/>
            <w:vAlign w:val="center"/>
            <w:hideMark/>
          </w:tcPr>
          <w:p w14:paraId="33676C9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3.7</w:t>
            </w:r>
          </w:p>
        </w:tc>
        <w:tc>
          <w:tcPr>
            <w:tcW w:w="602" w:type="dxa"/>
            <w:tcBorders>
              <w:top w:val="nil"/>
              <w:left w:val="nil"/>
              <w:bottom w:val="single" w:sz="8" w:space="0" w:color="DCDDDE"/>
              <w:right w:val="nil"/>
            </w:tcBorders>
            <w:shd w:val="clear" w:color="000000" w:fill="FFFFFF"/>
            <w:noWrap/>
            <w:vAlign w:val="center"/>
            <w:hideMark/>
          </w:tcPr>
          <w:p w14:paraId="21BDF4D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3.9</w:t>
            </w:r>
          </w:p>
        </w:tc>
      </w:tr>
      <w:tr w:rsidR="00181744" w:rsidRPr="00181744" w14:paraId="2A73F556" w14:textId="77777777" w:rsidTr="00181744">
        <w:trPr>
          <w:gridAfter w:val="1"/>
          <w:wAfter w:w="9" w:type="dxa"/>
          <w:trHeight w:val="367"/>
        </w:trPr>
        <w:tc>
          <w:tcPr>
            <w:tcW w:w="1362" w:type="dxa"/>
            <w:tcBorders>
              <w:top w:val="nil"/>
              <w:left w:val="nil"/>
              <w:bottom w:val="single" w:sz="8" w:space="0" w:color="DCDDDE"/>
              <w:right w:val="nil"/>
            </w:tcBorders>
            <w:shd w:val="clear" w:color="000000" w:fill="FFFFFF"/>
            <w:vAlign w:val="center"/>
            <w:hideMark/>
          </w:tcPr>
          <w:p w14:paraId="467D4FFE"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Low Income</w:t>
            </w:r>
          </w:p>
        </w:tc>
        <w:tc>
          <w:tcPr>
            <w:tcW w:w="602" w:type="dxa"/>
            <w:tcBorders>
              <w:top w:val="nil"/>
              <w:left w:val="nil"/>
              <w:bottom w:val="single" w:sz="8" w:space="0" w:color="DCDDDE"/>
              <w:right w:val="nil"/>
            </w:tcBorders>
            <w:shd w:val="clear" w:color="000000" w:fill="FFFFFF"/>
            <w:noWrap/>
            <w:vAlign w:val="center"/>
            <w:hideMark/>
          </w:tcPr>
          <w:p w14:paraId="5072952B"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6D180EA"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E4B793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7076BFAC"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16A4114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F3700D9"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6C283F9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5F1BD3D3"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99A355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3BFE50AF"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266A14E1"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EAFC445"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c>
          <w:tcPr>
            <w:tcW w:w="602" w:type="dxa"/>
            <w:tcBorders>
              <w:top w:val="nil"/>
              <w:left w:val="nil"/>
              <w:bottom w:val="single" w:sz="8" w:space="0" w:color="DCDDDE"/>
              <w:right w:val="nil"/>
            </w:tcBorders>
            <w:shd w:val="clear" w:color="000000" w:fill="FFFFFF"/>
            <w:noWrap/>
            <w:vAlign w:val="center"/>
            <w:hideMark/>
          </w:tcPr>
          <w:p w14:paraId="48095E50" w14:textId="77777777" w:rsidR="00181744" w:rsidRPr="00181744" w:rsidRDefault="00181744" w:rsidP="00181744">
            <w:pPr>
              <w:spacing w:line="240" w:lineRule="auto"/>
              <w:jc w:val="right"/>
              <w:rPr>
                <w:rFonts w:ascii="Arial Narrow" w:hAnsi="Arial Narrow"/>
                <w:sz w:val="18"/>
                <w:szCs w:val="18"/>
              </w:rPr>
            </w:pPr>
            <w:r w:rsidRPr="00181744">
              <w:rPr>
                <w:rFonts w:ascii="Arial Narrow" w:hAnsi="Arial Narrow"/>
                <w:sz w:val="18"/>
                <w:szCs w:val="18"/>
              </w:rPr>
              <w:t>0.3</w:t>
            </w:r>
          </w:p>
        </w:tc>
      </w:tr>
      <w:tr w:rsidR="00181744" w:rsidRPr="00181744" w14:paraId="5D12AFDB" w14:textId="77777777" w:rsidTr="00181744">
        <w:trPr>
          <w:gridAfter w:val="1"/>
          <w:wAfter w:w="9" w:type="dxa"/>
          <w:trHeight w:val="289"/>
        </w:trPr>
        <w:tc>
          <w:tcPr>
            <w:tcW w:w="1362" w:type="dxa"/>
            <w:tcBorders>
              <w:top w:val="nil"/>
              <w:left w:val="nil"/>
              <w:bottom w:val="single" w:sz="8" w:space="0" w:color="DCDDDE"/>
              <w:right w:val="nil"/>
            </w:tcBorders>
            <w:shd w:val="clear" w:color="000000" w:fill="FFFFFF"/>
            <w:vAlign w:val="center"/>
            <w:hideMark/>
          </w:tcPr>
          <w:p w14:paraId="3D97A8A7" w14:textId="77777777" w:rsidR="00181744" w:rsidRPr="00181744" w:rsidRDefault="00181744" w:rsidP="00181744">
            <w:pPr>
              <w:spacing w:line="240" w:lineRule="auto"/>
              <w:jc w:val="center"/>
              <w:rPr>
                <w:rFonts w:ascii="Arial Narrow" w:hAnsi="Arial Narrow"/>
                <w:b/>
                <w:bCs/>
                <w:sz w:val="18"/>
                <w:szCs w:val="18"/>
              </w:rPr>
            </w:pPr>
            <w:r w:rsidRPr="00181744">
              <w:rPr>
                <w:rFonts w:ascii="Arial Narrow" w:hAnsi="Arial Narrow"/>
                <w:b/>
                <w:bCs/>
                <w:sz w:val="18"/>
                <w:szCs w:val="18"/>
              </w:rPr>
              <w:t>Total</w:t>
            </w:r>
          </w:p>
        </w:tc>
        <w:tc>
          <w:tcPr>
            <w:tcW w:w="602" w:type="dxa"/>
            <w:tcBorders>
              <w:top w:val="nil"/>
              <w:left w:val="nil"/>
              <w:bottom w:val="single" w:sz="8" w:space="0" w:color="DCDDDE"/>
              <w:right w:val="nil"/>
            </w:tcBorders>
            <w:shd w:val="clear" w:color="000000" w:fill="FFFFFF"/>
            <w:noWrap/>
            <w:vAlign w:val="center"/>
            <w:hideMark/>
          </w:tcPr>
          <w:p w14:paraId="7E2DE24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4.1</w:t>
            </w:r>
          </w:p>
        </w:tc>
        <w:tc>
          <w:tcPr>
            <w:tcW w:w="602" w:type="dxa"/>
            <w:tcBorders>
              <w:top w:val="nil"/>
              <w:left w:val="nil"/>
              <w:bottom w:val="single" w:sz="8" w:space="0" w:color="DCDDDE"/>
              <w:right w:val="nil"/>
            </w:tcBorders>
            <w:shd w:val="clear" w:color="000000" w:fill="FFFFFF"/>
            <w:noWrap/>
            <w:vAlign w:val="center"/>
            <w:hideMark/>
          </w:tcPr>
          <w:p w14:paraId="414EFFA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4.7</w:t>
            </w:r>
          </w:p>
        </w:tc>
        <w:tc>
          <w:tcPr>
            <w:tcW w:w="602" w:type="dxa"/>
            <w:tcBorders>
              <w:top w:val="nil"/>
              <w:left w:val="nil"/>
              <w:bottom w:val="single" w:sz="8" w:space="0" w:color="DCDDDE"/>
              <w:right w:val="nil"/>
            </w:tcBorders>
            <w:shd w:val="clear" w:color="000000" w:fill="FFFFFF"/>
            <w:noWrap/>
            <w:vAlign w:val="center"/>
            <w:hideMark/>
          </w:tcPr>
          <w:p w14:paraId="0EB1C019"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5.8</w:t>
            </w:r>
          </w:p>
        </w:tc>
        <w:tc>
          <w:tcPr>
            <w:tcW w:w="602" w:type="dxa"/>
            <w:tcBorders>
              <w:top w:val="nil"/>
              <w:left w:val="nil"/>
              <w:bottom w:val="single" w:sz="8" w:space="0" w:color="DCDDDE"/>
              <w:right w:val="nil"/>
            </w:tcBorders>
            <w:shd w:val="clear" w:color="000000" w:fill="FFFFFF"/>
            <w:noWrap/>
            <w:vAlign w:val="center"/>
            <w:hideMark/>
          </w:tcPr>
          <w:p w14:paraId="5423352E"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6.7</w:t>
            </w:r>
          </w:p>
        </w:tc>
        <w:tc>
          <w:tcPr>
            <w:tcW w:w="602" w:type="dxa"/>
            <w:tcBorders>
              <w:top w:val="nil"/>
              <w:left w:val="nil"/>
              <w:bottom w:val="single" w:sz="8" w:space="0" w:color="DCDDDE"/>
              <w:right w:val="nil"/>
            </w:tcBorders>
            <w:shd w:val="clear" w:color="000000" w:fill="FFFFFF"/>
            <w:noWrap/>
            <w:vAlign w:val="center"/>
            <w:hideMark/>
          </w:tcPr>
          <w:p w14:paraId="65BC0518"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7.1</w:t>
            </w:r>
          </w:p>
        </w:tc>
        <w:tc>
          <w:tcPr>
            <w:tcW w:w="602" w:type="dxa"/>
            <w:tcBorders>
              <w:top w:val="nil"/>
              <w:left w:val="nil"/>
              <w:bottom w:val="single" w:sz="8" w:space="0" w:color="DCDDDE"/>
              <w:right w:val="nil"/>
            </w:tcBorders>
            <w:shd w:val="clear" w:color="000000" w:fill="FFFFFF"/>
            <w:noWrap/>
            <w:vAlign w:val="center"/>
            <w:hideMark/>
          </w:tcPr>
          <w:p w14:paraId="791C4C52"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7.4</w:t>
            </w:r>
          </w:p>
        </w:tc>
        <w:tc>
          <w:tcPr>
            <w:tcW w:w="602" w:type="dxa"/>
            <w:tcBorders>
              <w:top w:val="nil"/>
              <w:left w:val="nil"/>
              <w:bottom w:val="single" w:sz="8" w:space="0" w:color="DCDDDE"/>
              <w:right w:val="nil"/>
            </w:tcBorders>
            <w:shd w:val="clear" w:color="000000" w:fill="FFFFFF"/>
            <w:noWrap/>
            <w:vAlign w:val="center"/>
            <w:hideMark/>
          </w:tcPr>
          <w:p w14:paraId="4DA8E77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7.8</w:t>
            </w:r>
          </w:p>
        </w:tc>
        <w:tc>
          <w:tcPr>
            <w:tcW w:w="602" w:type="dxa"/>
            <w:tcBorders>
              <w:top w:val="nil"/>
              <w:left w:val="nil"/>
              <w:bottom w:val="single" w:sz="8" w:space="0" w:color="DCDDDE"/>
              <w:right w:val="nil"/>
            </w:tcBorders>
            <w:shd w:val="clear" w:color="000000" w:fill="FFFFFF"/>
            <w:noWrap/>
            <w:vAlign w:val="center"/>
            <w:hideMark/>
          </w:tcPr>
          <w:p w14:paraId="63C5906F"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8.2</w:t>
            </w:r>
          </w:p>
        </w:tc>
        <w:tc>
          <w:tcPr>
            <w:tcW w:w="602" w:type="dxa"/>
            <w:tcBorders>
              <w:top w:val="nil"/>
              <w:left w:val="nil"/>
              <w:bottom w:val="single" w:sz="8" w:space="0" w:color="DCDDDE"/>
              <w:right w:val="nil"/>
            </w:tcBorders>
            <w:shd w:val="clear" w:color="000000" w:fill="FFFFFF"/>
            <w:noWrap/>
            <w:vAlign w:val="center"/>
            <w:hideMark/>
          </w:tcPr>
          <w:p w14:paraId="2D42CCFD"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7.9</w:t>
            </w:r>
          </w:p>
        </w:tc>
        <w:tc>
          <w:tcPr>
            <w:tcW w:w="602" w:type="dxa"/>
            <w:tcBorders>
              <w:top w:val="nil"/>
              <w:left w:val="nil"/>
              <w:bottom w:val="single" w:sz="8" w:space="0" w:color="DCDDDE"/>
              <w:right w:val="nil"/>
            </w:tcBorders>
            <w:shd w:val="clear" w:color="000000" w:fill="FFFFFF"/>
            <w:noWrap/>
            <w:vAlign w:val="center"/>
            <w:hideMark/>
          </w:tcPr>
          <w:p w14:paraId="76BED781"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8.1</w:t>
            </w:r>
          </w:p>
        </w:tc>
        <w:tc>
          <w:tcPr>
            <w:tcW w:w="602" w:type="dxa"/>
            <w:tcBorders>
              <w:top w:val="nil"/>
              <w:left w:val="nil"/>
              <w:bottom w:val="single" w:sz="8" w:space="0" w:color="DCDDDE"/>
              <w:right w:val="nil"/>
            </w:tcBorders>
            <w:shd w:val="clear" w:color="000000" w:fill="FFFFFF"/>
            <w:noWrap/>
            <w:vAlign w:val="center"/>
            <w:hideMark/>
          </w:tcPr>
          <w:p w14:paraId="125E68A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8.5</w:t>
            </w:r>
          </w:p>
        </w:tc>
        <w:tc>
          <w:tcPr>
            <w:tcW w:w="602" w:type="dxa"/>
            <w:tcBorders>
              <w:top w:val="nil"/>
              <w:left w:val="nil"/>
              <w:bottom w:val="single" w:sz="8" w:space="0" w:color="DCDDDE"/>
              <w:right w:val="nil"/>
            </w:tcBorders>
            <w:shd w:val="clear" w:color="000000" w:fill="FFFFFF"/>
            <w:noWrap/>
            <w:vAlign w:val="center"/>
            <w:hideMark/>
          </w:tcPr>
          <w:p w14:paraId="4AE17AA7"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8.8</w:t>
            </w:r>
          </w:p>
        </w:tc>
        <w:tc>
          <w:tcPr>
            <w:tcW w:w="602" w:type="dxa"/>
            <w:tcBorders>
              <w:top w:val="nil"/>
              <w:left w:val="nil"/>
              <w:bottom w:val="single" w:sz="8" w:space="0" w:color="DCDDDE"/>
              <w:right w:val="nil"/>
            </w:tcBorders>
            <w:shd w:val="clear" w:color="000000" w:fill="FFFFFF"/>
            <w:noWrap/>
            <w:vAlign w:val="center"/>
            <w:hideMark/>
          </w:tcPr>
          <w:p w14:paraId="472B240C" w14:textId="77777777" w:rsidR="00181744" w:rsidRPr="00181744" w:rsidRDefault="00181744" w:rsidP="00181744">
            <w:pPr>
              <w:spacing w:line="240" w:lineRule="auto"/>
              <w:jc w:val="right"/>
              <w:rPr>
                <w:rFonts w:ascii="Arial Narrow" w:hAnsi="Arial Narrow"/>
                <w:b/>
                <w:bCs/>
                <w:sz w:val="18"/>
                <w:szCs w:val="18"/>
              </w:rPr>
            </w:pPr>
            <w:r w:rsidRPr="00181744">
              <w:rPr>
                <w:rFonts w:ascii="Arial Narrow" w:hAnsi="Arial Narrow"/>
                <w:b/>
                <w:bCs/>
                <w:sz w:val="18"/>
                <w:szCs w:val="18"/>
              </w:rPr>
              <w:t>9.0</w:t>
            </w:r>
          </w:p>
        </w:tc>
      </w:tr>
    </w:tbl>
    <w:p w14:paraId="30F15A0C" w14:textId="77777777" w:rsidR="004B4A26" w:rsidRPr="00B37F3E" w:rsidRDefault="004B4A26" w:rsidP="00B37F3E"/>
    <w:sectPr w:rsidR="004B4A26" w:rsidRPr="00B37F3E" w:rsidSect="00146A54">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FEBE0" w14:textId="77777777" w:rsidR="00272F76" w:rsidRDefault="00272F76">
      <w:r>
        <w:separator/>
      </w:r>
    </w:p>
  </w:endnote>
  <w:endnote w:type="continuationSeparator" w:id="0">
    <w:p w14:paraId="72676425" w14:textId="77777777" w:rsidR="00272F76" w:rsidRDefault="00272F76">
      <w:r>
        <w:continuationSeparator/>
      </w:r>
    </w:p>
  </w:endnote>
  <w:endnote w:type="continuationNotice" w:id="1">
    <w:p w14:paraId="71C859D3" w14:textId="77777777" w:rsidR="00272F76" w:rsidRDefault="00272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Palatino Linotype">
    <w:altName w:val="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Linotype">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EAF5" w14:textId="77777777" w:rsidR="006F57E9" w:rsidRPr="00F26F14" w:rsidRDefault="006F57E9" w:rsidP="005D1C57">
    <w:pPr>
      <w:pStyle w:val="Footer"/>
      <w:rPr>
        <w:color w:val="555759"/>
      </w:rPr>
    </w:pPr>
  </w:p>
  <w:p w14:paraId="3689B204" w14:textId="0F608CBB" w:rsidR="006F57E9" w:rsidRPr="00F26F14" w:rsidRDefault="006F57E9" w:rsidP="005D1C57">
    <w:pPr>
      <w:pStyle w:val="Footer"/>
      <w:rPr>
        <w:color w:val="555759"/>
      </w:rPr>
    </w:pPr>
    <w:r w:rsidRPr="00F26F14">
      <w:rPr>
        <w:color w:val="555759"/>
      </w:rPr>
      <w:tab/>
    </w:r>
    <w:r w:rsidRPr="00F26F14">
      <w:rPr>
        <w:color w:val="555759"/>
      </w:rPr>
      <w:tab/>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sidR="00416D32">
      <w:rPr>
        <w:noProof/>
        <w:color w:val="555759"/>
      </w:rPr>
      <w:t>110</w:t>
    </w:r>
    <w:r w:rsidRPr="00F26F14">
      <w:rPr>
        <w:color w:val="555759"/>
      </w:rPr>
      <w:fldChar w:fldCharType="end"/>
    </w:r>
  </w:p>
  <w:p w14:paraId="5B7F12BA" w14:textId="77777777" w:rsidR="006F57E9" w:rsidRPr="00F26F14" w:rsidRDefault="006F57E9" w:rsidP="005D1C57">
    <w:pPr>
      <w:pStyle w:val="Footer"/>
      <w:rPr>
        <w:color w:val="555759"/>
      </w:rPr>
    </w:pPr>
    <w:r>
      <w:rPr>
        <w:rFonts w:cs="Arial"/>
        <w:color w:val="555759"/>
      </w:rPr>
      <w:t>©2017</w:t>
    </w:r>
    <w:r w:rsidRPr="00F26F14">
      <w:rPr>
        <w:rFonts w:cs="Arial"/>
        <w:color w:val="555759"/>
      </w:rPr>
      <w:t xml:space="preserve"> Navigant Consulting,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DC6E7" w14:textId="77777777" w:rsidR="006F57E9" w:rsidRPr="00495F1E" w:rsidRDefault="006F57E9" w:rsidP="00495F1E">
    <w:pPr>
      <w:pStyle w:val="Footer"/>
      <w:tabs>
        <w:tab w:val="right" w:pos="9270"/>
      </w:tabs>
      <w:ind w:right="18"/>
      <w:rPr>
        <w:rFonts w:cs="Arial"/>
        <w:color w:val="555759"/>
      </w:rPr>
    </w:pPr>
    <w:r>
      <w:rPr>
        <w:rFonts w:cs="Arial"/>
        <w:color w:val="555759"/>
      </w:rPr>
      <w:t>©2017</w:t>
    </w:r>
    <w:r w:rsidRPr="00FE3230">
      <w:rPr>
        <w:rFonts w:cs="Arial"/>
        <w:color w:val="555759"/>
      </w:rPr>
      <w:t xml:space="preserve"> Navigant Consulting,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2FECB" w14:textId="77777777" w:rsidR="006F57E9" w:rsidRPr="00F26F14" w:rsidRDefault="006F57E9" w:rsidP="005D1C57">
    <w:pPr>
      <w:pStyle w:val="Footer"/>
      <w:rPr>
        <w:color w:val="555759"/>
      </w:rPr>
    </w:pPr>
  </w:p>
  <w:p w14:paraId="66457B66" w14:textId="0865F58E" w:rsidR="006F57E9" w:rsidRPr="00F26F14" w:rsidRDefault="006F57E9" w:rsidP="005D1C57">
    <w:pPr>
      <w:pStyle w:val="Footer"/>
      <w:rPr>
        <w:color w:val="555759"/>
      </w:rPr>
    </w:pPr>
    <w:r w:rsidRPr="00F26F14">
      <w:rPr>
        <w:color w:val="555759"/>
      </w:rPr>
      <w:tab/>
    </w:r>
    <w:r w:rsidRPr="00F26F14">
      <w:rPr>
        <w:color w:val="555759"/>
      </w:rPr>
      <w:tab/>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sidR="00416D32">
      <w:rPr>
        <w:noProof/>
        <w:color w:val="555759"/>
      </w:rPr>
      <w:t>G-4</w:t>
    </w:r>
    <w:r w:rsidRPr="00F26F14">
      <w:rPr>
        <w:color w:val="555759"/>
      </w:rPr>
      <w:fldChar w:fldCharType="end"/>
    </w:r>
  </w:p>
  <w:p w14:paraId="129BE71A" w14:textId="77777777" w:rsidR="006F57E9" w:rsidRPr="00F26F14" w:rsidRDefault="006F57E9" w:rsidP="005D1C57">
    <w:pPr>
      <w:pStyle w:val="Footer"/>
      <w:rPr>
        <w:color w:val="555759"/>
      </w:rPr>
    </w:pPr>
    <w:r>
      <w:rPr>
        <w:rFonts w:cs="Arial"/>
        <w:color w:val="555759"/>
      </w:rPr>
      <w:t>©2017</w:t>
    </w:r>
    <w:r w:rsidRPr="00F26F14">
      <w:rPr>
        <w:rFonts w:cs="Arial"/>
        <w:color w:val="555759"/>
      </w:rPr>
      <w:t xml:space="preserve"> Navigant Consulting,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C6C23" w14:textId="77777777" w:rsidR="00272F76" w:rsidRDefault="00272F76">
      <w:r>
        <w:separator/>
      </w:r>
    </w:p>
  </w:footnote>
  <w:footnote w:type="continuationSeparator" w:id="0">
    <w:p w14:paraId="33F09846" w14:textId="77777777" w:rsidR="00272F76" w:rsidRDefault="00272F76">
      <w:r>
        <w:continuationSeparator/>
      </w:r>
    </w:p>
  </w:footnote>
  <w:footnote w:type="continuationNotice" w:id="1">
    <w:p w14:paraId="387E888B" w14:textId="77777777" w:rsidR="00272F76" w:rsidRDefault="00272F76"/>
  </w:footnote>
  <w:footnote w:id="2">
    <w:p w14:paraId="2D0DD00E" w14:textId="77777777" w:rsidR="006F57E9" w:rsidRDefault="006F57E9" w:rsidP="00903000">
      <w:pPr>
        <w:pStyle w:val="FootnoteText"/>
      </w:pPr>
      <w:r>
        <w:rPr>
          <w:rStyle w:val="FootnoteReference"/>
        </w:rPr>
        <w:footnoteRef/>
      </w:r>
      <w:r>
        <w:t xml:space="preserve"> “Below code” is synonymous with “to code” throughout this document. They can be used interchangeably.</w:t>
      </w:r>
    </w:p>
  </w:footnote>
  <w:footnote w:id="3">
    <w:p w14:paraId="05F368B4" w14:textId="77777777" w:rsidR="006F57E9" w:rsidRDefault="006F57E9" w:rsidP="00A9318F">
      <w:pPr>
        <w:pStyle w:val="FootnoteText"/>
      </w:pPr>
      <w:r>
        <w:rPr>
          <w:rStyle w:val="FootnoteReference"/>
        </w:rPr>
        <w:footnoteRef/>
      </w:r>
      <w:r>
        <w:t xml:space="preserve"> SCT staff proposal (</w:t>
      </w:r>
      <w:hyperlink r:id="rId1" w:history="1">
        <w:r w:rsidRPr="00C807E4">
          <w:rPr>
            <w:rStyle w:val="Hyperlink"/>
            <w:sz w:val="16"/>
          </w:rPr>
          <w:t>http://docs.cpuc.ca.gov/SearchRes.aspx?DocFormat=ALL&amp;DocID=173203676</w:t>
        </w:r>
      </w:hyperlink>
      <w:r>
        <w:t>); GHG adder (</w:t>
      </w:r>
      <w:r w:rsidRPr="00762872">
        <w:t>http://docs.cpuc.ca.gov/PublishedDocs/Efile/G000/M182/K363/182363230.PDF</w:t>
      </w:r>
      <w:r>
        <w:t>)</w:t>
      </w:r>
    </w:p>
  </w:footnote>
  <w:footnote w:id="4">
    <w:p w14:paraId="66047D08" w14:textId="77777777" w:rsidR="006F57E9" w:rsidRDefault="006F57E9" w:rsidP="00903000">
      <w:pPr>
        <w:pStyle w:val="FootnoteText"/>
      </w:pPr>
      <w:r>
        <w:rPr>
          <w:rStyle w:val="FootnoteReference"/>
        </w:rPr>
        <w:footnoteRef/>
      </w:r>
      <w:r>
        <w:t xml:space="preserve"> The default assumption for this study includes all non-emerging technologies </w:t>
      </w:r>
      <w:r w:rsidRPr="00045431">
        <w:t>with a C-E test result of 0.85 or greater; emerging technologies are included if they meet a threshold of 0.5 in a given year and also achieve the threshold for non-emerging technologies (0.85) within ten years of market introduction.</w:t>
      </w:r>
      <w:r>
        <w:t xml:space="preserve"> </w:t>
      </w:r>
    </w:p>
  </w:footnote>
  <w:footnote w:id="5">
    <w:p w14:paraId="553D8C39" w14:textId="77777777" w:rsidR="006F57E9" w:rsidRDefault="006F57E9" w:rsidP="00903000">
      <w:pPr>
        <w:pStyle w:val="FootnoteText"/>
      </w:pPr>
      <w:r>
        <w:rPr>
          <w:rStyle w:val="FootnoteReference"/>
        </w:rPr>
        <w:footnoteRef/>
      </w:r>
      <w:r>
        <w:t xml:space="preserve"> </w:t>
      </w:r>
      <w:hyperlink r:id="rId2" w:history="1">
        <w:r w:rsidRPr="00FC691B">
          <w:rPr>
            <w:rStyle w:val="Hyperlink"/>
            <w:sz w:val="16"/>
          </w:rPr>
          <w:t>http://demandanalysisworkinggroup.org/</w:t>
        </w:r>
      </w:hyperlink>
    </w:p>
  </w:footnote>
  <w:footnote w:id="6">
    <w:p w14:paraId="35394B43" w14:textId="77777777" w:rsidR="006F57E9" w:rsidRPr="00A432FD" w:rsidRDefault="006F57E9" w:rsidP="00E05BCD">
      <w:pPr>
        <w:rPr>
          <w:rFonts w:ascii="Arial Narrow" w:hAnsi="Arial Narrow"/>
          <w:sz w:val="16"/>
          <w:szCs w:val="16"/>
        </w:rPr>
      </w:pPr>
      <w:r w:rsidRPr="00A432FD">
        <w:rPr>
          <w:rStyle w:val="FootnoteReference"/>
          <w:rFonts w:ascii="Arial Narrow" w:hAnsi="Arial Narrow"/>
          <w:sz w:val="16"/>
          <w:szCs w:val="16"/>
        </w:rPr>
        <w:footnoteRef/>
      </w:r>
      <w:r w:rsidRPr="00A432FD">
        <w:rPr>
          <w:rFonts w:ascii="Arial Narrow" w:hAnsi="Arial Narrow"/>
          <w:sz w:val="16"/>
          <w:szCs w:val="16"/>
        </w:rPr>
        <w:t xml:space="preserve"> Joint Opening GHG Adder Comments, page 6 (</w:t>
      </w:r>
      <w:hyperlink r:id="rId3" w:tgtFrame="_blank" w:history="1">
        <w:r w:rsidRPr="00A432FD">
          <w:rPr>
            <w:rStyle w:val="Hyperlink"/>
            <w:rFonts w:ascii="Arial Narrow" w:hAnsi="Arial Narrow"/>
            <w:color w:val="auto"/>
            <w:sz w:val="16"/>
            <w:szCs w:val="16"/>
          </w:rPr>
          <w:t>http://docs.cpuc.ca.gov/PublishedDocs/Efile/G000/M185/K576/185576217.PDF</w:t>
        </w:r>
      </w:hyperlink>
      <w:r w:rsidRPr="00A432FD">
        <w:rPr>
          <w:rFonts w:ascii="Arial Narrow" w:hAnsi="Arial Narrow"/>
          <w:sz w:val="16"/>
          <w:szCs w:val="16"/>
        </w:rPr>
        <w:t>)</w:t>
      </w:r>
    </w:p>
    <w:p w14:paraId="72091A09" w14:textId="77777777" w:rsidR="006F57E9" w:rsidRPr="00A432FD" w:rsidRDefault="006F57E9" w:rsidP="00E05BCD">
      <w:pPr>
        <w:rPr>
          <w:rFonts w:ascii="Arial Narrow" w:hAnsi="Arial Narrow"/>
          <w:sz w:val="16"/>
          <w:szCs w:val="16"/>
        </w:rPr>
      </w:pPr>
      <w:r w:rsidRPr="00A432FD">
        <w:rPr>
          <w:rFonts w:ascii="Arial Narrow" w:hAnsi="Arial Narrow"/>
          <w:sz w:val="16"/>
          <w:szCs w:val="16"/>
        </w:rPr>
        <w:t>The curve is an extrapolation of the prices on ARB Staff Report, “Initial Statement of Reasons,” Appendix C, August 2, 2016, Table 5. Available at: https://www.arb.ca.gov/regact/2016/capandtrade16/appc.pdf.</w:t>
      </w:r>
    </w:p>
    <w:p w14:paraId="6238BD29" w14:textId="77777777" w:rsidR="006F57E9" w:rsidRDefault="006F57E9" w:rsidP="00E05BCD">
      <w:pPr>
        <w:pStyle w:val="FootnoteText"/>
      </w:pPr>
    </w:p>
  </w:footnote>
  <w:footnote w:id="7">
    <w:p w14:paraId="35BDAB55" w14:textId="77777777" w:rsidR="006F57E9" w:rsidRPr="00AF2906" w:rsidRDefault="006F57E9" w:rsidP="00557792">
      <w:pPr>
        <w:pStyle w:val="FootnoteText"/>
      </w:pPr>
      <w:r>
        <w:rPr>
          <w:rStyle w:val="FootnoteReference"/>
        </w:rPr>
        <w:footnoteRef/>
      </w:r>
      <w:r>
        <w:t xml:space="preserve"> Navigant. </w:t>
      </w:r>
      <w:r w:rsidRPr="00AF2906">
        <w:rPr>
          <w:i/>
        </w:rPr>
        <w:t>Analysis to Update Energy Efficiency Potential, Goals, and Targets for 2013 and Beyond</w:t>
      </w:r>
      <w:r>
        <w:rPr>
          <w:i/>
        </w:rPr>
        <w:t xml:space="preserve"> - </w:t>
      </w:r>
      <w:r w:rsidRPr="00AF2906">
        <w:rPr>
          <w:i/>
        </w:rPr>
        <w:t>Track 1</w:t>
      </w:r>
      <w:r>
        <w:rPr>
          <w:i/>
        </w:rPr>
        <w:t xml:space="preserve">. </w:t>
      </w:r>
      <w:r>
        <w:t>May</w:t>
      </w:r>
      <w:r w:rsidRPr="00AF2906">
        <w:t xml:space="preserve"> 2012</w:t>
      </w:r>
      <w:r>
        <w:t>.</w:t>
      </w:r>
    </w:p>
  </w:footnote>
  <w:footnote w:id="8">
    <w:p w14:paraId="4862A2C3" w14:textId="77777777" w:rsidR="006F57E9" w:rsidRPr="00AF2906" w:rsidRDefault="006F57E9" w:rsidP="00557792">
      <w:pPr>
        <w:pStyle w:val="FootnoteText"/>
      </w:pPr>
      <w:r>
        <w:rPr>
          <w:rStyle w:val="FootnoteReference"/>
        </w:rPr>
        <w:footnoteRef/>
      </w:r>
      <w:r>
        <w:t xml:space="preserve"> Navigant. </w:t>
      </w:r>
      <w:r w:rsidRPr="00AF2906">
        <w:rPr>
          <w:i/>
        </w:rPr>
        <w:t>2013 California Energy Efficiency Potential and Goals Study</w:t>
      </w:r>
      <w:r>
        <w:t>. February 2014.</w:t>
      </w:r>
    </w:p>
  </w:footnote>
  <w:footnote w:id="9">
    <w:p w14:paraId="0B0AE63D" w14:textId="77777777" w:rsidR="006F57E9" w:rsidRDefault="006F57E9" w:rsidP="00557792">
      <w:pPr>
        <w:pStyle w:val="FootnoteText"/>
      </w:pPr>
      <w:r>
        <w:rPr>
          <w:rStyle w:val="FootnoteReference"/>
        </w:rPr>
        <w:footnoteRef/>
      </w:r>
      <w:r>
        <w:t xml:space="preserve"> Navigant. </w:t>
      </w:r>
      <w:r w:rsidRPr="003745E5">
        <w:rPr>
          <w:i/>
        </w:rPr>
        <w:t>Energy Efficiency Potential and Goals Study for 2015 and Beyond.</w:t>
      </w:r>
      <w:r>
        <w:t xml:space="preserve"> September 2015</w:t>
      </w:r>
    </w:p>
  </w:footnote>
  <w:footnote w:id="10">
    <w:p w14:paraId="3C2F6C01" w14:textId="77777777" w:rsidR="006F57E9" w:rsidRDefault="006F57E9" w:rsidP="00557792">
      <w:pPr>
        <w:pStyle w:val="FootnoteText"/>
      </w:pPr>
      <w:r>
        <w:rPr>
          <w:rStyle w:val="FootnoteReference"/>
        </w:rPr>
        <w:footnoteRef/>
      </w:r>
      <w:r>
        <w:t xml:space="preserve"> “Above code savings” also refers to savings from energy efficiency equipment that exceeded the minimum efficiency appliance standards. “Above code” thus means “above building code or appliance standard”</w:t>
      </w:r>
    </w:p>
  </w:footnote>
  <w:footnote w:id="11">
    <w:p w14:paraId="024F44E6" w14:textId="77777777" w:rsidR="006F57E9" w:rsidRDefault="006F57E9" w:rsidP="00557792">
      <w:pPr>
        <w:pStyle w:val="FootnoteText"/>
      </w:pPr>
      <w:r>
        <w:rPr>
          <w:rStyle w:val="FootnoteReference"/>
        </w:rPr>
        <w:footnoteRef/>
      </w:r>
      <w:r>
        <w:t xml:space="preserve"> “Below code” is synonymous with “to code” throughout this document. They can be used interchangeably.</w:t>
      </w:r>
    </w:p>
  </w:footnote>
  <w:footnote w:id="12">
    <w:p w14:paraId="3612D990" w14:textId="77777777" w:rsidR="006F57E9" w:rsidRDefault="006F57E9" w:rsidP="00762872">
      <w:pPr>
        <w:pStyle w:val="FootnoteText"/>
      </w:pPr>
      <w:r>
        <w:rPr>
          <w:rStyle w:val="FootnoteReference"/>
        </w:rPr>
        <w:footnoteRef/>
      </w:r>
      <w:r>
        <w:t xml:space="preserve"> Due to lower natural gas prices and GHG Cap-and-Trade prices.  (</w:t>
      </w:r>
      <w:r w:rsidRPr="00762872">
        <w:t>http://www.cpuc.ca.gov/WorkArea/DownloadAsset.aspx?id=12504</w:t>
      </w:r>
      <w:r>
        <w:t>)</w:t>
      </w:r>
    </w:p>
  </w:footnote>
  <w:footnote w:id="13">
    <w:p w14:paraId="0C313106" w14:textId="77777777" w:rsidR="006F57E9" w:rsidRDefault="006F57E9">
      <w:pPr>
        <w:pStyle w:val="FootnoteText"/>
      </w:pPr>
      <w:r>
        <w:rPr>
          <w:rStyle w:val="FootnoteReference"/>
        </w:rPr>
        <w:footnoteRef/>
      </w:r>
      <w:r>
        <w:t xml:space="preserve"> SCT staff proposal (</w:t>
      </w:r>
      <w:hyperlink r:id="rId4" w:history="1">
        <w:r w:rsidRPr="00C807E4">
          <w:rPr>
            <w:rStyle w:val="Hyperlink"/>
            <w:sz w:val="16"/>
          </w:rPr>
          <w:t>http://docs.cpuc.ca.gov/SearchRes.aspx?DocFormat=ALL&amp;DocID=173203676</w:t>
        </w:r>
      </w:hyperlink>
      <w:r>
        <w:t>); GHG adder (</w:t>
      </w:r>
      <w:r w:rsidRPr="00762872">
        <w:t>http://docs.cpuc.ca.gov/PublishedDocs/Efile/G000/M182/K363/182363230.PDF</w:t>
      </w:r>
      <w:r>
        <w:t>)</w:t>
      </w:r>
    </w:p>
  </w:footnote>
  <w:footnote w:id="14">
    <w:p w14:paraId="56327723" w14:textId="77777777" w:rsidR="006F57E9" w:rsidRDefault="006F57E9" w:rsidP="00A459FB">
      <w:pPr>
        <w:pStyle w:val="FootnoteText"/>
      </w:pPr>
      <w:r>
        <w:rPr>
          <w:rStyle w:val="FootnoteReference"/>
        </w:rPr>
        <w:footnoteRef/>
      </w:r>
      <w:r>
        <w:t xml:space="preserve"> The default assumption for this study includes all non-emerging technologies </w:t>
      </w:r>
      <w:r w:rsidRPr="00045431">
        <w:t>with a C-E test result of 0.85 or greater; emerging technologies are included if they meet a threshold of 0.5 in a given year and also achieve the threshold for non-emerging technologies (0.85) within ten years of market introduction.</w:t>
      </w:r>
      <w:r>
        <w:t xml:space="preserve"> </w:t>
      </w:r>
    </w:p>
  </w:footnote>
  <w:footnote w:id="15">
    <w:p w14:paraId="69117040" w14:textId="77777777" w:rsidR="006F57E9" w:rsidRDefault="006F57E9">
      <w:pPr>
        <w:pStyle w:val="FootnoteText"/>
      </w:pPr>
      <w:r>
        <w:rPr>
          <w:rStyle w:val="FootnoteReference"/>
        </w:rPr>
        <w:footnoteRef/>
      </w:r>
      <w:r>
        <w:t xml:space="preserve"> Decision Providing Guidance for Initial Energy Efficiency Rolling Portfolio Business Plan Filings (D.16-08-019)</w:t>
      </w:r>
    </w:p>
  </w:footnote>
  <w:footnote w:id="16">
    <w:p w14:paraId="5D0C2EB9" w14:textId="77777777" w:rsidR="006F57E9" w:rsidRDefault="006F57E9">
      <w:pPr>
        <w:pStyle w:val="FootnoteText"/>
      </w:pPr>
      <w:r>
        <w:rPr>
          <w:rStyle w:val="FootnoteReference"/>
        </w:rPr>
        <w:footnoteRef/>
      </w:r>
      <w:r>
        <w:t xml:space="preserve"> </w:t>
      </w:r>
      <w:hyperlink r:id="rId5" w:history="1">
        <w:r w:rsidRPr="00FC691B">
          <w:rPr>
            <w:rStyle w:val="Hyperlink"/>
            <w:sz w:val="16"/>
          </w:rPr>
          <w:t>http://demandanalysisworkinggroup.org/</w:t>
        </w:r>
      </w:hyperlink>
    </w:p>
  </w:footnote>
  <w:footnote w:id="17">
    <w:p w14:paraId="3769697E" w14:textId="77777777" w:rsidR="006F57E9" w:rsidRDefault="006F57E9" w:rsidP="00CD1669">
      <w:pPr>
        <w:pStyle w:val="FootnoteText"/>
      </w:pPr>
      <w:r>
        <w:rPr>
          <w:rStyle w:val="FootnoteReference"/>
        </w:rPr>
        <w:footnoteRef/>
      </w:r>
      <w:r>
        <w:t xml:space="preserve"> </w:t>
      </w:r>
      <w:hyperlink r:id="rId6" w:history="1">
        <w:r w:rsidRPr="002C6F7E">
          <w:rPr>
            <w:rStyle w:val="Hyperlink"/>
            <w:sz w:val="16"/>
          </w:rPr>
          <w:t>http://www.cpuc.ca.gov/General.aspx?id=6442452619</w:t>
        </w:r>
      </w:hyperlink>
    </w:p>
    <w:p w14:paraId="6200CB08" w14:textId="77777777" w:rsidR="006F57E9" w:rsidRDefault="006F57E9" w:rsidP="00CD1669">
      <w:pPr>
        <w:pStyle w:val="FootnoteText"/>
      </w:pPr>
    </w:p>
  </w:footnote>
  <w:footnote w:id="18">
    <w:p w14:paraId="5379DDF4" w14:textId="77777777" w:rsidR="006F57E9" w:rsidRDefault="006F57E9">
      <w:pPr>
        <w:pStyle w:val="FootnoteText"/>
      </w:pPr>
      <w:r>
        <w:rPr>
          <w:rStyle w:val="FootnoteReference"/>
        </w:rPr>
        <w:footnoteRef/>
      </w:r>
      <w:r>
        <w:t xml:space="preserve"> Adapted from </w:t>
      </w:r>
      <w:r w:rsidRPr="00102771">
        <w:rPr>
          <w:szCs w:val="16"/>
        </w:rPr>
        <w:t xml:space="preserve">John Sterman. 2000. </w:t>
      </w:r>
      <w:r w:rsidRPr="00102771">
        <w:rPr>
          <w:i/>
          <w:iCs/>
          <w:szCs w:val="16"/>
        </w:rPr>
        <w:t>Business Dynamics: Systems Thinking and Modeling for a Complex World</w:t>
      </w:r>
      <w:r w:rsidRPr="00102771">
        <w:rPr>
          <w:szCs w:val="16"/>
        </w:rPr>
        <w:t>. McGraw-Hill.</w:t>
      </w:r>
      <w:r>
        <w:rPr>
          <w:sz w:val="18"/>
          <w:szCs w:val="18"/>
        </w:rPr>
        <w:t xml:space="preserve"> </w:t>
      </w:r>
      <w:r>
        <w:t xml:space="preserve"> </w:t>
      </w:r>
    </w:p>
  </w:footnote>
  <w:footnote w:id="19">
    <w:p w14:paraId="0544B0A3" w14:textId="77777777" w:rsidR="006F57E9" w:rsidRDefault="006F57E9">
      <w:pPr>
        <w:pStyle w:val="FootnoteText"/>
      </w:pPr>
      <w:r>
        <w:rPr>
          <w:rStyle w:val="FootnoteReference"/>
        </w:rPr>
        <w:footnoteRef/>
      </w:r>
      <w:r>
        <w:t xml:space="preserve"> See 2015 PG Study for details on the iDR</w:t>
      </w:r>
    </w:p>
  </w:footnote>
  <w:footnote w:id="20">
    <w:p w14:paraId="37390C45" w14:textId="77777777" w:rsidR="006F57E9" w:rsidRDefault="006F57E9">
      <w:pPr>
        <w:pStyle w:val="FootnoteText"/>
      </w:pPr>
      <w:r>
        <w:rPr>
          <w:rStyle w:val="FootnoteReference"/>
        </w:rPr>
        <w:footnoteRef/>
      </w:r>
      <w:r>
        <w:t xml:space="preserve"> </w:t>
      </w:r>
      <w:r w:rsidRPr="00372465">
        <w:rPr>
          <w:i/>
          <w:iCs/>
        </w:rPr>
        <w:t xml:space="preserve">McFadden, Daniel, Train, K. “Mixed MNL Models for Discrete Response.” </w:t>
      </w:r>
      <w:r>
        <w:t xml:space="preserve"> </w:t>
      </w:r>
      <w:r w:rsidRPr="00372465">
        <w:rPr>
          <w:i/>
          <w:iCs/>
        </w:rPr>
        <w:t>2000. Journal of Applied Econometrics, Vol. 15, No. 5, pp. 447-470.</w:t>
      </w:r>
    </w:p>
  </w:footnote>
  <w:footnote w:id="21">
    <w:p w14:paraId="22988F9B" w14:textId="77777777" w:rsidR="006F57E9" w:rsidRPr="00372465" w:rsidRDefault="006F57E9" w:rsidP="00372465">
      <w:pPr>
        <w:pStyle w:val="FootnoteText"/>
      </w:pPr>
      <w:r>
        <w:rPr>
          <w:rStyle w:val="FootnoteReference"/>
        </w:rPr>
        <w:footnoteRef/>
      </w:r>
      <w:r>
        <w:t xml:space="preserve"> </w:t>
      </w:r>
      <w:r w:rsidRPr="00372465">
        <w:rPr>
          <w:i/>
          <w:iCs/>
        </w:rPr>
        <w:t>Train, Ken. "Discrete Choice Methods with Simulation." 2003.  Cambridge University Press.</w:t>
      </w:r>
    </w:p>
    <w:p w14:paraId="51C9ED4C" w14:textId="77777777" w:rsidR="006F57E9" w:rsidRDefault="006F57E9">
      <w:pPr>
        <w:pStyle w:val="FootnoteText"/>
      </w:pPr>
    </w:p>
  </w:footnote>
  <w:footnote w:id="22">
    <w:p w14:paraId="4AA15B18" w14:textId="77777777" w:rsidR="006F57E9" w:rsidRDefault="006F57E9">
      <w:pPr>
        <w:pStyle w:val="FootnoteText"/>
      </w:pPr>
      <w:r>
        <w:rPr>
          <w:rStyle w:val="FootnoteReference"/>
        </w:rPr>
        <w:footnoteRef/>
      </w:r>
      <w:r>
        <w:t xml:space="preserve"> In this equation, W is the willingness, </w:t>
      </w:r>
      <w:r w:rsidRPr="002F3182">
        <w:rPr>
          <w:i/>
          <w:iCs/>
          <w:lang w:val="el-GR"/>
        </w:rPr>
        <w:t>β</w:t>
      </w:r>
      <w:r w:rsidRPr="002F3182">
        <w:t xml:space="preserve"> </w:t>
      </w:r>
      <w:r>
        <w:t xml:space="preserve">is a sensitivity factor fit to willingness survey results, n is the number of competing technologies, and LMC is the levelized measure cost. </w:t>
      </w:r>
    </w:p>
  </w:footnote>
  <w:footnote w:id="23">
    <w:p w14:paraId="2B30836F" w14:textId="77777777" w:rsidR="006F57E9" w:rsidRDefault="006F57E9">
      <w:pPr>
        <w:pStyle w:val="FootnoteText"/>
      </w:pPr>
      <w:r>
        <w:rPr>
          <w:rStyle w:val="FootnoteReference"/>
        </w:rPr>
        <w:footnoteRef/>
      </w:r>
      <w:r>
        <w:t xml:space="preserve"> </w:t>
      </w:r>
      <w:r w:rsidRPr="007E5E22">
        <w:rPr>
          <w:rStyle w:val="FootnoteReference"/>
          <w:szCs w:val="18"/>
        </w:rPr>
        <w:footnoteRef/>
      </w:r>
      <w:r w:rsidRPr="007E5E22">
        <w:rPr>
          <w:szCs w:val="18"/>
        </w:rPr>
        <w:t xml:space="preserve"> A detailed discussion of the methodology and findings of this research are contained in “Demand Side Resource Potential Study,” prepared for Kansas City Power and Light, August 2013.</w:t>
      </w:r>
    </w:p>
  </w:footnote>
  <w:footnote w:id="24">
    <w:p w14:paraId="7F2EF962" w14:textId="77777777" w:rsidR="006F57E9" w:rsidRPr="002E311C" w:rsidRDefault="006F57E9" w:rsidP="00D72B7E">
      <w:pPr>
        <w:pStyle w:val="FootnoteText"/>
      </w:pPr>
      <w:r>
        <w:rPr>
          <w:rStyle w:val="FootnoteReference"/>
          <w:rFonts w:eastAsiaTheme="majorEastAsia"/>
        </w:rPr>
        <w:footnoteRef/>
      </w:r>
      <w:r>
        <w:t xml:space="preserve"> Sirkin, H. et al. </w:t>
      </w:r>
      <w:r>
        <w:rPr>
          <w:i/>
        </w:rPr>
        <w:t>U.S. Manufacturing Nears the Tipping Point</w:t>
      </w:r>
      <w:r>
        <w:t>, The Boston Consulting Group, March 2012.</w:t>
      </w:r>
    </w:p>
  </w:footnote>
  <w:footnote w:id="25">
    <w:p w14:paraId="4822306B" w14:textId="77777777" w:rsidR="006F57E9" w:rsidRDefault="006F57E9" w:rsidP="008016FC">
      <w:pPr>
        <w:pStyle w:val="FootnoteText"/>
      </w:pPr>
      <w:r>
        <w:rPr>
          <w:rStyle w:val="FootnoteReference"/>
        </w:rPr>
        <w:footnoteRef/>
      </w:r>
      <w:r>
        <w:t xml:space="preserve"> </w:t>
      </w:r>
      <w:r w:rsidRPr="001E6C86">
        <w:t>November 10, 2016</w:t>
      </w:r>
    </w:p>
  </w:footnote>
  <w:footnote w:id="26">
    <w:p w14:paraId="62A8509C" w14:textId="77777777" w:rsidR="006F57E9" w:rsidRPr="003C0771" w:rsidRDefault="006F57E9" w:rsidP="006B44D0">
      <w:pPr>
        <w:pStyle w:val="FootnoteText"/>
      </w:pPr>
      <w:r>
        <w:rPr>
          <w:rStyle w:val="FootnoteReference"/>
        </w:rPr>
        <w:footnoteRef/>
      </w:r>
      <w:r>
        <w:t xml:space="preserve"> </w:t>
      </w:r>
      <w:r w:rsidRPr="00CF1057">
        <w:t>Cadmus, Energy Services Division and DNV GL</w:t>
      </w:r>
      <w:r w:rsidRPr="00C7205C">
        <w:rPr>
          <w:i/>
        </w:rPr>
        <w:t>. Integrated Standards Savings Model (ISSM).</w:t>
      </w:r>
      <w:r>
        <w:t xml:space="preserve"> 2016.</w:t>
      </w:r>
    </w:p>
  </w:footnote>
  <w:footnote w:id="27">
    <w:p w14:paraId="6E296568" w14:textId="77777777" w:rsidR="006F57E9" w:rsidRDefault="006F57E9" w:rsidP="00947B1F">
      <w:pPr>
        <w:pStyle w:val="FootnoteText"/>
      </w:pPr>
      <w:r>
        <w:rPr>
          <w:rStyle w:val="FootnoteReference"/>
        </w:rPr>
        <w:footnoteRef/>
      </w:r>
      <w:r>
        <w:t xml:space="preserve"> Jaffe, Newell, and Stavins. </w:t>
      </w:r>
      <w:r w:rsidRPr="00D16D3F">
        <w:t>Economics of Energy Efficiency.</w:t>
      </w:r>
      <w:r>
        <w:t xml:space="preserve"> </w:t>
      </w:r>
      <w:r w:rsidRPr="00D16D3F">
        <w:t>Encyclopedia of Energy Vol. 2: 79-89.</w:t>
      </w:r>
      <w:r>
        <w:t xml:space="preserve"> 2004. </w:t>
      </w:r>
    </w:p>
  </w:footnote>
  <w:footnote w:id="28">
    <w:p w14:paraId="452446D5" w14:textId="77777777" w:rsidR="006F57E9" w:rsidRDefault="006F57E9" w:rsidP="00947B1F">
      <w:pPr>
        <w:pStyle w:val="FootnoteText"/>
      </w:pPr>
      <w:r>
        <w:rPr>
          <w:rStyle w:val="FootnoteReference"/>
        </w:rPr>
        <w:footnoteRef/>
      </w:r>
      <w:r>
        <w:t xml:space="preserve"> </w:t>
      </w:r>
      <w:r w:rsidRPr="00027109">
        <w:rPr>
          <w:bCs/>
        </w:rPr>
        <w:t>PY2014 Finance Residential Market Baseline Study Report</w:t>
      </w:r>
      <w:r>
        <w:rPr>
          <w:bCs/>
        </w:rPr>
        <w:t>. Opinion Dynamics Corporation and Dunsky Energy Consulting. March 2016</w:t>
      </w:r>
    </w:p>
  </w:footnote>
  <w:footnote w:id="29">
    <w:p w14:paraId="1BBE438E" w14:textId="77777777" w:rsidR="006F57E9" w:rsidRDefault="006F57E9" w:rsidP="00947B1F">
      <w:pPr>
        <w:pStyle w:val="FootnoteText"/>
      </w:pPr>
      <w:r>
        <w:rPr>
          <w:rStyle w:val="FootnoteReference"/>
        </w:rPr>
        <w:footnoteRef/>
      </w:r>
      <w:r>
        <w:t xml:space="preserve"> Southwest Energy Efficiency Project. Energy Efficiency Finance Options and Roles for Utilities. October 2011. </w:t>
      </w:r>
    </w:p>
  </w:footnote>
  <w:footnote w:id="30">
    <w:p w14:paraId="6D3260D2" w14:textId="77777777" w:rsidR="006F57E9" w:rsidRDefault="006F57E9" w:rsidP="00947B1F">
      <w:pPr>
        <w:pStyle w:val="FootnoteText"/>
      </w:pPr>
      <w:r>
        <w:rPr>
          <w:rStyle w:val="FootnoteReference"/>
        </w:rPr>
        <w:footnoteRef/>
      </w:r>
      <w:r>
        <w:t xml:space="preserve"> </w:t>
      </w:r>
      <w:r w:rsidRPr="00027109">
        <w:rPr>
          <w:bCs/>
        </w:rPr>
        <w:t>PY2014 Finance Residential Market Baseline Study Report</w:t>
      </w:r>
      <w:r>
        <w:rPr>
          <w:bCs/>
        </w:rPr>
        <w:t>. Opinion Dynamics Corporation and Dunsky Energy Consulting. March 2016</w:t>
      </w:r>
    </w:p>
  </w:footnote>
  <w:footnote w:id="31">
    <w:p w14:paraId="40B94802" w14:textId="77777777" w:rsidR="006F57E9" w:rsidRDefault="006F57E9" w:rsidP="00947B1F">
      <w:pPr>
        <w:pStyle w:val="FootnoteText"/>
      </w:pPr>
      <w:r>
        <w:rPr>
          <w:rStyle w:val="FootnoteReference"/>
        </w:rPr>
        <w:footnoteRef/>
      </w:r>
      <w:r>
        <w:t xml:space="preserve"> Disposition approving Advice Letter 3697-G /4812-E, 3697-G-A/4812-E-A, PG&amp;E’s On Bill Financing Alternative Pathway Program, as a High Opportunity Program. July 12, 2016. </w:t>
      </w:r>
    </w:p>
  </w:footnote>
  <w:footnote w:id="32">
    <w:p w14:paraId="1F0C47F9" w14:textId="77777777" w:rsidR="006F57E9" w:rsidRDefault="006F57E9" w:rsidP="00947B1F">
      <w:pPr>
        <w:pStyle w:val="FootnoteText"/>
      </w:pPr>
      <w:r>
        <w:rPr>
          <w:rStyle w:val="FootnoteReference"/>
        </w:rPr>
        <w:footnoteRef/>
      </w:r>
      <w:r>
        <w:t xml:space="preserve"> </w:t>
      </w:r>
      <w:r w:rsidRPr="00027109">
        <w:rPr>
          <w:bCs/>
        </w:rPr>
        <w:t>PY2014 Finance Residential Market Baseline Study Report</w:t>
      </w:r>
      <w:r>
        <w:rPr>
          <w:bCs/>
        </w:rPr>
        <w:t>. Opinion Dynamics Corporation and Dunsky Energy Consulting. March 2016</w:t>
      </w:r>
    </w:p>
  </w:footnote>
  <w:footnote w:id="33">
    <w:p w14:paraId="3531EDBB" w14:textId="77777777" w:rsidR="006F57E9" w:rsidRDefault="006F57E9" w:rsidP="00947B1F">
      <w:pPr>
        <w:pStyle w:val="FootnoteText"/>
      </w:pPr>
      <w:r>
        <w:rPr>
          <w:rStyle w:val="FootnoteReference"/>
        </w:rPr>
        <w:footnoteRef/>
      </w:r>
      <w:r>
        <w:t xml:space="preserve"> Financing Energy Improvements on Utility Bills.  Technical Appendix Case Studies. State and Local Energy Efficiency Action Network (SEE Action).  May 2014.</w:t>
      </w:r>
    </w:p>
  </w:footnote>
  <w:footnote w:id="34">
    <w:p w14:paraId="5779E358" w14:textId="77777777" w:rsidR="006F57E9" w:rsidRDefault="006F57E9" w:rsidP="00947B1F">
      <w:pPr>
        <w:autoSpaceDE w:val="0"/>
        <w:autoSpaceDN w:val="0"/>
        <w:adjustRightInd w:val="0"/>
        <w:spacing w:line="240" w:lineRule="auto"/>
      </w:pPr>
      <w:r>
        <w:rPr>
          <w:rStyle w:val="FootnoteReference"/>
        </w:rPr>
        <w:footnoteRef/>
      </w:r>
      <w:r>
        <w:t xml:space="preserve"> </w:t>
      </w:r>
      <w:r w:rsidRPr="004B7BF5">
        <w:rPr>
          <w:sz w:val="16"/>
          <w:szCs w:val="20"/>
        </w:rPr>
        <w:t>California 2010-2012 On-Bill Financing Process Evaluation and Market Assessment (CALMAC ID CPU0056.01),</w:t>
      </w:r>
    </w:p>
  </w:footnote>
  <w:footnote w:id="35">
    <w:p w14:paraId="7A137A96" w14:textId="77777777" w:rsidR="006F57E9" w:rsidRDefault="006F57E9" w:rsidP="00947B1F">
      <w:pPr>
        <w:pStyle w:val="FootnoteText"/>
        <w:spacing w:after="0"/>
      </w:pPr>
      <w:r>
        <w:rPr>
          <w:rStyle w:val="FootnoteReference"/>
        </w:rPr>
        <w:footnoteRef/>
      </w:r>
      <w:r>
        <w:t xml:space="preserve"> Commercial customers can receive up to a $100,000 loan for five years, and government can receive up to a $250,000 loan for</w:t>
      </w:r>
    </w:p>
    <w:p w14:paraId="5852C19B" w14:textId="77777777" w:rsidR="006F57E9" w:rsidRDefault="006F57E9" w:rsidP="00947B1F">
      <w:pPr>
        <w:pStyle w:val="FootnoteText"/>
        <w:spacing w:after="0"/>
      </w:pPr>
      <w:r>
        <w:t>ten years. The alternative path will leverage existing infrastructure as well as the existing on bill financing program’s revolving loan fund.</w:t>
      </w:r>
    </w:p>
  </w:footnote>
  <w:footnote w:id="36">
    <w:p w14:paraId="79DA2D8C" w14:textId="77777777" w:rsidR="006F57E9" w:rsidRDefault="006F57E9" w:rsidP="00947B1F">
      <w:pPr>
        <w:pStyle w:val="FootnoteText"/>
      </w:pPr>
      <w:r>
        <w:rPr>
          <w:rStyle w:val="FootnoteReference"/>
        </w:rPr>
        <w:footnoteRef/>
      </w:r>
      <w:r>
        <w:t xml:space="preserve"> 2010-2012 CA IOU On-bill Financing Process Evaluation and Market Assessment. May 2012. </w:t>
      </w:r>
    </w:p>
  </w:footnote>
  <w:footnote w:id="37">
    <w:p w14:paraId="421256AF" w14:textId="77777777" w:rsidR="006F57E9" w:rsidRDefault="006F57E9" w:rsidP="00947B1F">
      <w:pPr>
        <w:pStyle w:val="FootnoteText"/>
      </w:pPr>
      <w:r>
        <w:rPr>
          <w:rStyle w:val="FootnoteReference"/>
        </w:rPr>
        <w:footnoteRef/>
      </w:r>
      <w:r>
        <w:t xml:space="preserve"> OMB Circular A-94. Available at: </w:t>
      </w:r>
      <w:hyperlink r:id="rId7" w:history="1">
        <w:r w:rsidRPr="008E222B">
          <w:rPr>
            <w:rStyle w:val="Hyperlink"/>
            <w:sz w:val="16"/>
          </w:rPr>
          <w:t>https://www.wbdg.org/FFC/FED/OMB/OMB-Circular-A94.pdf</w:t>
        </w:r>
      </w:hyperlink>
      <w:r>
        <w:t xml:space="preserve"> </w:t>
      </w:r>
    </w:p>
  </w:footnote>
  <w:footnote w:id="38">
    <w:p w14:paraId="5494571B" w14:textId="77777777" w:rsidR="006F57E9" w:rsidRPr="00EB1158" w:rsidRDefault="006F57E9" w:rsidP="00C77DD5">
      <w:pPr>
        <w:pStyle w:val="FootnoteText"/>
        <w:rPr>
          <w:sz w:val="18"/>
        </w:rPr>
      </w:pPr>
      <w:r w:rsidRPr="00EB1158">
        <w:rPr>
          <w:rStyle w:val="FootnoteReference"/>
          <w:sz w:val="18"/>
        </w:rPr>
        <w:footnoteRef/>
      </w:r>
      <w:r w:rsidRPr="00EB1158">
        <w:rPr>
          <w:sz w:val="18"/>
        </w:rPr>
        <w:t xml:space="preserve"> Slides available at: </w:t>
      </w:r>
      <w:hyperlink r:id="rId8" w:history="1">
        <w:r w:rsidRPr="00EB1158">
          <w:rPr>
            <w:rStyle w:val="Hyperlink"/>
            <w:sz w:val="18"/>
          </w:rPr>
          <w:t>http://demandanalysisworkinggroup.org/event/energy-savings-pup-cpuc-2018-beyond-ee-potential-goals-study-model-calibration-and-forecasting-scenarios/?instance_id=445</w:t>
        </w:r>
      </w:hyperlink>
    </w:p>
  </w:footnote>
  <w:footnote w:id="39">
    <w:p w14:paraId="59DE975A" w14:textId="77777777" w:rsidR="006F57E9" w:rsidRDefault="006F57E9" w:rsidP="00C77DD5">
      <w:pPr>
        <w:pStyle w:val="FootnoteText"/>
      </w:pPr>
      <w:r w:rsidRPr="00EB1158">
        <w:rPr>
          <w:rStyle w:val="FootnoteReference"/>
          <w:sz w:val="18"/>
        </w:rPr>
        <w:footnoteRef/>
      </w:r>
      <w:r w:rsidRPr="00EB1158">
        <w:rPr>
          <w:sz w:val="18"/>
        </w:rPr>
        <w:t xml:space="preserve"> Navigant. </w:t>
      </w:r>
      <w:r w:rsidRPr="00EB1158">
        <w:rPr>
          <w:i/>
          <w:sz w:val="18"/>
        </w:rPr>
        <w:t>AB802 Technical Analysis - Potential Savings Analysis</w:t>
      </w:r>
      <w:r w:rsidRPr="00EB1158">
        <w:rPr>
          <w:sz w:val="18"/>
        </w:rPr>
        <w:t xml:space="preserve">. Prepared for the CPUC. March 2016. </w:t>
      </w:r>
    </w:p>
  </w:footnote>
  <w:footnote w:id="40">
    <w:p w14:paraId="4B612ACA" w14:textId="77777777" w:rsidR="006F57E9" w:rsidRPr="00EB1158" w:rsidRDefault="006F57E9" w:rsidP="00C77DD5">
      <w:pPr>
        <w:pStyle w:val="FootnoteText"/>
        <w:rPr>
          <w:sz w:val="18"/>
        </w:rPr>
      </w:pPr>
      <w:r w:rsidRPr="00EB1158">
        <w:rPr>
          <w:rStyle w:val="FootnoteReference"/>
          <w:sz w:val="18"/>
        </w:rPr>
        <w:footnoteRef/>
      </w:r>
      <w:r w:rsidRPr="00EB1158">
        <w:rPr>
          <w:sz w:val="18"/>
        </w:rPr>
        <w:t xml:space="preserve"> Financing impacts are modeled as reductions in consumer iDR and change in customer payment structure, building off work done in the 2015 Potential and Goals Study.</w:t>
      </w:r>
    </w:p>
  </w:footnote>
  <w:footnote w:id="41">
    <w:p w14:paraId="69B37214" w14:textId="77777777" w:rsidR="006F57E9" w:rsidRPr="00A432FD" w:rsidRDefault="006F57E9" w:rsidP="00D84DAE">
      <w:pPr>
        <w:rPr>
          <w:rFonts w:ascii="Arial Narrow" w:hAnsi="Arial Narrow"/>
          <w:sz w:val="16"/>
          <w:szCs w:val="16"/>
        </w:rPr>
      </w:pPr>
      <w:r w:rsidRPr="00A432FD">
        <w:rPr>
          <w:rStyle w:val="FootnoteReference"/>
          <w:rFonts w:ascii="Arial Narrow" w:hAnsi="Arial Narrow"/>
          <w:sz w:val="16"/>
          <w:szCs w:val="16"/>
        </w:rPr>
        <w:footnoteRef/>
      </w:r>
      <w:r w:rsidRPr="00A432FD">
        <w:rPr>
          <w:rFonts w:ascii="Arial Narrow" w:hAnsi="Arial Narrow"/>
          <w:sz w:val="16"/>
          <w:szCs w:val="16"/>
        </w:rPr>
        <w:t xml:space="preserve"> Joint Opening GHG Adder Comments, page 6 (</w:t>
      </w:r>
      <w:hyperlink r:id="rId9" w:tgtFrame="_blank" w:history="1">
        <w:r w:rsidRPr="00A432FD">
          <w:rPr>
            <w:rStyle w:val="Hyperlink"/>
            <w:rFonts w:ascii="Arial Narrow" w:hAnsi="Arial Narrow"/>
            <w:color w:val="auto"/>
            <w:sz w:val="16"/>
            <w:szCs w:val="16"/>
          </w:rPr>
          <w:t>http://docs.cpuc.ca.gov/PublishedDocs/Efile/G000/M185/K576/185576217.PDF</w:t>
        </w:r>
      </w:hyperlink>
      <w:r w:rsidRPr="00A432FD">
        <w:rPr>
          <w:rFonts w:ascii="Arial Narrow" w:hAnsi="Arial Narrow"/>
          <w:sz w:val="16"/>
          <w:szCs w:val="16"/>
        </w:rPr>
        <w:t>)</w:t>
      </w:r>
    </w:p>
    <w:p w14:paraId="242C5C48" w14:textId="77777777" w:rsidR="006F57E9" w:rsidRPr="00A432FD" w:rsidRDefault="006F57E9" w:rsidP="00D84DAE">
      <w:pPr>
        <w:rPr>
          <w:rFonts w:ascii="Arial Narrow" w:hAnsi="Arial Narrow"/>
          <w:sz w:val="16"/>
          <w:szCs w:val="16"/>
        </w:rPr>
      </w:pPr>
      <w:r w:rsidRPr="00A432FD">
        <w:rPr>
          <w:rFonts w:ascii="Arial Narrow" w:hAnsi="Arial Narrow"/>
          <w:sz w:val="16"/>
          <w:szCs w:val="16"/>
        </w:rPr>
        <w:t>The curve is an extrapolation of the prices on ARB Staff Report, “Initial Statement of Reasons,” Appendix C, August 2, 2016, Table 5. Available at: https://www.arb.ca.gov/regact/2016/capandtrade16/appc.pdf.</w:t>
      </w:r>
    </w:p>
    <w:p w14:paraId="54DD0907" w14:textId="77777777" w:rsidR="006F57E9" w:rsidRDefault="006F57E9" w:rsidP="00D84DAE">
      <w:pPr>
        <w:pStyle w:val="FootnoteText"/>
      </w:pPr>
    </w:p>
  </w:footnote>
  <w:footnote w:id="42">
    <w:p w14:paraId="3EB02756" w14:textId="77777777" w:rsidR="006F57E9" w:rsidRPr="00EB1158" w:rsidRDefault="006F57E9" w:rsidP="00C77DD5">
      <w:pPr>
        <w:pStyle w:val="FootnoteText"/>
        <w:rPr>
          <w:sz w:val="18"/>
        </w:rPr>
      </w:pPr>
      <w:r w:rsidRPr="004610B0">
        <w:rPr>
          <w:vertAlign w:val="superscript"/>
        </w:rPr>
        <w:footnoteRef/>
      </w:r>
      <w:r w:rsidRPr="004610B0">
        <w:t xml:space="preserve"> Consistent with the 2015 Potential and Goals Study. Financing was modeled in the 2015 study but it did not inform the goals or AAEE forecast.</w:t>
      </w:r>
      <w:r w:rsidRPr="00EB1158">
        <w:rPr>
          <w:sz w:val="18"/>
        </w:rPr>
        <w:t xml:space="preserve"> </w:t>
      </w:r>
    </w:p>
  </w:footnote>
  <w:footnote w:id="43">
    <w:p w14:paraId="06E1E743" w14:textId="77777777" w:rsidR="006F57E9" w:rsidRDefault="006F57E9">
      <w:pPr>
        <w:pStyle w:val="FootnoteText"/>
      </w:pPr>
      <w:r>
        <w:rPr>
          <w:rStyle w:val="FootnoteReference"/>
        </w:rPr>
        <w:footnoteRef/>
      </w:r>
      <w:r>
        <w:t xml:space="preserve"> California Energy Consumption Database.  Accessed April 2017: </w:t>
      </w:r>
      <w:hyperlink r:id="rId10" w:history="1">
        <w:r w:rsidRPr="002543F6">
          <w:rPr>
            <w:rStyle w:val="Hyperlink"/>
            <w:sz w:val="16"/>
          </w:rPr>
          <w:t>http://ecdms.energy.ca.gov/</w:t>
        </w:r>
      </w:hyperlink>
      <w:r>
        <w:t xml:space="preserve"> </w:t>
      </w:r>
    </w:p>
  </w:footnote>
  <w:footnote w:id="44">
    <w:p w14:paraId="2371A0BA" w14:textId="77777777" w:rsidR="006F57E9" w:rsidRDefault="006F57E9">
      <w:pPr>
        <w:pStyle w:val="FootnoteText"/>
      </w:pPr>
      <w:r>
        <w:rPr>
          <w:rStyle w:val="FootnoteReference"/>
        </w:rPr>
        <w:footnoteRef/>
      </w:r>
      <w:r>
        <w:t xml:space="preserve"> CPUC Rulemaking 14-10-003.  Downloadable from </w:t>
      </w:r>
      <w:hyperlink r:id="rId11" w:history="1">
        <w:r w:rsidRPr="00CD5BF4">
          <w:rPr>
            <w:rStyle w:val="Hyperlink"/>
            <w:sz w:val="16"/>
            <w:szCs w:val="16"/>
          </w:rPr>
          <w:t>http://docs.cpuc.ca.gov/PublishedDocs/Efile/G000/M182/K363/182363230.PDF</w:t>
        </w:r>
      </w:hyperlink>
      <w:r>
        <w:rPr>
          <w:rStyle w:val="Hyperlink"/>
        </w:rPr>
        <w:t xml:space="preserve"> </w:t>
      </w:r>
    </w:p>
  </w:footnote>
  <w:footnote w:id="45">
    <w:p w14:paraId="592FB990" w14:textId="77777777" w:rsidR="006F57E9" w:rsidRPr="00A432FD" w:rsidRDefault="006F57E9" w:rsidP="003822EF">
      <w:pPr>
        <w:rPr>
          <w:rFonts w:ascii="Calibri" w:hAnsi="Calibri"/>
          <w:sz w:val="16"/>
          <w:szCs w:val="16"/>
        </w:rPr>
      </w:pPr>
      <w:r w:rsidRPr="00A432FD">
        <w:rPr>
          <w:rStyle w:val="FootnoteReference"/>
          <w:sz w:val="16"/>
          <w:szCs w:val="16"/>
        </w:rPr>
        <w:footnoteRef/>
      </w:r>
      <w:r w:rsidRPr="00A432FD">
        <w:rPr>
          <w:sz w:val="16"/>
          <w:szCs w:val="16"/>
        </w:rPr>
        <w:t xml:space="preserve"> </w:t>
      </w:r>
      <w:r w:rsidRPr="00A432FD">
        <w:rPr>
          <w:rFonts w:ascii="Calibri" w:hAnsi="Calibri"/>
          <w:sz w:val="16"/>
          <w:szCs w:val="16"/>
        </w:rPr>
        <w:t>Joint Opening GHG Adder Comments, page 6 (</w:t>
      </w:r>
      <w:hyperlink r:id="rId12" w:tgtFrame="_blank" w:history="1">
        <w:r w:rsidRPr="00A432FD">
          <w:rPr>
            <w:rStyle w:val="Hyperlink"/>
            <w:rFonts w:ascii="Calibri" w:hAnsi="Calibri"/>
            <w:color w:val="auto"/>
            <w:sz w:val="16"/>
            <w:szCs w:val="16"/>
          </w:rPr>
          <w:t>http://docs.cpuc.ca.gov/PublishedDocs/Efile/G000/M185/K576/185576217.PDF</w:t>
        </w:r>
      </w:hyperlink>
      <w:r w:rsidRPr="00A432FD">
        <w:rPr>
          <w:rFonts w:ascii="Calibri" w:hAnsi="Calibri"/>
          <w:sz w:val="16"/>
          <w:szCs w:val="16"/>
        </w:rPr>
        <w:t>)</w:t>
      </w:r>
    </w:p>
    <w:p w14:paraId="16EEB9C8" w14:textId="77777777" w:rsidR="006F57E9" w:rsidRPr="00A432FD" w:rsidRDefault="006F57E9" w:rsidP="003822EF">
      <w:pPr>
        <w:rPr>
          <w:rFonts w:ascii="Calibri" w:hAnsi="Calibri"/>
          <w:sz w:val="16"/>
          <w:szCs w:val="16"/>
        </w:rPr>
      </w:pPr>
      <w:r w:rsidRPr="00A432FD">
        <w:rPr>
          <w:rFonts w:ascii="Calibri" w:hAnsi="Calibri"/>
          <w:sz w:val="16"/>
          <w:szCs w:val="16"/>
        </w:rPr>
        <w:t>The curve is an extrapolation of the prices on ARB Staff Report, “Initial Statement of Reasons,” Appendix C, August 2, 2016, Table 5. Available at: https://www.arb.ca.gov/regact/2016/capandtrade16/appc.pdf.</w:t>
      </w:r>
    </w:p>
    <w:p w14:paraId="5F59F9C8" w14:textId="77777777" w:rsidR="006F57E9" w:rsidRDefault="006F57E9" w:rsidP="003822EF">
      <w:pPr>
        <w:pStyle w:val="FootnoteText"/>
      </w:pPr>
    </w:p>
  </w:footnote>
  <w:footnote w:id="46">
    <w:p w14:paraId="19D05C7A" w14:textId="77777777" w:rsidR="006F57E9" w:rsidRDefault="006F57E9">
      <w:pPr>
        <w:pStyle w:val="FootnoteText"/>
      </w:pPr>
      <w:r>
        <w:rPr>
          <w:rStyle w:val="FootnoteReference"/>
        </w:rPr>
        <w:footnoteRef/>
      </w:r>
      <w:r>
        <w:t xml:space="preserve"> The forecast assumes a 2% inflation rate when converting real 2016 dollars into nominal cost. </w:t>
      </w:r>
    </w:p>
  </w:footnote>
  <w:footnote w:id="47">
    <w:p w14:paraId="69788098" w14:textId="77777777" w:rsidR="006F57E9" w:rsidRPr="00E74AEB" w:rsidRDefault="006F57E9" w:rsidP="001326E6">
      <w:pPr>
        <w:pStyle w:val="FootnoteText"/>
        <w:rPr>
          <w:szCs w:val="16"/>
        </w:rPr>
      </w:pPr>
      <w:r>
        <w:rPr>
          <w:rStyle w:val="FootnoteReference"/>
        </w:rPr>
        <w:footnoteRef/>
      </w:r>
      <w:r>
        <w:t xml:space="preserve"> EEstats database downloadable at </w:t>
      </w:r>
      <w:hyperlink r:id="rId13" w:history="1">
        <w:r w:rsidRPr="00E74AEB">
          <w:rPr>
            <w:rStyle w:val="Hyperlink"/>
            <w:rFonts w:cs="Arial"/>
            <w:sz w:val="16"/>
            <w:szCs w:val="16"/>
          </w:rPr>
          <w:t>http://eestats.cpuc.ca.gov/Views/EEDataPortal.aspx</w:t>
        </w:r>
      </w:hyperlink>
    </w:p>
  </w:footnote>
  <w:footnote w:id="48">
    <w:p w14:paraId="4EEA43F9" w14:textId="77777777" w:rsidR="006F57E9" w:rsidRDefault="006F57E9" w:rsidP="001326E6">
      <w:pPr>
        <w:pStyle w:val="FootnoteText"/>
      </w:pPr>
      <w:r>
        <w:rPr>
          <w:rStyle w:val="FootnoteReference"/>
        </w:rPr>
        <w:footnoteRef/>
      </w:r>
      <w:r>
        <w:t xml:space="preserve"> Navigant obtained database of IOU programs with savings and cost information from 2013 to Q1. 2016 from Itron.</w:t>
      </w:r>
    </w:p>
  </w:footnote>
  <w:footnote w:id="49">
    <w:p w14:paraId="0C3E91DC" w14:textId="77777777" w:rsidR="006F57E9" w:rsidRDefault="006F57E9" w:rsidP="001326E6">
      <w:pPr>
        <w:pStyle w:val="FootnoteText"/>
      </w:pPr>
      <w:r>
        <w:rPr>
          <w:rStyle w:val="FootnoteReference"/>
        </w:rPr>
        <w:footnoteRef/>
      </w:r>
      <w:r>
        <w:t xml:space="preserve"> Navigant reviewed EEStats and IOU program data to determine the share in savings from each technology group by enduse for the residential and commercial sectors, and included all technology groups that constituted 98% of the total savings by enduse for these two sectors.   </w:t>
      </w:r>
    </w:p>
  </w:footnote>
  <w:footnote w:id="50">
    <w:p w14:paraId="576E55B3" w14:textId="77777777" w:rsidR="006F57E9" w:rsidRDefault="006F57E9" w:rsidP="001326E6">
      <w:pPr>
        <w:pStyle w:val="FootnoteText"/>
      </w:pPr>
      <w:r>
        <w:rPr>
          <w:rStyle w:val="FootnoteReference"/>
        </w:rPr>
        <w:footnoteRef/>
      </w:r>
      <w:r>
        <w:t xml:space="preserve"> Navigant described the approach for technology selection and presented the list of “selected” and “other reviewed” technologies during a DAWG workshop held on August 29, 2016. </w:t>
      </w:r>
    </w:p>
  </w:footnote>
  <w:footnote w:id="51">
    <w:p w14:paraId="3EDA9762" w14:textId="77777777" w:rsidR="006F57E9" w:rsidRDefault="006F57E9" w:rsidP="001326E6">
      <w:pPr>
        <w:pStyle w:val="FootnoteText"/>
      </w:pPr>
      <w:r>
        <w:rPr>
          <w:rStyle w:val="FootnoteReference"/>
        </w:rPr>
        <w:footnoteRef/>
      </w:r>
      <w:r>
        <w:t xml:space="preserve"> Please refer to the MICS database for additional details.</w:t>
      </w:r>
    </w:p>
  </w:footnote>
  <w:footnote w:id="52">
    <w:p w14:paraId="62EE5EE5" w14:textId="77777777" w:rsidR="006F57E9" w:rsidRDefault="006F57E9" w:rsidP="001326E6">
      <w:pPr>
        <w:pStyle w:val="FootnoteText"/>
      </w:pPr>
      <w:r>
        <w:rPr>
          <w:rStyle w:val="FootnoteReference"/>
        </w:rPr>
        <w:footnoteRef/>
      </w:r>
      <w:r>
        <w:t xml:space="preserve"> The complete list of technology groups is presented in the MICS database. </w:t>
      </w:r>
    </w:p>
  </w:footnote>
  <w:footnote w:id="53">
    <w:p w14:paraId="6DBB5E4A" w14:textId="77777777" w:rsidR="006F57E9" w:rsidRPr="002C5474" w:rsidRDefault="006F57E9" w:rsidP="001326E6">
      <w:pPr>
        <w:rPr>
          <w:sz w:val="18"/>
          <w:szCs w:val="18"/>
        </w:rPr>
      </w:pPr>
      <w:r w:rsidRPr="005613E0">
        <w:rPr>
          <w:rStyle w:val="FootnoteReference"/>
          <w:sz w:val="16"/>
          <w:szCs w:val="16"/>
        </w:rPr>
        <w:footnoteRef/>
      </w:r>
      <w:r w:rsidRPr="005613E0">
        <w:rPr>
          <w:sz w:val="16"/>
          <w:szCs w:val="16"/>
        </w:rPr>
        <w:t xml:space="preserve"> </w:t>
      </w:r>
      <w:r w:rsidRPr="002C5474">
        <w:rPr>
          <w:sz w:val="16"/>
          <w:szCs w:val="16"/>
        </w:rPr>
        <w:t>Note that the technology list does not include “Whole Building Packages” and</w:t>
      </w:r>
      <w:r>
        <w:rPr>
          <w:sz w:val="16"/>
          <w:szCs w:val="16"/>
        </w:rPr>
        <w:t xml:space="preserve"> BROs </w:t>
      </w:r>
      <w:r w:rsidRPr="002C5474">
        <w:rPr>
          <w:sz w:val="16"/>
          <w:szCs w:val="16"/>
        </w:rPr>
        <w:t xml:space="preserve">Interventions The approach used for selection and characterization of these measures are discussed in separate sections of this report. </w:t>
      </w:r>
      <w:r w:rsidRPr="005613E0">
        <w:rPr>
          <w:sz w:val="16"/>
          <w:szCs w:val="16"/>
        </w:rPr>
        <w:t>Please refer to the MICS database for a complete list of technologies included in the study.</w:t>
      </w:r>
      <w:r>
        <w:rPr>
          <w:sz w:val="18"/>
          <w:szCs w:val="18"/>
        </w:rPr>
        <w:t xml:space="preserve"> </w:t>
      </w:r>
    </w:p>
  </w:footnote>
  <w:footnote w:id="54">
    <w:p w14:paraId="481D3AB0" w14:textId="77777777" w:rsidR="006F57E9" w:rsidRDefault="006F57E9" w:rsidP="001326E6">
      <w:pPr>
        <w:pStyle w:val="FootnoteText"/>
      </w:pPr>
      <w:r>
        <w:rPr>
          <w:rStyle w:val="FootnoteReference"/>
        </w:rPr>
        <w:footnoteRef/>
      </w:r>
      <w:r>
        <w:t xml:space="preserve"> </w:t>
      </w:r>
      <w:hyperlink r:id="rId14" w:history="1">
        <w:r w:rsidRPr="00CD5BF4">
          <w:rPr>
            <w:rStyle w:val="Hyperlink"/>
            <w:rFonts w:cs="Arial"/>
            <w:sz w:val="16"/>
            <w:szCs w:val="16"/>
          </w:rPr>
          <w:t>http://eestats.cpuc.ca.gov/Views/EEDataPortal.aspx</w:t>
        </w:r>
      </w:hyperlink>
    </w:p>
  </w:footnote>
  <w:footnote w:id="55">
    <w:p w14:paraId="24614AE1" w14:textId="77777777" w:rsidR="006F57E9" w:rsidRDefault="006F57E9" w:rsidP="001326E6">
      <w:pPr>
        <w:pStyle w:val="FootnoteText"/>
      </w:pPr>
      <w:r>
        <w:rPr>
          <w:rStyle w:val="FootnoteReference"/>
        </w:rPr>
        <w:footnoteRef/>
      </w:r>
      <w:r>
        <w:t xml:space="preserve"> Navigant obtained the database of IOU programs with savings and cost information from Itron under CPUC’s directive. </w:t>
      </w:r>
    </w:p>
  </w:footnote>
  <w:footnote w:id="56">
    <w:p w14:paraId="43826484" w14:textId="77777777" w:rsidR="006F57E9" w:rsidRPr="00DD47AE" w:rsidRDefault="006F57E9" w:rsidP="001326E6">
      <w:pPr>
        <w:rPr>
          <w:sz w:val="16"/>
          <w:szCs w:val="16"/>
        </w:rPr>
      </w:pPr>
      <w:r>
        <w:rPr>
          <w:rStyle w:val="FootnoteReference"/>
        </w:rPr>
        <w:footnoteRef/>
      </w:r>
      <w:r>
        <w:t xml:space="preserve"> </w:t>
      </w:r>
      <w:r w:rsidRPr="00DD47AE">
        <w:rPr>
          <w:sz w:val="16"/>
          <w:szCs w:val="16"/>
        </w:rPr>
        <w:t xml:space="preserve">Downloadable from </w:t>
      </w:r>
      <w:hyperlink r:id="rId15" w:history="1">
        <w:r w:rsidRPr="00DD47AE">
          <w:rPr>
            <w:rStyle w:val="Hyperlink"/>
            <w:sz w:val="16"/>
            <w:szCs w:val="16"/>
          </w:rPr>
          <w:t>http://apps1.eere.energy.gov/buildings/publications/pdfs/ssl/2010-lmc-final-jan-2012.pdf</w:t>
        </w:r>
      </w:hyperlink>
      <w:r w:rsidRPr="00DD47AE">
        <w:rPr>
          <w:sz w:val="16"/>
          <w:szCs w:val="16"/>
        </w:rPr>
        <w:t xml:space="preserve">. </w:t>
      </w:r>
    </w:p>
  </w:footnote>
  <w:footnote w:id="57">
    <w:p w14:paraId="7C57006E" w14:textId="77777777" w:rsidR="006F57E9" w:rsidRDefault="006F57E9" w:rsidP="004D5A3E">
      <w:pPr>
        <w:pStyle w:val="FootnoteText"/>
      </w:pPr>
      <w:r>
        <w:rPr>
          <w:rStyle w:val="FootnoteReference"/>
        </w:rPr>
        <w:footnoteRef/>
      </w:r>
      <w:r>
        <w:t xml:space="preserve"> Navigant. </w:t>
      </w:r>
      <w:r w:rsidRPr="004D5A3E">
        <w:rPr>
          <w:i/>
        </w:rPr>
        <w:t>Energy Savings Forecast of Solid-State Lighting in General Illumination Applications</w:t>
      </w:r>
      <w:r>
        <w:t xml:space="preserve">. Prepared for the U.S. DOE. 2016. </w:t>
      </w:r>
      <w:r w:rsidRPr="00DD47AE">
        <w:rPr>
          <w:szCs w:val="16"/>
        </w:rPr>
        <w:t xml:space="preserve">Downloadable from </w:t>
      </w:r>
      <w:hyperlink r:id="rId16" w:history="1">
        <w:r w:rsidRPr="00DD47AE">
          <w:rPr>
            <w:rStyle w:val="Hyperlink"/>
            <w:sz w:val="16"/>
            <w:szCs w:val="16"/>
          </w:rPr>
          <w:t>http://apps1.eere.energy.gov/buildings/publications/pdfs/ssl/2010-lmc-final-jan-2012.pdf</w:t>
        </w:r>
      </w:hyperlink>
    </w:p>
  </w:footnote>
  <w:footnote w:id="58">
    <w:p w14:paraId="30B86C0E" w14:textId="77777777" w:rsidR="006F57E9" w:rsidRDefault="006F57E9" w:rsidP="001326E6">
      <w:pPr>
        <w:pStyle w:val="FootnoteText"/>
      </w:pPr>
      <w:r>
        <w:rPr>
          <w:rStyle w:val="FootnoteReference"/>
        </w:rPr>
        <w:footnoteRef/>
      </w:r>
      <w:r>
        <w:t xml:space="preserve"> Navigant referred to this source only in cases where CLASS and CSS did not have the required data.</w:t>
      </w:r>
    </w:p>
  </w:footnote>
  <w:footnote w:id="59">
    <w:p w14:paraId="2E1624BC" w14:textId="77777777" w:rsidR="006F57E9" w:rsidRDefault="006F57E9" w:rsidP="001326E6">
      <w:pPr>
        <w:pStyle w:val="FootnoteText"/>
      </w:pPr>
      <w:r w:rsidRPr="00074DC1">
        <w:rPr>
          <w:rStyle w:val="FootnoteReference"/>
        </w:rPr>
        <w:footnoteRef/>
      </w:r>
      <w:r w:rsidRPr="00074DC1">
        <w:t xml:space="preserve"> </w:t>
      </w:r>
      <w:hyperlink r:id="rId17" w:history="1">
        <w:r w:rsidRPr="00074DC1">
          <w:rPr>
            <w:rStyle w:val="Hyperlink"/>
            <w:sz w:val="16"/>
          </w:rPr>
          <w:t>http://www.cpuc.ca.gov/General.aspx?id=6442452619</w:t>
        </w:r>
      </w:hyperlink>
    </w:p>
  </w:footnote>
  <w:footnote w:id="60">
    <w:p w14:paraId="228C1D5C" w14:textId="77777777" w:rsidR="006F57E9" w:rsidRDefault="006F57E9" w:rsidP="001C1CDC">
      <w:pPr>
        <w:pStyle w:val="FootnoteText"/>
      </w:pPr>
      <w:r>
        <w:rPr>
          <w:rStyle w:val="FootnoteReference"/>
        </w:rPr>
        <w:footnoteRef/>
      </w:r>
      <w:r>
        <w:t xml:space="preserve"> Navigant defined a record as a unique EEStats program identification or ProgramID field, e.g., PGE21021.</w:t>
      </w:r>
    </w:p>
  </w:footnote>
  <w:footnote w:id="61">
    <w:p w14:paraId="744F1CD3" w14:textId="77777777" w:rsidR="006F57E9" w:rsidRDefault="006F57E9" w:rsidP="0088698C">
      <w:pPr>
        <w:pStyle w:val="FootnoteText"/>
      </w:pPr>
      <w:r>
        <w:rPr>
          <w:rStyle w:val="FootnoteReference"/>
        </w:rPr>
        <w:footnoteRef/>
      </w:r>
      <w:r>
        <w:t xml:space="preserve"> The complete list of technology groups is presented in the MICS database. </w:t>
      </w:r>
    </w:p>
  </w:footnote>
  <w:footnote w:id="62">
    <w:p w14:paraId="1A11B2A8" w14:textId="77777777" w:rsidR="006F57E9" w:rsidRPr="002C5474" w:rsidRDefault="006F57E9" w:rsidP="0088698C">
      <w:pPr>
        <w:rPr>
          <w:sz w:val="18"/>
          <w:szCs w:val="18"/>
        </w:rPr>
      </w:pPr>
      <w:r w:rsidRPr="005613E0">
        <w:rPr>
          <w:rStyle w:val="FootnoteReference"/>
          <w:sz w:val="16"/>
          <w:szCs w:val="16"/>
        </w:rPr>
        <w:footnoteRef/>
      </w:r>
      <w:r w:rsidRPr="005613E0">
        <w:rPr>
          <w:sz w:val="16"/>
          <w:szCs w:val="16"/>
        </w:rPr>
        <w:t xml:space="preserve"> </w:t>
      </w:r>
      <w:r w:rsidRPr="002C5474">
        <w:rPr>
          <w:sz w:val="16"/>
          <w:szCs w:val="16"/>
        </w:rPr>
        <w:t>Note that the technology list does not include “</w:t>
      </w:r>
      <w:r>
        <w:rPr>
          <w:sz w:val="16"/>
          <w:szCs w:val="16"/>
        </w:rPr>
        <w:t>Emerging Technologies,</w:t>
      </w:r>
      <w:r w:rsidRPr="002C5474">
        <w:rPr>
          <w:sz w:val="16"/>
          <w:szCs w:val="16"/>
        </w:rPr>
        <w:t>” “Interventions (BROS)</w:t>
      </w:r>
      <w:r>
        <w:rPr>
          <w:sz w:val="16"/>
          <w:szCs w:val="16"/>
        </w:rPr>
        <w:t>,</w:t>
      </w:r>
      <w:r w:rsidRPr="002C5474">
        <w:rPr>
          <w:sz w:val="16"/>
          <w:szCs w:val="16"/>
        </w:rPr>
        <w:t>”</w:t>
      </w:r>
      <w:r>
        <w:rPr>
          <w:sz w:val="16"/>
          <w:szCs w:val="16"/>
        </w:rPr>
        <w:t xml:space="preserve"> or “Generic Custom” technologies.</w:t>
      </w:r>
      <w:r w:rsidRPr="002C5474">
        <w:rPr>
          <w:sz w:val="16"/>
          <w:szCs w:val="16"/>
        </w:rPr>
        <w:t xml:space="preserve"> The approach used for selection and characterization of the</w:t>
      </w:r>
      <w:r>
        <w:rPr>
          <w:sz w:val="16"/>
          <w:szCs w:val="16"/>
        </w:rPr>
        <w:t xml:space="preserve"> non-diffusion</w:t>
      </w:r>
      <w:r w:rsidRPr="002C5474">
        <w:rPr>
          <w:sz w:val="16"/>
          <w:szCs w:val="16"/>
        </w:rPr>
        <w:t xml:space="preserve"> measures are discussed in separate sections of this report. </w:t>
      </w:r>
      <w:r w:rsidRPr="005613E0">
        <w:rPr>
          <w:sz w:val="16"/>
          <w:szCs w:val="16"/>
        </w:rPr>
        <w:t>Please refer to the MICS database for a complete list of technologies included in the study.</w:t>
      </w:r>
      <w:r>
        <w:rPr>
          <w:sz w:val="18"/>
          <w:szCs w:val="18"/>
        </w:rPr>
        <w:t xml:space="preserve"> </w:t>
      </w:r>
    </w:p>
  </w:footnote>
  <w:footnote w:id="63">
    <w:p w14:paraId="33FF8F01" w14:textId="77777777" w:rsidR="006F57E9" w:rsidRDefault="006F57E9" w:rsidP="00FB21C6">
      <w:pPr>
        <w:pStyle w:val="FootnoteText"/>
      </w:pPr>
      <w:r>
        <w:rPr>
          <w:rStyle w:val="FootnoteReference"/>
        </w:rPr>
        <w:footnoteRef/>
      </w:r>
      <w:r>
        <w:t xml:space="preserve"> </w:t>
      </w:r>
      <w:r w:rsidRPr="007E3E76">
        <w:rPr>
          <w:szCs w:val="16"/>
        </w:rPr>
        <w:t>https://energy.gov/eere/amo/industrial-assessment-centers-iacs</w:t>
      </w:r>
    </w:p>
  </w:footnote>
  <w:footnote w:id="64">
    <w:p w14:paraId="6E1DE723" w14:textId="77777777" w:rsidR="006F57E9" w:rsidRDefault="006F57E9">
      <w:pPr>
        <w:pStyle w:val="FootnoteText"/>
      </w:pPr>
      <w:r>
        <w:rPr>
          <w:rStyle w:val="FootnoteReference"/>
        </w:rPr>
        <w:footnoteRef/>
      </w:r>
      <w:r>
        <w:t xml:space="preserve"> Other sources include the Pennsylvania TRM (</w:t>
      </w:r>
      <w:r w:rsidRPr="006F2766">
        <w:t>http://www.puc.pa.gov/filing_resources/issues_laws_regulations/act_129_information/technical_reference_manual.aspx</w:t>
      </w:r>
      <w:r>
        <w:t>); the Illinois TRM (</w:t>
      </w:r>
      <w:hyperlink r:id="rId18" w:history="1">
        <w:r w:rsidRPr="00AD4D3D">
          <w:rPr>
            <w:rStyle w:val="Hyperlink"/>
            <w:sz w:val="16"/>
          </w:rPr>
          <w:t>http://www.ilsag.info/technical-reference-manual.html</w:t>
        </w:r>
      </w:hyperlink>
      <w:r>
        <w:t>); the Michigan Energy Measures Database (</w:t>
      </w:r>
      <w:hyperlink r:id="rId19" w:history="1">
        <w:r w:rsidRPr="00AD4D3D">
          <w:rPr>
            <w:rStyle w:val="Hyperlink"/>
            <w:sz w:val="16"/>
          </w:rPr>
          <w:t>http://www.michigan.gov/mpsc/0,4639,7-159-52495_55129---,00.html</w:t>
        </w:r>
      </w:hyperlink>
      <w:r>
        <w:t>); and the Wisconsin TRM (</w:t>
      </w:r>
      <w:r w:rsidRPr="004472AB">
        <w:t>http://dsmexplorer.esource.com/documents/Wisconsin%20-%2010.22.2015%20-%202016%20TRM.pdf</w:t>
      </w:r>
      <w:r>
        <w:t>). See the Agriculture MICS for more detail on which measures these sources informed.</w:t>
      </w:r>
    </w:p>
  </w:footnote>
  <w:footnote w:id="65">
    <w:p w14:paraId="0C391863" w14:textId="77777777" w:rsidR="006F57E9" w:rsidRDefault="006F57E9" w:rsidP="00FB21C6">
      <w:pPr>
        <w:pStyle w:val="FootnoteText"/>
      </w:pPr>
      <w:r>
        <w:rPr>
          <w:rStyle w:val="FootnoteReference"/>
        </w:rPr>
        <w:footnoteRef/>
      </w:r>
      <w:r>
        <w:t xml:space="preserve"> The IAC recommendations cover upgrades to</w:t>
      </w:r>
      <w:r w:rsidRPr="00F60B5F">
        <w:t xml:space="preserve"> inefficient equipment</w:t>
      </w:r>
      <w:r>
        <w:t>, the addition of energy reducing technologies to existing equipment, and improvements to</w:t>
      </w:r>
      <w:r w:rsidRPr="00F60B5F">
        <w:t xml:space="preserve"> industrial processes through controls</w:t>
      </w:r>
      <w:r>
        <w:t>.</w:t>
      </w:r>
    </w:p>
  </w:footnote>
  <w:footnote w:id="66">
    <w:p w14:paraId="05694C62" w14:textId="77777777" w:rsidR="006F57E9" w:rsidRDefault="006F57E9" w:rsidP="00FB21C6">
      <w:pPr>
        <w:pStyle w:val="FootnoteText"/>
      </w:pPr>
      <w:r>
        <w:rPr>
          <w:rStyle w:val="FootnoteReference"/>
        </w:rPr>
        <w:footnoteRef/>
      </w:r>
      <w:r>
        <w:t xml:space="preserve"> The final percentages of savings by building type are a nationwide value. The IAC data does not contain enough assessment data points to calculate these values on a state or region level with any degree of statistical confidence. Further, Navigant’s vetting of IAC data during previous PG Study efforts determined that national-level IAC data is representative of California industrial sector activities.</w:t>
      </w:r>
    </w:p>
  </w:footnote>
  <w:footnote w:id="67">
    <w:p w14:paraId="33A40AD8" w14:textId="77777777" w:rsidR="006F57E9" w:rsidRPr="00595A79" w:rsidRDefault="006F57E9" w:rsidP="00952591">
      <w:pPr>
        <w:pStyle w:val="FootnoteText"/>
        <w:rPr>
          <w:szCs w:val="16"/>
        </w:rPr>
      </w:pPr>
      <w:r>
        <w:rPr>
          <w:rStyle w:val="FootnoteReference"/>
        </w:rPr>
        <w:footnoteRef/>
      </w:r>
      <w:r>
        <w:t xml:space="preserve"> </w:t>
      </w:r>
      <w:r w:rsidRPr="00595A79">
        <w:rPr>
          <w:szCs w:val="16"/>
        </w:rPr>
        <w:t xml:space="preserve">The 75% applicability identifies the amount of industrial lighting that is available for lighting upgrades or controls. Based on professional judgement, Navigant assumes that 25% of industrial lighting cannot be upgraded or controlled due to various accessibility and hours of use considerations. </w:t>
      </w:r>
    </w:p>
  </w:footnote>
  <w:footnote w:id="68">
    <w:p w14:paraId="3740BFA2" w14:textId="77777777" w:rsidR="006F57E9" w:rsidRDefault="006F57E9">
      <w:pPr>
        <w:pStyle w:val="FootnoteText"/>
      </w:pPr>
      <w:r>
        <w:rPr>
          <w:rStyle w:val="FootnoteReference"/>
        </w:rPr>
        <w:footnoteRef/>
      </w:r>
      <w:r>
        <w:t xml:space="preserve"> The costs in EEStats include labor to represent the full incremental cost of implementation.</w:t>
      </w:r>
    </w:p>
  </w:footnote>
  <w:footnote w:id="69">
    <w:p w14:paraId="4A048869" w14:textId="77777777" w:rsidR="006F57E9" w:rsidRPr="00C34F94" w:rsidRDefault="006F57E9" w:rsidP="00952591">
      <w:pPr>
        <w:pStyle w:val="FootnoteText"/>
        <w:rPr>
          <w:szCs w:val="16"/>
        </w:rPr>
      </w:pPr>
      <w:r>
        <w:rPr>
          <w:rStyle w:val="FootnoteReference"/>
        </w:rPr>
        <w:footnoteRef/>
      </w:r>
      <w:r>
        <w:t xml:space="preserve"> </w:t>
      </w:r>
      <w:r w:rsidRPr="00C34F94">
        <w:rPr>
          <w:szCs w:val="16"/>
        </w:rPr>
        <w:t>The IAC recommendations do not provide a density of efficient equipment in the marketplace because the inverse of the assumption regarding recommendations is not true (i.e., just because an industrial facility did not receive a recommendation, does not mean they already have the efficient version of the recommendation installed).</w:t>
      </w:r>
    </w:p>
  </w:footnote>
  <w:footnote w:id="70">
    <w:p w14:paraId="2AF206D4" w14:textId="77777777" w:rsidR="006F57E9" w:rsidRDefault="006F57E9" w:rsidP="00874242">
      <w:pPr>
        <w:pStyle w:val="FootnoteText"/>
      </w:pPr>
      <w:r>
        <w:rPr>
          <w:rStyle w:val="FootnoteReference"/>
        </w:rPr>
        <w:footnoteRef/>
      </w:r>
      <w:r>
        <w:t xml:space="preserve"> </w:t>
      </w:r>
      <w:r w:rsidRPr="00081959">
        <w:t>http://www.cpuc.ca.gov/General.aspx?id=2013</w:t>
      </w:r>
    </w:p>
  </w:footnote>
  <w:footnote w:id="71">
    <w:p w14:paraId="21FCAEF6" w14:textId="77777777" w:rsidR="006F57E9" w:rsidRDefault="006F57E9" w:rsidP="00874242">
      <w:pPr>
        <w:pStyle w:val="FootnoteText"/>
      </w:pPr>
      <w:r>
        <w:rPr>
          <w:rStyle w:val="FootnoteReference"/>
        </w:rPr>
        <w:footnoteRef/>
      </w:r>
      <w:r>
        <w:t xml:space="preserve"> </w:t>
      </w:r>
      <w:r w:rsidRPr="00081959">
        <w:t>http://www.conservation.ca.gov/dog</w:t>
      </w:r>
    </w:p>
  </w:footnote>
  <w:footnote w:id="72">
    <w:p w14:paraId="75D0D2D4" w14:textId="77777777" w:rsidR="006F57E9" w:rsidRDefault="006F57E9" w:rsidP="00874242">
      <w:pPr>
        <w:pStyle w:val="FootnoteText"/>
      </w:pPr>
      <w:r>
        <w:rPr>
          <w:rStyle w:val="FootnoteReference"/>
        </w:rPr>
        <w:footnoteRef/>
      </w:r>
      <w:r>
        <w:t xml:space="preserve"> </w:t>
      </w:r>
      <w:r w:rsidRPr="00081959">
        <w:t>http://www.conservation.ca.gov/dog/pubs_stats/annual_reports/Pages/annual_reports.aspx</w:t>
      </w:r>
    </w:p>
  </w:footnote>
  <w:footnote w:id="73">
    <w:p w14:paraId="67350972" w14:textId="77777777" w:rsidR="006F57E9" w:rsidRDefault="006F57E9" w:rsidP="00874242">
      <w:pPr>
        <w:pStyle w:val="FootnoteText"/>
      </w:pPr>
      <w:r>
        <w:rPr>
          <w:rStyle w:val="FootnoteReference"/>
        </w:rPr>
        <w:footnoteRef/>
      </w:r>
      <w:r>
        <w:t xml:space="preserve"> </w:t>
      </w:r>
      <w:r w:rsidRPr="00081959">
        <w:t>http://www.cpuc.ca.gov/General.aspx?id=2013</w:t>
      </w:r>
    </w:p>
  </w:footnote>
  <w:footnote w:id="74">
    <w:p w14:paraId="78B8531F" w14:textId="77777777" w:rsidR="006F57E9" w:rsidRDefault="006F57E9" w:rsidP="00874242">
      <w:pPr>
        <w:pStyle w:val="FootnoteText"/>
      </w:pPr>
      <w:r>
        <w:rPr>
          <w:rStyle w:val="FootnoteReference"/>
        </w:rPr>
        <w:footnoteRef/>
      </w:r>
      <w:r>
        <w:t xml:space="preserve"> Example from SCE: </w:t>
      </w:r>
      <w:r w:rsidRPr="00860882">
        <w:t>https://www.sce.com/NR/sc3/tm2/pdf/ce37-12.pdf</w:t>
      </w:r>
    </w:p>
  </w:footnote>
  <w:footnote w:id="75">
    <w:p w14:paraId="5259BE01" w14:textId="77777777" w:rsidR="006F57E9" w:rsidRDefault="006F57E9" w:rsidP="00874242">
      <w:pPr>
        <w:pStyle w:val="FootnoteText"/>
      </w:pPr>
      <w:r>
        <w:rPr>
          <w:rStyle w:val="FootnoteReference"/>
        </w:rPr>
        <w:footnoteRef/>
      </w:r>
      <w:r>
        <w:t xml:space="preserve"> 2014 report: </w:t>
      </w:r>
      <w:hyperlink r:id="rId20" w:history="1">
        <w:r w:rsidRPr="001359BA">
          <w:rPr>
            <w:rStyle w:val="Hyperlink"/>
            <w:sz w:val="16"/>
          </w:rPr>
          <w:t>https://energy.gov/sites/prod/files/2015/05/f22/energysavingsforecast14.pdf</w:t>
        </w:r>
      </w:hyperlink>
      <w:r>
        <w:t xml:space="preserve">; 2016 report: </w:t>
      </w:r>
      <w:r w:rsidRPr="000D7F3A">
        <w:t>https://energy.gov/sites/prod/files/2016/10/f33/energysavingsforecast16_0.pdf</w:t>
      </w:r>
    </w:p>
  </w:footnote>
  <w:footnote w:id="76">
    <w:p w14:paraId="57DAFC03" w14:textId="77777777" w:rsidR="006F57E9" w:rsidRDefault="006F57E9" w:rsidP="0097308A">
      <w:pPr>
        <w:pStyle w:val="FootnoteText"/>
      </w:pPr>
      <w:r>
        <w:rPr>
          <w:rStyle w:val="FootnoteReference"/>
        </w:rPr>
        <w:footnoteRef/>
      </w:r>
      <w:r>
        <w:t xml:space="preserve"> </w:t>
      </w:r>
      <w:hyperlink r:id="rId21" w:history="1">
        <w:r w:rsidRPr="007D4A2A">
          <w:rPr>
            <w:rStyle w:val="Hyperlink"/>
            <w:sz w:val="16"/>
            <w:szCs w:val="16"/>
          </w:rPr>
          <w:t>http://eestats.cpuc.ca.gov/Default.aspx</w:t>
        </w:r>
      </w:hyperlink>
    </w:p>
  </w:footnote>
  <w:footnote w:id="77">
    <w:p w14:paraId="0702DC28" w14:textId="77777777" w:rsidR="006F57E9" w:rsidRDefault="006F57E9" w:rsidP="002D74A6">
      <w:pPr>
        <w:pStyle w:val="FootnoteText"/>
      </w:pPr>
      <w:r>
        <w:rPr>
          <w:rStyle w:val="FootnoteReference"/>
        </w:rPr>
        <w:footnoteRef/>
      </w:r>
      <w:r>
        <w:t xml:space="preserve"> The emerging “technologies” represent a process for reducing energy consumption and not necessarily a specific technology. </w:t>
      </w:r>
    </w:p>
  </w:footnote>
  <w:footnote w:id="78">
    <w:p w14:paraId="13C48E93" w14:textId="77777777" w:rsidR="006F57E9" w:rsidRDefault="006F57E9" w:rsidP="0055163F">
      <w:pPr>
        <w:pStyle w:val="FootnoteText"/>
      </w:pPr>
      <w:r>
        <w:rPr>
          <w:rStyle w:val="FootnoteReference"/>
        </w:rPr>
        <w:footnoteRef/>
      </w:r>
      <w:r>
        <w:t xml:space="preserve"> Decision Approving 2013-2014 Energy Efficiency Programs and Budgets, p. 77; AB802 </w:t>
      </w:r>
    </w:p>
  </w:footnote>
  <w:footnote w:id="79">
    <w:p w14:paraId="769E5F09" w14:textId="77777777" w:rsidR="006F57E9" w:rsidRDefault="006F57E9">
      <w:pPr>
        <w:pStyle w:val="FootnoteText"/>
      </w:pPr>
      <w:r>
        <w:rPr>
          <w:rStyle w:val="FootnoteReference"/>
        </w:rPr>
        <w:footnoteRef/>
      </w:r>
      <w:r>
        <w:t xml:space="preserve"> With the exception of gas savings at dual fuel utilities for the following building types: office, retail, school, and health</w:t>
      </w:r>
    </w:p>
  </w:footnote>
  <w:footnote w:id="80">
    <w:p w14:paraId="34B0E0F8" w14:textId="77777777" w:rsidR="006F57E9" w:rsidRPr="003C0771" w:rsidRDefault="006F57E9" w:rsidP="006B44D0">
      <w:pPr>
        <w:pStyle w:val="FootnoteText"/>
      </w:pPr>
      <w:r>
        <w:rPr>
          <w:rStyle w:val="FootnoteReference"/>
        </w:rPr>
        <w:footnoteRef/>
      </w:r>
      <w:r>
        <w:t xml:space="preserve"> </w:t>
      </w:r>
      <w:r w:rsidRPr="00CF1057">
        <w:t>Cadmus, Energy Services Division and DNV GL</w:t>
      </w:r>
      <w:r w:rsidRPr="00C7205C">
        <w:rPr>
          <w:i/>
        </w:rPr>
        <w:t>. Integrated Standards Savings Model (ISSM).</w:t>
      </w:r>
      <w:r>
        <w:t xml:space="preserve"> 2016.</w:t>
      </w:r>
    </w:p>
  </w:footnote>
  <w:footnote w:id="81">
    <w:p w14:paraId="00B357F3" w14:textId="77777777" w:rsidR="006F57E9" w:rsidRDefault="006F57E9">
      <w:pPr>
        <w:pStyle w:val="FootnoteText"/>
      </w:pPr>
      <w:r>
        <w:rPr>
          <w:rStyle w:val="FootnoteReference"/>
        </w:rPr>
        <w:footnoteRef/>
      </w:r>
      <w:r>
        <w:t xml:space="preserve"> Draft data from Phase 2 ISSM released in May 2017 was not incorporated into this analysis as it is still considered draft and not a final , vetted, approved CPUC product. </w:t>
      </w:r>
    </w:p>
  </w:footnote>
  <w:footnote w:id="82">
    <w:p w14:paraId="7B41AE2F" w14:textId="77777777" w:rsidR="006F57E9" w:rsidRDefault="006F57E9" w:rsidP="006B44D0">
      <w:pPr>
        <w:pStyle w:val="FootnoteText"/>
      </w:pPr>
      <w:r>
        <w:rPr>
          <w:rStyle w:val="FootnoteReference"/>
        </w:rPr>
        <w:footnoteRef/>
      </w:r>
      <w:r>
        <w:t xml:space="preserve"> Julie Liberzon. PG&amp;E. January 3, 2017. Personal email communication in response to CPUC data request.</w:t>
      </w:r>
    </w:p>
  </w:footnote>
  <w:footnote w:id="83">
    <w:p w14:paraId="21C44806" w14:textId="77777777" w:rsidR="006F57E9" w:rsidRDefault="006F57E9" w:rsidP="006B44D0">
      <w:pPr>
        <w:pStyle w:val="FootnoteText"/>
      </w:pPr>
      <w:r>
        <w:rPr>
          <w:rStyle w:val="FootnoteReference"/>
        </w:rPr>
        <w:footnoteRef/>
      </w:r>
      <w:r>
        <w:t xml:space="preserve"> </w:t>
      </w:r>
      <w:r w:rsidRPr="00CF1057">
        <w:t xml:space="preserve">Navigant Consulting, Inc. </w:t>
      </w:r>
      <w:r>
        <w:rPr>
          <w:i/>
        </w:rPr>
        <w:t>Energy Efficiency Potential and Goals Study for 2015 and Beyond</w:t>
      </w:r>
      <w:r w:rsidRPr="00CF1057">
        <w:t xml:space="preserve">. </w:t>
      </w:r>
      <w:r>
        <w:t>September</w:t>
      </w:r>
      <w:r w:rsidRPr="00CF1057">
        <w:t xml:space="preserve"> 201</w:t>
      </w:r>
      <w:r>
        <w:t>5</w:t>
      </w:r>
      <w:r w:rsidRPr="00CF1057">
        <w:t>.</w:t>
      </w:r>
    </w:p>
  </w:footnote>
  <w:footnote w:id="84">
    <w:p w14:paraId="020BD272" w14:textId="77777777" w:rsidR="006F57E9" w:rsidRDefault="006F57E9" w:rsidP="006B44D0">
      <w:pPr>
        <w:pStyle w:val="FootnoteText"/>
      </w:pPr>
      <w:r>
        <w:rPr>
          <w:rStyle w:val="FootnoteReference"/>
        </w:rPr>
        <w:footnoteRef/>
      </w:r>
      <w:r>
        <w:t xml:space="preserve"> </w:t>
      </w:r>
      <w:r w:rsidRPr="00B433A3">
        <w:t xml:space="preserve">Cadmus, Energy Services Division and DNV GL. Statewide Codes and Standards Program </w:t>
      </w:r>
      <w:r>
        <w:t xml:space="preserve">Appendices to </w:t>
      </w:r>
      <w:r w:rsidRPr="00B433A3">
        <w:t>Impact Evaluation Report for Program Years 2010-2012. August 2014</w:t>
      </w:r>
      <w:r>
        <w:t>.</w:t>
      </w:r>
    </w:p>
  </w:footnote>
  <w:footnote w:id="85">
    <w:p w14:paraId="1A94FEBD" w14:textId="77777777" w:rsidR="006F57E9" w:rsidRDefault="006F57E9" w:rsidP="00B56A32">
      <w:pPr>
        <w:pStyle w:val="FootnoteText"/>
      </w:pPr>
      <w:r>
        <w:rPr>
          <w:rStyle w:val="FootnoteReference"/>
        </w:rPr>
        <w:footnoteRef/>
      </w:r>
      <w:r>
        <w:t xml:space="preserve"> CPUC Decision 12-05-2015, May 8, 2012 and Decision Approving 2013-14 Energy Efficiency Programs and Budgets, October 9, 2012</w:t>
      </w:r>
    </w:p>
  </w:footnote>
  <w:footnote w:id="86">
    <w:p w14:paraId="60FD494A" w14:textId="77777777" w:rsidR="006F57E9" w:rsidRDefault="006F57E9" w:rsidP="007370A3">
      <w:pPr>
        <w:pStyle w:val="FootnoteText"/>
      </w:pPr>
      <w:r>
        <w:rPr>
          <w:rStyle w:val="FootnoteReference"/>
        </w:rPr>
        <w:footnoteRef/>
      </w:r>
      <w:r>
        <w:t xml:space="preserve"> REEL Lenders Chart. Available at: </w:t>
      </w:r>
      <w:hyperlink r:id="rId22" w:history="1">
        <w:r w:rsidRPr="008E222B">
          <w:rPr>
            <w:rStyle w:val="Hyperlink"/>
            <w:sz w:val="16"/>
          </w:rPr>
          <w:t>http://www.thecheef.com/lender-chart</w:t>
        </w:r>
      </w:hyperlink>
      <w:r>
        <w:t xml:space="preserve"> </w:t>
      </w:r>
    </w:p>
  </w:footnote>
  <w:footnote w:id="87">
    <w:p w14:paraId="6FF1884D" w14:textId="77777777" w:rsidR="006F57E9" w:rsidRDefault="006F57E9" w:rsidP="007370A3">
      <w:pPr>
        <w:pStyle w:val="FootnoteText"/>
      </w:pPr>
      <w:r>
        <w:rPr>
          <w:rStyle w:val="FootnoteReference"/>
        </w:rPr>
        <w:footnoteRef/>
      </w:r>
      <w:r>
        <w:t xml:space="preserve"> Ibid. </w:t>
      </w:r>
    </w:p>
  </w:footnote>
  <w:footnote w:id="88">
    <w:p w14:paraId="2006EBCF" w14:textId="77777777" w:rsidR="006F57E9" w:rsidRDefault="006F57E9" w:rsidP="007370A3">
      <w:pPr>
        <w:pStyle w:val="FootnoteText"/>
      </w:pPr>
      <w:r>
        <w:rPr>
          <w:rStyle w:val="FootnoteReference"/>
        </w:rPr>
        <w:footnoteRef/>
      </w:r>
      <w:r>
        <w:t xml:space="preserve"> For example, see: </w:t>
      </w:r>
      <w:hyperlink r:id="rId23" w:history="1">
        <w:r w:rsidRPr="008E222B">
          <w:rPr>
            <w:rStyle w:val="Hyperlink"/>
            <w:sz w:val="16"/>
          </w:rPr>
          <w:t>http://www.gao.gov/assets/690/682586.pdf</w:t>
        </w:r>
      </w:hyperlink>
      <w:r>
        <w:t xml:space="preserve"> </w:t>
      </w:r>
    </w:p>
  </w:footnote>
  <w:footnote w:id="89">
    <w:p w14:paraId="44912529" w14:textId="77777777" w:rsidR="006F57E9" w:rsidRDefault="006F57E9" w:rsidP="007370A3">
      <w:pPr>
        <w:pStyle w:val="FootnoteText"/>
        <w:spacing w:after="0"/>
      </w:pPr>
      <w:r>
        <w:rPr>
          <w:rStyle w:val="FootnoteReference"/>
        </w:rPr>
        <w:footnoteRef/>
      </w:r>
      <w:r>
        <w:t xml:space="preserve"> Hausman, Jerry. </w:t>
      </w:r>
      <w:r>
        <w:rPr>
          <w:rFonts w:cs="Arial"/>
          <w:bCs/>
        </w:rPr>
        <w:t xml:space="preserve">Individual Discount Rates and the Purchase and Utilization of Energy-Using Durables. The Bell Journal of Economics, Vol. 10, No. 1. Spring 1979. </w:t>
      </w:r>
    </w:p>
  </w:footnote>
  <w:footnote w:id="90">
    <w:p w14:paraId="0F4B823E" w14:textId="77777777" w:rsidR="006F57E9" w:rsidRDefault="006F57E9" w:rsidP="007370A3">
      <w:pPr>
        <w:pStyle w:val="FootnoteText"/>
        <w:spacing w:after="0"/>
      </w:pPr>
      <w:r>
        <w:rPr>
          <w:rStyle w:val="FootnoteReference"/>
        </w:rPr>
        <w:footnoteRef/>
      </w:r>
      <w:r>
        <w:t xml:space="preserve"> The affordable housing market segment is the current focus of the proposed EE financing programs. Due to legal and regulatory</w:t>
      </w:r>
    </w:p>
    <w:p w14:paraId="5ED05106" w14:textId="77777777" w:rsidR="006F57E9" w:rsidRDefault="006F57E9" w:rsidP="007370A3">
      <w:pPr>
        <w:pStyle w:val="FootnoteText"/>
        <w:spacing w:after="0"/>
      </w:pPr>
      <w:r>
        <w:t>issues, OBR is not a viable option except master-metered properties.</w:t>
      </w:r>
    </w:p>
  </w:footnote>
  <w:footnote w:id="91">
    <w:p w14:paraId="78C13E79" w14:textId="77777777" w:rsidR="006F57E9" w:rsidRDefault="006F57E9" w:rsidP="007370A3">
      <w:pPr>
        <w:pStyle w:val="FootnoteText"/>
      </w:pPr>
      <w:r>
        <w:rPr>
          <w:rStyle w:val="FootnoteReference"/>
        </w:rPr>
        <w:footnoteRef/>
      </w:r>
      <w:r>
        <w:t xml:space="preserve"> SEEaction OBF report, Appendix A </w:t>
      </w:r>
      <w:hyperlink r:id="rId24" w:history="1">
        <w:r w:rsidRPr="008E222B">
          <w:rPr>
            <w:rStyle w:val="Hyperlink"/>
            <w:sz w:val="16"/>
          </w:rPr>
          <w:t>https://www4.eere.energy.gov/seeaction/system/files/documents/publications/chapters/onbill_financing_appendix.pdf</w:t>
        </w:r>
      </w:hyperlink>
      <w:r>
        <w:t xml:space="preserve"> </w:t>
      </w:r>
    </w:p>
    <w:p w14:paraId="2886AC5B" w14:textId="77777777" w:rsidR="006F57E9" w:rsidRDefault="006F57E9" w:rsidP="007370A3">
      <w:pPr>
        <w:pStyle w:val="FootnoteText"/>
      </w:pPr>
    </w:p>
  </w:footnote>
  <w:footnote w:id="92">
    <w:p w14:paraId="518EF766" w14:textId="77777777" w:rsidR="006F57E9" w:rsidRDefault="006F57E9" w:rsidP="008B6027">
      <w:pPr>
        <w:pStyle w:val="FootnoteText"/>
      </w:pPr>
      <w:r>
        <w:rPr>
          <w:rStyle w:val="FootnoteReference"/>
        </w:rPr>
        <w:footnoteRef/>
      </w:r>
      <w:r>
        <w:t xml:space="preserve"> </w:t>
      </w:r>
      <w:r w:rsidRPr="003725D2">
        <w:rPr>
          <w:szCs w:val="16"/>
        </w:rPr>
        <w:t xml:space="preserve">Savings as a percent of sales reflects the value calculated when dividing energy efficiency potential in any given year by the forecasted energy consumption for that year. Forecasted energy consumption is sourced from the CEC.  </w:t>
      </w:r>
    </w:p>
  </w:footnote>
  <w:footnote w:id="93">
    <w:p w14:paraId="74B5E3CF" w14:textId="77777777" w:rsidR="006F57E9" w:rsidRDefault="006F57E9">
      <w:pPr>
        <w:pStyle w:val="FootnoteText"/>
      </w:pPr>
      <w:r>
        <w:rPr>
          <w:rStyle w:val="FootnoteReference"/>
        </w:rPr>
        <w:footnoteRef/>
      </w:r>
      <w:r>
        <w:t xml:space="preserve"> See </w:t>
      </w:r>
      <w:hyperlink r:id="rId25" w:history="1">
        <w:r w:rsidRPr="002A012E">
          <w:rPr>
            <w:rStyle w:val="Hyperlink"/>
            <w:sz w:val="16"/>
          </w:rPr>
          <w:t>http://eestats.cpuc.ca.gov</w:t>
        </w:r>
      </w:hyperlink>
    </w:p>
  </w:footnote>
  <w:footnote w:id="94">
    <w:p w14:paraId="00F181A7" w14:textId="77777777" w:rsidR="006F57E9" w:rsidRDefault="006F57E9" w:rsidP="00E01C42">
      <w:pPr>
        <w:pStyle w:val="FootnoteText"/>
      </w:pPr>
      <w:r>
        <w:rPr>
          <w:rStyle w:val="FootnoteReference"/>
        </w:rPr>
        <w:footnoteRef/>
      </w:r>
      <w:r>
        <w:t xml:space="preserve"> </w:t>
      </w:r>
      <w:r w:rsidRPr="00DF089C">
        <w:t>Kate Johnson and Eric Mackres, Scaling up Multifamily Energy Efficiency Programs: A Metropolitan Area Assessment, Report Number E135, March 2013, American Council for an Energy Efficient Economy, from http://www.prezcat.org/sites/default/files/Scaling%20up%20MF%20Energy%20Efficiency%20Programs_0.pdf</w:t>
      </w:r>
    </w:p>
  </w:footnote>
  <w:footnote w:id="95">
    <w:p w14:paraId="4C07841D" w14:textId="77777777" w:rsidR="006F57E9" w:rsidRDefault="006F57E9" w:rsidP="00AA5F34">
      <w:pPr>
        <w:pStyle w:val="FootnoteText"/>
      </w:pPr>
      <w:r>
        <w:rPr>
          <w:rStyle w:val="FootnoteReference"/>
        </w:rPr>
        <w:footnoteRef/>
      </w:r>
      <w:r>
        <w:t xml:space="preserve"> PG&amp;E, Application of Pacific Gas and Electric Company for Approval of 2018-2025 Rolling Portfolio Energy Efficiency Business Plan and Budget, Public Utilities Commission of the State of California, January 17, 2017</w:t>
      </w:r>
    </w:p>
    <w:p w14:paraId="576418F6" w14:textId="77777777" w:rsidR="006F57E9" w:rsidRDefault="006F57E9" w:rsidP="00AA5F34">
      <w:pPr>
        <w:pStyle w:val="FootnoteText"/>
      </w:pPr>
      <w:r>
        <w:t>SCE, Southern California Edison Company’s Energy Efficiency Rolling Portfolio Business Plan Application, Statewide Administration Approach, Public Utilities Commission of the State of California, January 17, 2017</w:t>
      </w:r>
    </w:p>
    <w:p w14:paraId="361E8529" w14:textId="77777777" w:rsidR="006F57E9" w:rsidRDefault="006F57E9" w:rsidP="00AA5F34">
      <w:pPr>
        <w:pStyle w:val="FootnoteText"/>
      </w:pPr>
      <w:r>
        <w:t>SDG&amp;E, Application of San Diego Gas &amp; Electric Company (U 902-M) to adopt Energy Efficiency Rolling Portfolio Business Plan Pursuant to Decision 16-08-019, Public Utilities Commission of the State of California, January 17, 2017</w:t>
      </w:r>
    </w:p>
    <w:p w14:paraId="4BE75008" w14:textId="77777777" w:rsidR="006F57E9" w:rsidRDefault="006F57E9" w:rsidP="00AA5F34">
      <w:pPr>
        <w:pStyle w:val="FootnoteText"/>
      </w:pPr>
      <w:r>
        <w:t>SCG, Energy Efficiency Business Plan for Southern California Gas Company, Public Utilities Commission of the State of California, January 17, 2017</w:t>
      </w:r>
    </w:p>
  </w:footnote>
  <w:footnote w:id="96">
    <w:p w14:paraId="03F63075" w14:textId="77777777" w:rsidR="006F57E9" w:rsidRDefault="006F57E9" w:rsidP="00E01C42">
      <w:pPr>
        <w:pStyle w:val="FootnoteText"/>
      </w:pPr>
      <w:r>
        <w:rPr>
          <w:rStyle w:val="FootnoteReference"/>
        </w:rPr>
        <w:footnoteRef/>
      </w:r>
      <w:r>
        <w:t xml:space="preserve"> </w:t>
      </w:r>
      <w:r w:rsidRPr="00DF089C">
        <w:t>DNV-GL, Review and Validation of 2014 Pacific Gas &amp; Electric Home Energy Reports Program Impacts (Final Report)</w:t>
      </w:r>
      <w:r>
        <w:t xml:space="preserve"> </w:t>
      </w:r>
      <w:r w:rsidRPr="00DF089C">
        <w:t>04/01/2016, California Public Utilities Commission, page 4, 19</w:t>
      </w:r>
    </w:p>
  </w:footnote>
  <w:footnote w:id="97">
    <w:p w14:paraId="16AD9B0C" w14:textId="77777777" w:rsidR="006F57E9" w:rsidRDefault="006F57E9" w:rsidP="00E01C42">
      <w:pPr>
        <w:pStyle w:val="FootnoteText"/>
      </w:pPr>
      <w:r>
        <w:rPr>
          <w:rStyle w:val="FootnoteReference"/>
        </w:rPr>
        <w:footnoteRef/>
      </w:r>
      <w:r>
        <w:t xml:space="preserve"> </w:t>
      </w:r>
      <w:r w:rsidRPr="00DF089C">
        <w:t>DNV-GL,2013 PG&amp;E Home Energy Reports Program Review and Validation of Impact Evaluation ED Res 3.1, April 06, 2015, California Public Utility Commission</w:t>
      </w:r>
    </w:p>
  </w:footnote>
  <w:footnote w:id="98">
    <w:p w14:paraId="1D21EB16" w14:textId="77777777" w:rsidR="006F57E9" w:rsidRDefault="006F57E9" w:rsidP="00E01C42">
      <w:pPr>
        <w:pStyle w:val="FootnoteText"/>
      </w:pPr>
      <w:r>
        <w:rPr>
          <w:rStyle w:val="FootnoteReference"/>
        </w:rPr>
        <w:footnoteRef/>
      </w:r>
      <w:r>
        <w:t xml:space="preserve"> </w:t>
      </w:r>
      <w:r w:rsidRPr="00DF089C">
        <w:t>DNV KEMA, Review of PG&amp;E Home Energy Reports Initiative Evaluation, 5-31-2013,</w:t>
      </w:r>
      <w:r>
        <w:t xml:space="preserve"> </w:t>
      </w:r>
      <w:r w:rsidRPr="00DF089C">
        <w:t>CPUC Energy Division</w:t>
      </w:r>
    </w:p>
  </w:footnote>
  <w:footnote w:id="99">
    <w:p w14:paraId="394468A9" w14:textId="77777777" w:rsidR="006F57E9" w:rsidRDefault="006F57E9" w:rsidP="00E01C42">
      <w:pPr>
        <w:pStyle w:val="FootnoteText"/>
      </w:pPr>
      <w:r>
        <w:rPr>
          <w:rStyle w:val="FootnoteReference"/>
        </w:rPr>
        <w:footnoteRef/>
      </w:r>
      <w:r>
        <w:t xml:space="preserve"> </w:t>
      </w:r>
      <w:r w:rsidRPr="00DF089C">
        <w:t>Freeman Sullivan and Company, Evaluation of Pacific Gas and Electric Company's Home Energy Report Initiative for the 2010–2012 Program, April 25, 2013, Pacific Gas and Electric Company, p 8, 26-31</w:t>
      </w:r>
    </w:p>
  </w:footnote>
  <w:footnote w:id="100">
    <w:p w14:paraId="106FE1AE" w14:textId="77777777" w:rsidR="006F57E9" w:rsidRDefault="006F57E9" w:rsidP="00E01C42">
      <w:pPr>
        <w:pStyle w:val="FootnoteText"/>
      </w:pPr>
      <w:r>
        <w:rPr>
          <w:rStyle w:val="FootnoteReference"/>
        </w:rPr>
        <w:footnoteRef/>
      </w:r>
      <w:r>
        <w:t xml:space="preserve"> </w:t>
      </w:r>
      <w:r w:rsidRPr="00DF089C">
        <w:t>DNV-GL, Review and Validation of 2014 Southern California Edison Home Energy Reports Program Impacts (Final Report)</w:t>
      </w:r>
      <w:r>
        <w:t xml:space="preserve"> </w:t>
      </w:r>
      <w:r w:rsidRPr="00DF089C">
        <w:t>04/01/2016, California Public Utilities Commission, page 3, 13</w:t>
      </w:r>
    </w:p>
  </w:footnote>
  <w:footnote w:id="101">
    <w:p w14:paraId="2F319239" w14:textId="77777777" w:rsidR="006F57E9" w:rsidRDefault="006F57E9" w:rsidP="00E01C42">
      <w:pPr>
        <w:pStyle w:val="FootnoteText"/>
      </w:pPr>
      <w:r>
        <w:rPr>
          <w:rStyle w:val="FootnoteReference"/>
        </w:rPr>
        <w:footnoteRef/>
      </w:r>
      <w:r>
        <w:t xml:space="preserve"> </w:t>
      </w:r>
      <w:r w:rsidRPr="00DF089C">
        <w:t>DNV-GL, 2013 SCE Home Energy Reports Program Review and Validation of Impact Evaluation ED Res 3.2, April 06, 2015, California Public Utilities Commission, p 3, 8</w:t>
      </w:r>
    </w:p>
  </w:footnote>
  <w:footnote w:id="102">
    <w:p w14:paraId="1BC36F86" w14:textId="77777777" w:rsidR="006F57E9" w:rsidRDefault="006F57E9" w:rsidP="00E01C42">
      <w:pPr>
        <w:pStyle w:val="FootnoteText"/>
      </w:pPr>
      <w:r>
        <w:rPr>
          <w:rStyle w:val="FootnoteReference"/>
        </w:rPr>
        <w:footnoteRef/>
      </w:r>
      <w:r>
        <w:t xml:space="preserve"> </w:t>
      </w:r>
      <w:r w:rsidRPr="00DF089C">
        <w:t xml:space="preserve">August 2015 Advanced Metering Semi-Annual report provided by SCG staff. Appendix E </w:t>
      </w:r>
      <w:r w:rsidRPr="00DF089C">
        <w:rPr>
          <w:rFonts w:ascii="Cambria Math" w:hAnsi="Cambria Math" w:cs="Cambria Math"/>
        </w:rPr>
        <w:t>‐</w:t>
      </w:r>
      <w:r w:rsidRPr="00DF089C">
        <w:t xml:space="preserve"> Nexant, Evaluation of Southern California Gas Company</w:t>
      </w:r>
      <w:r w:rsidRPr="00DF089C">
        <w:rPr>
          <w:rFonts w:cs="Arial"/>
        </w:rPr>
        <w:t>’</w:t>
      </w:r>
      <w:r w:rsidRPr="00DF089C">
        <w:t>s 2015</w:t>
      </w:r>
      <w:r w:rsidRPr="00DF089C">
        <w:rPr>
          <w:rFonts w:ascii="Cambria Math" w:hAnsi="Cambria Math" w:cs="Cambria Math"/>
        </w:rPr>
        <w:t>‐</w:t>
      </w:r>
      <w:r w:rsidRPr="00DF089C">
        <w:t>2016 Conservation Campaign, August 2016, August 31, 2016, page E3</w:t>
      </w:r>
    </w:p>
  </w:footnote>
  <w:footnote w:id="103">
    <w:p w14:paraId="339A20DA" w14:textId="77777777" w:rsidR="006F57E9" w:rsidRDefault="006F57E9" w:rsidP="00E01C42">
      <w:pPr>
        <w:pStyle w:val="FootnoteText"/>
      </w:pPr>
      <w:r>
        <w:rPr>
          <w:rStyle w:val="FootnoteReference"/>
        </w:rPr>
        <w:footnoteRef/>
      </w:r>
      <w:r>
        <w:t xml:space="preserve"> </w:t>
      </w:r>
      <w:r w:rsidRPr="00DF089C">
        <w:t>DNV-GL, Impact Evaluation of 2014 San Diego Gas &amp; Electric Home Energy Reports Program (Final Report), 04/01/2016, California Public Utilities Commission, page 3, 24</w:t>
      </w:r>
    </w:p>
  </w:footnote>
  <w:footnote w:id="104">
    <w:p w14:paraId="3AEB1560" w14:textId="77777777" w:rsidR="006F57E9" w:rsidRDefault="006F57E9" w:rsidP="00E01C42">
      <w:pPr>
        <w:pStyle w:val="FootnoteText"/>
      </w:pPr>
      <w:r>
        <w:rPr>
          <w:rStyle w:val="FootnoteReference"/>
        </w:rPr>
        <w:footnoteRef/>
      </w:r>
      <w:r>
        <w:t xml:space="preserve"> </w:t>
      </w:r>
      <w:r w:rsidRPr="00DF089C">
        <w:t>DNV-GL,</w:t>
      </w:r>
      <w:r>
        <w:t xml:space="preserve"> </w:t>
      </w:r>
      <w:r w:rsidRPr="00DF089C">
        <w:t>SDG&amp;E Home Energy Reports Program 2013 Impact Evaluation ED Res 3.3, October 17, 2014, California Public Utility Commission</w:t>
      </w:r>
    </w:p>
  </w:footnote>
  <w:footnote w:id="105">
    <w:p w14:paraId="679FD6F8" w14:textId="77777777" w:rsidR="006F57E9" w:rsidRDefault="006F57E9">
      <w:pPr>
        <w:pStyle w:val="FootnoteText"/>
      </w:pPr>
      <w:r>
        <w:rPr>
          <w:rStyle w:val="FootnoteReference"/>
        </w:rPr>
        <w:footnoteRef/>
      </w:r>
      <w:r>
        <w:t xml:space="preserve"> Informal comments on the webinar presented on April 20, 2017. </w:t>
      </w:r>
    </w:p>
  </w:footnote>
  <w:footnote w:id="106">
    <w:p w14:paraId="7A06D2CA" w14:textId="77777777" w:rsidR="006F57E9" w:rsidRDefault="006F57E9" w:rsidP="00E01C42">
      <w:pPr>
        <w:pStyle w:val="FootnoteText"/>
      </w:pPr>
      <w:r>
        <w:rPr>
          <w:rStyle w:val="FootnoteReference"/>
        </w:rPr>
        <w:footnoteRef/>
      </w:r>
      <w:r>
        <w:t xml:space="preserve"> </w:t>
      </w:r>
      <w:r w:rsidRPr="00E63387">
        <w:t>KEMA, SDG&amp;E Home Energy Reports Program Savings Results,</w:t>
      </w:r>
      <w:r>
        <w:t xml:space="preserve"> </w:t>
      </w:r>
      <w:r w:rsidRPr="00E63387">
        <w:t>August 23, 2013, San Diego Gas and Electric</w:t>
      </w:r>
    </w:p>
  </w:footnote>
  <w:footnote w:id="107">
    <w:p w14:paraId="72D18265" w14:textId="77777777" w:rsidR="006F57E9" w:rsidRDefault="006F57E9" w:rsidP="00E01C42">
      <w:pPr>
        <w:pStyle w:val="FootnoteText"/>
      </w:pPr>
      <w:r>
        <w:rPr>
          <w:rStyle w:val="FootnoteReference"/>
        </w:rPr>
        <w:footnoteRef/>
      </w:r>
      <w:r>
        <w:t xml:space="preserve"> </w:t>
      </w:r>
      <w:r w:rsidRPr="00DF089C">
        <w:t>Southern California Gas Company, 2013 Program Implementation Plan, California Public Utility Commission, sourced from http://eestats.cpuc.ca.gov/EEGA2010Files/SCG/PIP/2013/Clean/1.3%20Energy%20Advisor%20Attachment.pdf</w:t>
      </w:r>
    </w:p>
  </w:footnote>
  <w:footnote w:id="108">
    <w:p w14:paraId="6A8455FF" w14:textId="77777777" w:rsidR="006F57E9" w:rsidRDefault="006F57E9">
      <w:pPr>
        <w:pStyle w:val="FootnoteText"/>
      </w:pPr>
      <w:r>
        <w:rPr>
          <w:rStyle w:val="FootnoteReference"/>
        </w:rPr>
        <w:footnoteRef/>
      </w:r>
      <w:r>
        <w:t xml:space="preserve"> Informal comments on the webinar presented on April 20, 2017.</w:t>
      </w:r>
    </w:p>
  </w:footnote>
  <w:footnote w:id="109">
    <w:p w14:paraId="71E41AD5" w14:textId="77777777" w:rsidR="006F57E9" w:rsidRPr="00387C9B" w:rsidRDefault="006F57E9" w:rsidP="00E01C42">
      <w:pPr>
        <w:rPr>
          <w:sz w:val="16"/>
          <w:szCs w:val="20"/>
        </w:rPr>
      </w:pPr>
      <w:r w:rsidRPr="005F4903">
        <w:rPr>
          <w:sz w:val="16"/>
          <w:szCs w:val="20"/>
          <w:vertAlign w:val="superscript"/>
        </w:rPr>
        <w:footnoteRef/>
      </w:r>
      <w:r w:rsidRPr="005F4903">
        <w:rPr>
          <w:sz w:val="16"/>
          <w:szCs w:val="20"/>
        </w:rPr>
        <w:t xml:space="preserve"> </w:t>
      </w:r>
      <w:r w:rsidRPr="00387C9B">
        <w:rPr>
          <w:sz w:val="16"/>
          <w:szCs w:val="20"/>
        </w:rPr>
        <w:t>U.S. EIA Residential Energy Consumption Survey (RECS). “Table CE2.5 – Household Site Fuel Consumption in the West Region, Totals and Averages.” (2009). Available at: http://www.eia.gov/consumption/residential/data/2009/index.php?view=consumption#fuel-consumption</w:t>
      </w:r>
    </w:p>
  </w:footnote>
  <w:footnote w:id="110">
    <w:p w14:paraId="56E65F9A" w14:textId="77777777" w:rsidR="006F57E9" w:rsidRDefault="006F57E9">
      <w:pPr>
        <w:pStyle w:val="FootnoteText"/>
      </w:pPr>
      <w:r>
        <w:rPr>
          <w:rStyle w:val="FootnoteReference"/>
        </w:rPr>
        <w:footnoteRef/>
      </w:r>
      <w:r>
        <w:t xml:space="preserve"> Informal comments on the webinar presented on April 20, 2017.</w:t>
      </w:r>
    </w:p>
  </w:footnote>
  <w:footnote w:id="111">
    <w:p w14:paraId="5EEE8B75" w14:textId="77777777" w:rsidR="006F57E9" w:rsidRDefault="006F57E9">
      <w:pPr>
        <w:pStyle w:val="FootnoteText"/>
      </w:pPr>
      <w:r>
        <w:rPr>
          <w:rStyle w:val="FootnoteReference"/>
        </w:rPr>
        <w:footnoteRef/>
      </w:r>
      <w:r>
        <w:t xml:space="preserve"> Ibid.</w:t>
      </w:r>
    </w:p>
  </w:footnote>
  <w:footnote w:id="112">
    <w:p w14:paraId="0068F2A8" w14:textId="77777777" w:rsidR="006F57E9" w:rsidRPr="00387C9B" w:rsidRDefault="006F57E9" w:rsidP="00E01C42">
      <w:pPr>
        <w:rPr>
          <w:sz w:val="16"/>
          <w:szCs w:val="20"/>
        </w:rPr>
      </w:pPr>
      <w:r>
        <w:rPr>
          <w:rStyle w:val="FootnoteReference"/>
        </w:rPr>
        <w:footnoteRef/>
      </w:r>
      <w:r>
        <w:t xml:space="preserve"> </w:t>
      </w:r>
      <w:r w:rsidRPr="00387C9B">
        <w:rPr>
          <w:sz w:val="16"/>
          <w:szCs w:val="20"/>
        </w:rPr>
        <w:t>Kira Ashby, 2016 Behavior Program Summary, 2016, Consortium for Energy Efficiency, from https://library.cee1.org/content/2016-behavior-program-summary-public</w:t>
      </w:r>
    </w:p>
  </w:footnote>
  <w:footnote w:id="113">
    <w:p w14:paraId="5531C0C4" w14:textId="77777777" w:rsidR="006F57E9" w:rsidRDefault="006F57E9" w:rsidP="00E01C42">
      <w:pPr>
        <w:pStyle w:val="FootnoteText"/>
      </w:pPr>
      <w:r>
        <w:rPr>
          <w:rStyle w:val="FootnoteReference"/>
        </w:rPr>
        <w:footnoteRef/>
      </w:r>
      <w:r>
        <w:t xml:space="preserve"> </w:t>
      </w:r>
      <w:r w:rsidRPr="00387C9B">
        <w:t>Susan Mazur-Stommen and Kate Farley, ACEEE Field Guide to Utility-Run Behavior Programs, 2013, American Council for an Energy-Efficient Economy, from http://aceee.org/research-report/b132</w:t>
      </w:r>
    </w:p>
  </w:footnote>
  <w:footnote w:id="114">
    <w:p w14:paraId="70BCFFB6" w14:textId="77777777" w:rsidR="006F57E9" w:rsidRPr="00387C9B" w:rsidRDefault="006F57E9" w:rsidP="00E01C42">
      <w:pPr>
        <w:rPr>
          <w:sz w:val="16"/>
          <w:szCs w:val="20"/>
        </w:rPr>
      </w:pPr>
      <w:r>
        <w:rPr>
          <w:rStyle w:val="FootnoteReference"/>
        </w:rPr>
        <w:footnoteRef/>
      </w:r>
      <w:r w:rsidRPr="00775E71">
        <w:rPr>
          <w:sz w:val="16"/>
          <w:szCs w:val="16"/>
        </w:rPr>
        <w:t xml:space="preserve"> </w:t>
      </w:r>
      <w:r w:rsidRPr="00387C9B">
        <w:rPr>
          <w:sz w:val="16"/>
          <w:szCs w:val="20"/>
        </w:rPr>
        <w:t>Illume Advising, Energy Efficiency Behavioral Programs: Literature Review, Benchmarking Analysis, and Evaluation Guidelines, Conservation Applied Research &amp; Development (CARD) FINAL REPORT, Prepared for: Minnesota Department of Commerce, Division of Energy Resources, May 4, 2015</w:t>
      </w:r>
    </w:p>
  </w:footnote>
  <w:footnote w:id="115">
    <w:p w14:paraId="1DAACF8C" w14:textId="77777777" w:rsidR="006F57E9" w:rsidRDefault="006F57E9" w:rsidP="00E01C42">
      <w:pPr>
        <w:pStyle w:val="FootnoteText"/>
      </w:pPr>
      <w:r>
        <w:rPr>
          <w:rStyle w:val="FootnoteReference"/>
        </w:rPr>
        <w:footnoteRef/>
      </w:r>
      <w:r>
        <w:t xml:space="preserve"> </w:t>
      </w:r>
      <w:r w:rsidRPr="00387C9B">
        <w:t xml:space="preserve">Ben Foster and Susan Mazur-Stommen. 2012. “Results from Real-Time Feedback Studies.” American </w:t>
      </w:r>
      <w:r>
        <w:t>C</w:t>
      </w:r>
      <w:r w:rsidRPr="00387C9B">
        <w:t>ouncil for an Energy Efficient Economy. Report Number B122</w:t>
      </w:r>
    </w:p>
  </w:footnote>
  <w:footnote w:id="116">
    <w:p w14:paraId="3CE8ED06" w14:textId="77777777" w:rsidR="006F57E9" w:rsidRDefault="006F57E9" w:rsidP="00E01C42">
      <w:pPr>
        <w:pStyle w:val="FootnoteText"/>
      </w:pPr>
      <w:r>
        <w:rPr>
          <w:rStyle w:val="FootnoteReference"/>
        </w:rPr>
        <w:footnoteRef/>
      </w:r>
      <w:r>
        <w:t xml:space="preserve"> </w:t>
      </w:r>
      <w:r w:rsidRPr="00387C9B">
        <w:t>Reuven Sussman and Maxine Chikumbo. 2016. “Behavior Change Programs: Status and Impact.” American Council for an Energy Efficient Economy. Report Number B1601</w:t>
      </w:r>
    </w:p>
  </w:footnote>
  <w:footnote w:id="117">
    <w:p w14:paraId="4ED9DDBD" w14:textId="77777777" w:rsidR="006F57E9" w:rsidRDefault="006F57E9" w:rsidP="00E01C42">
      <w:pPr>
        <w:pStyle w:val="FootnoteText"/>
      </w:pPr>
      <w:r>
        <w:rPr>
          <w:rStyle w:val="FootnoteReference"/>
        </w:rPr>
        <w:footnoteRef/>
      </w:r>
      <w:r>
        <w:t xml:space="preserve"> </w:t>
      </w:r>
      <w:r w:rsidRPr="00387C9B">
        <w:t>Opinion Dynamics. “PY2013-2014 California Energy Efficiency and Demand Response Residential Behavior Market Characterization Study Report: Volume 1. Prepared for the California Public Utilities Commission Energy Division. July 2015.</w:t>
      </w:r>
    </w:p>
  </w:footnote>
  <w:footnote w:id="118">
    <w:p w14:paraId="171C7E58" w14:textId="77777777" w:rsidR="006F57E9" w:rsidRDefault="006F57E9">
      <w:pPr>
        <w:pStyle w:val="FootnoteText"/>
      </w:pPr>
      <w:r>
        <w:rPr>
          <w:rStyle w:val="FootnoteReference"/>
        </w:rPr>
        <w:footnoteRef/>
      </w:r>
      <w:r>
        <w:t xml:space="preserve"> PG&amp;E provided this reference in response to the webinar on April 20: </w:t>
      </w:r>
      <w:r w:rsidRPr="00FA172B">
        <w:t>https://www.amazon.com/Rainforest-Energy-Monitor-ZigBee-Gateway/dp/B00AII248U</w:t>
      </w:r>
    </w:p>
  </w:footnote>
  <w:footnote w:id="119">
    <w:p w14:paraId="3B27B1E9" w14:textId="77777777" w:rsidR="006F57E9" w:rsidRDefault="006F57E9" w:rsidP="00E01C42">
      <w:pPr>
        <w:pStyle w:val="FootnoteText"/>
      </w:pPr>
      <w:r>
        <w:rPr>
          <w:rStyle w:val="FootnoteReference"/>
        </w:rPr>
        <w:footnoteRef/>
      </w:r>
      <w:r>
        <w:t xml:space="preserve"> Alberta Energy Efficiency Alliance, Energy Savings through Consumer Feedback Programs, Feb 2014, City of Calgary</w:t>
      </w:r>
    </w:p>
  </w:footnote>
  <w:footnote w:id="120">
    <w:p w14:paraId="7CE11D78" w14:textId="77777777" w:rsidR="006F57E9" w:rsidRDefault="006F57E9">
      <w:pPr>
        <w:pStyle w:val="FootnoteText"/>
      </w:pPr>
      <w:r>
        <w:rPr>
          <w:rStyle w:val="FootnoteReference"/>
        </w:rPr>
        <w:footnoteRef/>
      </w:r>
      <w:r>
        <w:t xml:space="preserve"> Grossberg, Frederick; Wolfson, Mariel; Mazur-Stommen, Susan; Farley, Kate; and Steven Nadel. 2015.(February) “Gamified Energy Efficiency Programs.” ACEEE Report B1501.</w:t>
      </w:r>
    </w:p>
  </w:footnote>
  <w:footnote w:id="121">
    <w:p w14:paraId="63347F06" w14:textId="77777777" w:rsidR="006F57E9" w:rsidRDefault="006F57E9" w:rsidP="00B76510">
      <w:pPr>
        <w:pStyle w:val="FootnoteText"/>
      </w:pPr>
      <w:r>
        <w:rPr>
          <w:rStyle w:val="FootnoteReference"/>
        </w:rPr>
        <w:footnoteRef/>
      </w:r>
      <w:r>
        <w:t xml:space="preserve"> PG&amp;E provided the following reference: Jones, Christopher M. and Kammen, Daniel M. 2014 “The CoolCalifornia Challenge: A Pilot Inter-City Household Carbon Footprint Reduction Competition.” Contract Number: 10-325, California Air Resources Board. </w:t>
      </w:r>
      <w:r w:rsidRPr="00F944B0">
        <w:t>https://www.arb.ca.gov/research/apr/past/10-325.pdf</w:t>
      </w:r>
    </w:p>
  </w:footnote>
  <w:footnote w:id="122">
    <w:p w14:paraId="6FFA01E3" w14:textId="77777777" w:rsidR="006F57E9" w:rsidRPr="003D09EA" w:rsidRDefault="006F57E9" w:rsidP="00E01C42">
      <w:pPr>
        <w:rPr>
          <w:sz w:val="16"/>
          <w:szCs w:val="20"/>
        </w:rPr>
      </w:pPr>
      <w:r>
        <w:rPr>
          <w:rStyle w:val="FootnoteReference"/>
        </w:rPr>
        <w:footnoteRef/>
      </w:r>
      <w:r>
        <w:t xml:space="preserve"> </w:t>
      </w:r>
      <w:r w:rsidRPr="003D09EA">
        <w:rPr>
          <w:sz w:val="16"/>
          <w:szCs w:val="20"/>
        </w:rPr>
        <w:t>Kira Ashby, 2016 Behavior Program Summary, 2016, Consortium for Energy Efficiency, from https://library.cee1.org/content/2016-behavior-program-summary-public</w:t>
      </w:r>
    </w:p>
  </w:footnote>
  <w:footnote w:id="123">
    <w:p w14:paraId="65275334" w14:textId="77777777" w:rsidR="006F57E9" w:rsidRPr="003D09EA" w:rsidRDefault="006F57E9" w:rsidP="00E01C42">
      <w:pPr>
        <w:rPr>
          <w:sz w:val="16"/>
          <w:szCs w:val="20"/>
        </w:rPr>
      </w:pPr>
      <w:r>
        <w:rPr>
          <w:rStyle w:val="FootnoteReference"/>
        </w:rPr>
        <w:footnoteRef/>
      </w:r>
      <w:r>
        <w:t xml:space="preserve"> </w:t>
      </w:r>
      <w:r w:rsidRPr="003D09EA">
        <w:rPr>
          <w:sz w:val="16"/>
          <w:szCs w:val="20"/>
        </w:rPr>
        <w:t>Susan Mazur-Stommen and Kate Farley, ACEEE Field Guide to Utility-Run Behavior Programs, 2013, American Council for an Energy-Efficient Economy, from http://aceee.org/research-report/b132</w:t>
      </w:r>
    </w:p>
  </w:footnote>
  <w:footnote w:id="124">
    <w:p w14:paraId="30AFE7E7" w14:textId="77777777" w:rsidR="006F57E9" w:rsidRDefault="006F57E9" w:rsidP="00E01C42">
      <w:pPr>
        <w:pStyle w:val="FootnoteText"/>
      </w:pPr>
      <w:r>
        <w:rPr>
          <w:rStyle w:val="FootnoteReference"/>
        </w:rPr>
        <w:footnoteRef/>
      </w:r>
      <w:r>
        <w:t xml:space="preserve"> </w:t>
      </w:r>
      <w:r w:rsidRPr="00163486">
        <w:t>Illume Advising, Energy Efficiency Behavioral Programs: Literature Review, Benchmarking Analysis, and Evaluation Guidelines Conservation Applied Research &amp; Development (CARD) FINAL REPORT, Prepared for: Minnesota Department of Commerce, Division of Energy Resources, May 4, 2015</w:t>
      </w:r>
      <w:r>
        <w:t>.</w:t>
      </w:r>
    </w:p>
  </w:footnote>
  <w:footnote w:id="125">
    <w:p w14:paraId="676065FA" w14:textId="77777777" w:rsidR="006F57E9" w:rsidRDefault="006F57E9">
      <w:pPr>
        <w:pStyle w:val="FootnoteText"/>
      </w:pPr>
      <w:r>
        <w:rPr>
          <w:rStyle w:val="FootnoteReference"/>
        </w:rPr>
        <w:footnoteRef/>
      </w:r>
      <w:r>
        <w:t xml:space="preserve"> PG&amp;E provided the following reference: Jones, Christopher M. and Kammen, Daniel M. 2014 “The CoolCalifornia Challenge: A Pilot Inter-City Household Carbon Footprint Reduction Competition.” Contract Number: 10-325, California Air Resources Board. </w:t>
      </w:r>
      <w:r w:rsidRPr="00F944B0">
        <w:t>https://www.arb.ca.gov/research/apr/past/10-325.pdf</w:t>
      </w:r>
    </w:p>
  </w:footnote>
  <w:footnote w:id="126">
    <w:p w14:paraId="78351896" w14:textId="77777777" w:rsidR="006F57E9" w:rsidRDefault="006F57E9" w:rsidP="00E01C42">
      <w:pPr>
        <w:pStyle w:val="FootnoteText"/>
      </w:pPr>
      <w:r>
        <w:rPr>
          <w:rStyle w:val="FootnoteReference"/>
        </w:rPr>
        <w:footnoteRef/>
      </w:r>
      <w:r>
        <w:t xml:space="preserve"> Grossberg, Frederick; Wolfson, Mariel; Mazur-Stommen, Susan; Farley, Kate; and Steven Nadel. 2015.(February) “Gamified Energy Efficiency Programs.” ACEEE Report B1501.</w:t>
      </w:r>
    </w:p>
  </w:footnote>
  <w:footnote w:id="127">
    <w:p w14:paraId="27FD1A7F" w14:textId="77777777" w:rsidR="006F57E9" w:rsidRDefault="006F57E9" w:rsidP="00E01C42">
      <w:pPr>
        <w:pStyle w:val="FootnoteText"/>
      </w:pPr>
      <w:r>
        <w:rPr>
          <w:rStyle w:val="FootnoteReference"/>
        </w:rPr>
        <w:footnoteRef/>
      </w:r>
      <w:r>
        <w:t xml:space="preserve"> Grossberg, Frederick; Wolfson, Mariel; Mazur-Stommen, Susan; Farley, Kate; and Steven Nadel. 2015.(February) “Gamified Energy Efficiency Programs.” ACEEE Report B1501.</w:t>
      </w:r>
    </w:p>
  </w:footnote>
  <w:footnote w:id="128">
    <w:p w14:paraId="33EE321C" w14:textId="77777777" w:rsidR="006F57E9" w:rsidRDefault="006F57E9" w:rsidP="00E01C42">
      <w:pPr>
        <w:pStyle w:val="FootnoteText"/>
      </w:pPr>
      <w:r>
        <w:rPr>
          <w:rStyle w:val="FootnoteReference"/>
        </w:rPr>
        <w:footnoteRef/>
      </w:r>
      <w:r>
        <w:t xml:space="preserve"> Healthcare participation estimates are based on the ‘Hospitals and Healthcare Initiative Market Progress Evaluation Report 7, </w:t>
      </w:r>
      <w:r w:rsidRPr="004F148F">
        <w:t>Northwest Energy Efficiency Alliance</w:t>
      </w:r>
      <w:r>
        <w:t>. March 26, 2015. REPORT #E15-310. Participation estimates for other market segments are based on professional judgement.</w:t>
      </w:r>
    </w:p>
  </w:footnote>
  <w:footnote w:id="129">
    <w:p w14:paraId="540529F2" w14:textId="77777777" w:rsidR="006F57E9" w:rsidRDefault="006F57E9">
      <w:pPr>
        <w:pStyle w:val="FootnoteText"/>
      </w:pPr>
      <w:r>
        <w:rPr>
          <w:rStyle w:val="FootnoteReference"/>
        </w:rPr>
        <w:footnoteRef/>
      </w:r>
      <w:r>
        <w:t xml:space="preserve"> Informal comments in response to the webinar held April 20, 2017.</w:t>
      </w:r>
    </w:p>
  </w:footnote>
  <w:footnote w:id="130">
    <w:p w14:paraId="65271795" w14:textId="77777777" w:rsidR="006F57E9" w:rsidRDefault="006F57E9" w:rsidP="00E01C42">
      <w:pPr>
        <w:pStyle w:val="FootnoteText"/>
      </w:pPr>
      <w:r>
        <w:rPr>
          <w:rStyle w:val="FootnoteReference"/>
        </w:rPr>
        <w:footnoteRef/>
      </w:r>
      <w:r>
        <w:t xml:space="preserve"> Joint Strategic Energy Management Plan for Listowel Wingham Hospitals Alliance, 2014</w:t>
      </w:r>
    </w:p>
  </w:footnote>
  <w:footnote w:id="131">
    <w:p w14:paraId="27C093D6" w14:textId="77777777" w:rsidR="006F57E9" w:rsidRDefault="006F57E9" w:rsidP="00E01C42">
      <w:pPr>
        <w:pStyle w:val="FootnoteText"/>
      </w:pPr>
      <w:r>
        <w:rPr>
          <w:rStyle w:val="FootnoteReference"/>
        </w:rPr>
        <w:footnoteRef/>
      </w:r>
      <w:r>
        <w:t xml:space="preserve"> Hospitals and Healthcare Initiative Market Progress Evaluation Report 7, </w:t>
      </w:r>
      <w:r w:rsidRPr="004F148F">
        <w:t>Northwest Energy Efficiency Alliance</w:t>
      </w:r>
      <w:r>
        <w:t>. March 26, 2015. REPORT #E15-310</w:t>
      </w:r>
    </w:p>
  </w:footnote>
  <w:footnote w:id="132">
    <w:p w14:paraId="21F43104" w14:textId="77777777" w:rsidR="006F57E9" w:rsidRDefault="006F57E9">
      <w:pPr>
        <w:pStyle w:val="FootnoteText"/>
      </w:pPr>
      <w:r>
        <w:rPr>
          <w:rStyle w:val="FootnoteReference"/>
        </w:rPr>
        <w:footnoteRef/>
      </w:r>
      <w:r>
        <w:t xml:space="preserve"> </w:t>
      </w:r>
      <w:r w:rsidRPr="005F4903">
        <w:t>Personal communication with Kay Hardy, CPUC. May 9, 2017</w:t>
      </w:r>
      <w:r>
        <w:t>.</w:t>
      </w:r>
    </w:p>
  </w:footnote>
  <w:footnote w:id="133">
    <w:p w14:paraId="300929BD" w14:textId="77777777" w:rsidR="006F57E9" w:rsidRDefault="006F57E9">
      <w:pPr>
        <w:pStyle w:val="FootnoteText"/>
      </w:pPr>
      <w:r>
        <w:rPr>
          <w:rStyle w:val="FootnoteReference"/>
        </w:rPr>
        <w:footnoteRef/>
      </w:r>
      <w:r>
        <w:t xml:space="preserve"> </w:t>
      </w:r>
      <w:r w:rsidRPr="00963FD0">
        <w:t xml:space="preserve">Analysis to Update Potential Goals and Targets for 2013 and Beyond, literature search results </w:t>
      </w:r>
      <w:r>
        <w:t xml:space="preserve">provided in Appendix C. </w:t>
      </w:r>
      <w:r w:rsidRPr="00963FD0">
        <w:t>Navigant Consulting Inc., March 19, 2012</w:t>
      </w:r>
    </w:p>
  </w:footnote>
  <w:footnote w:id="134">
    <w:p w14:paraId="6A9315D8" w14:textId="77777777" w:rsidR="006F57E9" w:rsidRDefault="006F57E9" w:rsidP="00E01C42">
      <w:pPr>
        <w:pStyle w:val="FootnoteText"/>
      </w:pPr>
      <w:r>
        <w:rPr>
          <w:rStyle w:val="FootnoteReference"/>
        </w:rPr>
        <w:footnoteRef/>
      </w:r>
      <w:r>
        <w:t xml:space="preserve"> California Energy Commission (CEC), California Commercial End-Use Survey, CEC-400-2006-005, Prepared by Itron, Inc., March 2006, Final report available at: http://www.energy.ca.gov/ceus/index.html. Data available at:</w:t>
      </w:r>
    </w:p>
    <w:p w14:paraId="27B9E5AC" w14:textId="77777777" w:rsidR="006F57E9" w:rsidRDefault="006F57E9" w:rsidP="00E01C42">
      <w:pPr>
        <w:pStyle w:val="FootnoteText"/>
      </w:pPr>
      <w:r>
        <w:t>http://capabilities.itron.com/ceusweb/.</w:t>
      </w:r>
    </w:p>
  </w:footnote>
  <w:footnote w:id="135">
    <w:p w14:paraId="21ACC809" w14:textId="77777777" w:rsidR="006F57E9" w:rsidRDefault="006F57E9">
      <w:pPr>
        <w:pStyle w:val="FootnoteText"/>
      </w:pPr>
      <w:r>
        <w:rPr>
          <w:rStyle w:val="FootnoteReference"/>
        </w:rPr>
        <w:footnoteRef/>
      </w:r>
      <w:r>
        <w:t xml:space="preserve"> </w:t>
      </w:r>
      <w:r w:rsidRPr="00963FD0">
        <w:t>Energy Efficiency Potential and Goals Study for 2015 and Beyond Stage 1.  Final Report Section 3.7.1 Non-Residential Behavior Model Updates. Navigant Consulting Inc., September 25, 2015</w:t>
      </w:r>
    </w:p>
  </w:footnote>
  <w:footnote w:id="136">
    <w:p w14:paraId="7C82BEDB" w14:textId="77777777" w:rsidR="006F57E9" w:rsidRDefault="006F57E9" w:rsidP="00E01C42">
      <w:pPr>
        <w:pStyle w:val="FootnoteText"/>
      </w:pPr>
      <w:r>
        <w:rPr>
          <w:rStyle w:val="FootnoteReference"/>
        </w:rPr>
        <w:footnoteRef/>
      </w:r>
      <w:r>
        <w:t xml:space="preserve"> AB802 Technical Analysis, Potential Savings Analysis. </w:t>
      </w:r>
      <w:r w:rsidRPr="008E3E0D">
        <w:t>Navigant Consulting, Inc.</w:t>
      </w:r>
      <w:r>
        <w:t>,</w:t>
      </w:r>
      <w:r w:rsidRPr="008E3E0D">
        <w:t xml:space="preserve"> </w:t>
      </w:r>
      <w:r>
        <w:t>Reference No.: 174655. March 31, 2016</w:t>
      </w:r>
    </w:p>
  </w:footnote>
  <w:footnote w:id="137">
    <w:p w14:paraId="3EE0E39A" w14:textId="77777777" w:rsidR="006F57E9" w:rsidRDefault="006F57E9">
      <w:pPr>
        <w:pStyle w:val="FootnoteText"/>
      </w:pPr>
      <w:r>
        <w:rPr>
          <w:rStyle w:val="FootnoteReference"/>
        </w:rPr>
        <w:footnoteRef/>
      </w:r>
      <w:r>
        <w:t xml:space="preserve"> </w:t>
      </w:r>
      <w:r w:rsidRPr="00963FD0">
        <w:t>AB802 Technical Analysis, Potential Savings Analysis. Navigant Consulting, Inc.  Reference No.: 174655, March 31, 2016</w:t>
      </w:r>
    </w:p>
  </w:footnote>
  <w:footnote w:id="138">
    <w:p w14:paraId="54885127" w14:textId="77777777" w:rsidR="006F57E9" w:rsidRDefault="006F57E9">
      <w:pPr>
        <w:pStyle w:val="FootnoteText"/>
      </w:pPr>
      <w:r>
        <w:rPr>
          <w:rStyle w:val="FootnoteReference"/>
        </w:rPr>
        <w:footnoteRef/>
      </w:r>
      <w:r>
        <w:t xml:space="preserve"> Ibid.</w:t>
      </w:r>
    </w:p>
  </w:footnote>
  <w:footnote w:id="139">
    <w:p w14:paraId="0C9E2694" w14:textId="77777777" w:rsidR="006F57E9" w:rsidRDefault="006F57E9" w:rsidP="00E01C42">
      <w:pPr>
        <w:pStyle w:val="FootnoteText"/>
      </w:pPr>
      <w:r>
        <w:rPr>
          <w:rStyle w:val="FootnoteReference"/>
        </w:rPr>
        <w:footnoteRef/>
      </w:r>
      <w:r>
        <w:t xml:space="preserve"> Ibid.</w:t>
      </w:r>
    </w:p>
  </w:footnote>
  <w:footnote w:id="140">
    <w:p w14:paraId="2A3AB457" w14:textId="77777777" w:rsidR="006F57E9" w:rsidRPr="00387C9B" w:rsidRDefault="006F57E9" w:rsidP="00E01C42">
      <w:pPr>
        <w:pStyle w:val="FootnoteText"/>
      </w:pPr>
      <w:r>
        <w:rPr>
          <w:rStyle w:val="FootnoteReference"/>
        </w:rPr>
        <w:footnoteRef/>
      </w:r>
      <w:r>
        <w:t xml:space="preserve"> </w:t>
      </w:r>
      <w:r w:rsidRPr="00387C9B">
        <w:t>Jim Stewart, Energy Savings from Business Energy Feedback [for Xcel Energy], Cadmus, October 21, 2015, Behavior, Energy, and Climate Change Conference 2015</w:t>
      </w:r>
    </w:p>
  </w:footnote>
  <w:footnote w:id="141">
    <w:p w14:paraId="29252667" w14:textId="77777777" w:rsidR="006F57E9" w:rsidRDefault="006F57E9" w:rsidP="00E01C42">
      <w:pPr>
        <w:pStyle w:val="FootnoteText"/>
      </w:pPr>
      <w:r>
        <w:rPr>
          <w:rStyle w:val="FootnoteReference"/>
        </w:rPr>
        <w:footnoteRef/>
      </w:r>
      <w:r>
        <w:t xml:space="preserve"> </w:t>
      </w:r>
      <w:r w:rsidRPr="00387C9B">
        <w:t>Gajus Miknaitis, John Lux and Deb Dynako, Mark Hamann and William Burns, Tapping Energy Savings from an Overlooked Source: Results from Behavioral Change Pilot Program Targeting Mid-Sized Commercial Customers, 2014 ACEEE Summer Study on Energy Efficiency in Buildings, Commonwealth Edison and Agentis Energy, from: http://aceee.org/files/proceedings/2014/data/papers/7-153.pdf</w:t>
      </w:r>
    </w:p>
  </w:footnote>
  <w:footnote w:id="142">
    <w:p w14:paraId="113F0B1F" w14:textId="77777777" w:rsidR="006F57E9" w:rsidRPr="00387C9B" w:rsidRDefault="006F57E9" w:rsidP="00E01C42">
      <w:pPr>
        <w:rPr>
          <w:sz w:val="16"/>
          <w:szCs w:val="20"/>
        </w:rPr>
      </w:pPr>
      <w:r>
        <w:rPr>
          <w:rStyle w:val="FootnoteReference"/>
        </w:rPr>
        <w:footnoteRef/>
      </w:r>
      <w:r>
        <w:t xml:space="preserve"> </w:t>
      </w:r>
      <w:r w:rsidRPr="00387C9B">
        <w:rPr>
          <w:sz w:val="16"/>
          <w:szCs w:val="20"/>
        </w:rPr>
        <w:t>U.S. Energy Information Administration, Commercial Building Energy Consumption Survey, http://www.eia.gov/consumption/commercial/data/2012/index.php?view=consumption#c13-c22</w:t>
      </w:r>
    </w:p>
  </w:footnote>
  <w:footnote w:id="143">
    <w:p w14:paraId="3A9A659A" w14:textId="77777777" w:rsidR="006F57E9" w:rsidRDefault="006F57E9">
      <w:pPr>
        <w:pStyle w:val="FootnoteText"/>
      </w:pPr>
      <w:r>
        <w:rPr>
          <w:rStyle w:val="FootnoteReference"/>
        </w:rPr>
        <w:footnoteRef/>
      </w:r>
      <w:r>
        <w:t xml:space="preserve"> Informal comments on the webinar presented on April 20, 2017 from PG&amp;E cite results of a trial that ran </w:t>
      </w:r>
      <w:r w:rsidRPr="00724837">
        <w:t xml:space="preserve">January </w:t>
      </w:r>
      <w:r>
        <w:t>to</w:t>
      </w:r>
      <w:r w:rsidRPr="00724837">
        <w:t xml:space="preserve"> October </w:t>
      </w:r>
      <w:r>
        <w:t xml:space="preserve">in </w:t>
      </w:r>
      <w:r w:rsidRPr="00724837">
        <w:t>2014</w:t>
      </w:r>
      <w:r>
        <w:t>.</w:t>
      </w:r>
    </w:p>
  </w:footnote>
  <w:footnote w:id="144">
    <w:p w14:paraId="50388768" w14:textId="77777777" w:rsidR="006F57E9" w:rsidRDefault="006F57E9" w:rsidP="0020306B">
      <w:pPr>
        <w:pStyle w:val="FootnoteText"/>
      </w:pPr>
      <w:r>
        <w:rPr>
          <w:rStyle w:val="FootnoteReference"/>
        </w:rPr>
        <w:footnoteRef/>
      </w:r>
      <w:r>
        <w:t xml:space="preserve"> U.S. EIA. Commercial Building Energy Consumption Survey (CBECS) “Table B6. Building size, number of buildings, 2012.” (May 2016).</w:t>
      </w:r>
    </w:p>
  </w:footnote>
  <w:footnote w:id="145">
    <w:p w14:paraId="23AF7F0B" w14:textId="77777777" w:rsidR="006F57E9" w:rsidRPr="00387C9B" w:rsidRDefault="006F57E9" w:rsidP="00E01C42">
      <w:pPr>
        <w:rPr>
          <w:sz w:val="16"/>
          <w:szCs w:val="20"/>
        </w:rPr>
      </w:pPr>
      <w:r>
        <w:rPr>
          <w:rStyle w:val="FootnoteReference"/>
        </w:rPr>
        <w:footnoteRef/>
      </w:r>
      <w:r>
        <w:t xml:space="preserve"> </w:t>
      </w:r>
      <w:r w:rsidRPr="00387C9B">
        <w:rPr>
          <w:sz w:val="16"/>
          <w:szCs w:val="20"/>
        </w:rPr>
        <w:t xml:space="preserve">U.S. EIA. Commercial Building Energy Consumption Survey (CBECS) “Table C1. Total energy consumption by major fuel, 2012.” (May 2016). </w:t>
      </w:r>
    </w:p>
  </w:footnote>
  <w:footnote w:id="146">
    <w:p w14:paraId="1EA98FCE" w14:textId="77777777" w:rsidR="006F57E9" w:rsidRPr="00387C9B" w:rsidRDefault="006F57E9" w:rsidP="00E01C42">
      <w:pPr>
        <w:rPr>
          <w:sz w:val="16"/>
          <w:szCs w:val="20"/>
        </w:rPr>
      </w:pPr>
      <w:r>
        <w:rPr>
          <w:rStyle w:val="FootnoteReference"/>
        </w:rPr>
        <w:footnoteRef/>
      </w:r>
      <w:r>
        <w:t xml:space="preserve"> </w:t>
      </w:r>
      <w:r w:rsidRPr="00387C9B">
        <w:rPr>
          <w:sz w:val="16"/>
          <w:szCs w:val="20"/>
        </w:rPr>
        <w:t xml:space="preserve">SF Environment and ULI Greenprint Center for Building Performance. “San Francisco Existing Commercial Buildings Performance Report: 2010-2014.” (2015) </w:t>
      </w:r>
    </w:p>
  </w:footnote>
  <w:footnote w:id="147">
    <w:p w14:paraId="69FE9E43" w14:textId="77777777" w:rsidR="006F57E9" w:rsidRDefault="006F57E9" w:rsidP="00E01C42">
      <w:pPr>
        <w:pStyle w:val="FootnoteText"/>
      </w:pPr>
      <w:r>
        <w:rPr>
          <w:rStyle w:val="FootnoteReference"/>
        </w:rPr>
        <w:footnoteRef/>
      </w:r>
      <w:r>
        <w:t xml:space="preserve"> </w:t>
      </w:r>
      <w:r w:rsidRPr="00387C9B">
        <w:t>Katherine Tweed. “Benchmarking Drives 7 Percent Cut in Building Energy. (October 2012) Greentech Media</w:t>
      </w:r>
    </w:p>
  </w:footnote>
  <w:footnote w:id="148">
    <w:p w14:paraId="680A54AB" w14:textId="77777777" w:rsidR="006F57E9" w:rsidRDefault="006F57E9" w:rsidP="00E01C42">
      <w:pPr>
        <w:pStyle w:val="FootnoteText"/>
      </w:pPr>
      <w:r>
        <w:rPr>
          <w:rStyle w:val="FootnoteReference"/>
        </w:rPr>
        <w:footnoteRef/>
      </w:r>
      <w:r>
        <w:t xml:space="preserve"> </w:t>
      </w:r>
      <w:r w:rsidRPr="00387C9B">
        <w:t>City of Chicago. “City of Chicago Energy Benchmarking Report 2016.”</w:t>
      </w:r>
    </w:p>
  </w:footnote>
  <w:footnote w:id="149">
    <w:p w14:paraId="6F5F0646" w14:textId="77777777" w:rsidR="006F57E9" w:rsidRPr="00387C9B" w:rsidRDefault="006F57E9" w:rsidP="00E01C42">
      <w:pPr>
        <w:rPr>
          <w:sz w:val="16"/>
          <w:szCs w:val="20"/>
        </w:rPr>
      </w:pPr>
      <w:r>
        <w:rPr>
          <w:rStyle w:val="FootnoteReference"/>
        </w:rPr>
        <w:footnoteRef/>
      </w:r>
      <w:r>
        <w:t xml:space="preserve"> </w:t>
      </w:r>
      <w:r w:rsidRPr="0090497D">
        <w:rPr>
          <w:sz w:val="16"/>
          <w:szCs w:val="20"/>
        </w:rPr>
        <w:t>J</w:t>
      </w:r>
      <w:r w:rsidRPr="00387C9B">
        <w:rPr>
          <w:sz w:val="16"/>
          <w:szCs w:val="20"/>
        </w:rPr>
        <w:t>ewel, Amy; Kimmel, Jamie; Palmer, Doug; Pigg, Scott; Ponce, Jamie; Vigliotta, David; and Weigert, Karen. “Using Nudges and Energy Benchmarking to Drive Behavior Change in Commercial, Institutional, and Multifamily Residential Buildings.” 2016. Proceedings of the ACEEE Summer Study on Energy Efficiency in Buildings.</w:t>
      </w:r>
    </w:p>
  </w:footnote>
  <w:footnote w:id="150">
    <w:p w14:paraId="2B80A9AF" w14:textId="77777777" w:rsidR="006F57E9" w:rsidRDefault="006F57E9" w:rsidP="00E01C42">
      <w:pPr>
        <w:pStyle w:val="FootnoteText"/>
      </w:pPr>
      <w:r>
        <w:rPr>
          <w:rStyle w:val="FootnoteReference"/>
        </w:rPr>
        <w:footnoteRef/>
      </w:r>
      <w:r>
        <w:t xml:space="preserve"> </w:t>
      </w:r>
      <w:r w:rsidRPr="00387C9B">
        <w:t>Navigant Consulting. “New York City Benchmarking and Transparency Policy and Impact Evaluation Report.” (May 2015). Prepared for the U.S. Department of Energy by Navigant Consulting, Inc., Steven Winter Associates, Inc., and Newport Partners, LLC.</w:t>
      </w:r>
    </w:p>
  </w:footnote>
  <w:footnote w:id="151">
    <w:p w14:paraId="01FA7AF7" w14:textId="77777777" w:rsidR="006F57E9" w:rsidRDefault="006F57E9" w:rsidP="00E01C42">
      <w:pPr>
        <w:pStyle w:val="FootnoteText"/>
      </w:pPr>
      <w:r>
        <w:rPr>
          <w:rStyle w:val="FootnoteReference"/>
        </w:rPr>
        <w:footnoteRef/>
      </w:r>
      <w:r>
        <w:t xml:space="preserve"> </w:t>
      </w:r>
      <w:r w:rsidRPr="002D5BA8">
        <w:t>CPUC, Statewide Benchmarking Process Evaluation, Volume 1, CPU0055.01, Submitted by NMR Group and Optimal Energy, April 2012.</w:t>
      </w:r>
    </w:p>
  </w:footnote>
  <w:footnote w:id="152">
    <w:p w14:paraId="014C07C9" w14:textId="77777777" w:rsidR="006F57E9" w:rsidRDefault="006F57E9" w:rsidP="00E01C42">
      <w:pPr>
        <w:pStyle w:val="FootnoteText"/>
      </w:pPr>
      <w:r>
        <w:rPr>
          <w:rStyle w:val="FootnoteReference"/>
        </w:rPr>
        <w:footnoteRef/>
      </w:r>
      <w:r>
        <w:t xml:space="preserve"> </w:t>
      </w:r>
      <w:r w:rsidRPr="005033D7">
        <w:t>Kira Ashby, 2016 Behavior Program Summary, 2016, Consortium for Energy Efficiency, from https://library.cee1.org/content/2016-behavior-program-summary-public</w:t>
      </w:r>
    </w:p>
  </w:footnote>
  <w:footnote w:id="153">
    <w:p w14:paraId="5CD36A62" w14:textId="77777777" w:rsidR="006F57E9" w:rsidRDefault="006F57E9" w:rsidP="00E01C42">
      <w:pPr>
        <w:pStyle w:val="FootnoteText"/>
      </w:pPr>
      <w:r>
        <w:rPr>
          <w:rStyle w:val="FootnoteReference"/>
        </w:rPr>
        <w:footnoteRef/>
      </w:r>
      <w:r>
        <w:t xml:space="preserve"> </w:t>
      </w:r>
      <w:r w:rsidRPr="005033D7">
        <w:t>Susan Mazur-Stommen and Kate Farley, ACEEE Field Guide to Utility-Run Behavior Programs, 2013, American Council for an Energy-Efficient Economy, from http://aceee.org/research-report/b132</w:t>
      </w:r>
    </w:p>
  </w:footnote>
  <w:footnote w:id="154">
    <w:p w14:paraId="35A52390" w14:textId="77777777" w:rsidR="006F57E9" w:rsidRDefault="006F57E9" w:rsidP="00E01C42">
      <w:pPr>
        <w:pStyle w:val="FootnoteText"/>
      </w:pPr>
      <w:r>
        <w:rPr>
          <w:rStyle w:val="FootnoteReference"/>
        </w:rPr>
        <w:footnoteRef/>
      </w:r>
      <w:r>
        <w:t xml:space="preserve"> Edward Vine and Christopher Jones, A Review of Energy Reduction Competitions. What Have We Learned?, 2015 (May), California Institute for Energy and Environment. Report sponsored by the California Public Utilities Commission.  Available at: </w:t>
      </w:r>
      <w:r w:rsidRPr="00317F3F">
        <w:rPr>
          <w:rFonts w:ascii="ArialMT" w:hAnsi="ArialMT" w:cs="ArialMT"/>
          <w:color w:val="315478"/>
          <w:szCs w:val="18"/>
        </w:rPr>
        <w:t>http://escholarship.org/uc/item/30x859hv</w:t>
      </w:r>
    </w:p>
  </w:footnote>
  <w:footnote w:id="155">
    <w:p w14:paraId="1B521C9D" w14:textId="77777777" w:rsidR="006F57E9" w:rsidRPr="00317F3F" w:rsidRDefault="006F57E9" w:rsidP="00E01C42">
      <w:pPr>
        <w:pStyle w:val="FootnoteText"/>
      </w:pPr>
      <w:r>
        <w:rPr>
          <w:rStyle w:val="FootnoteReference"/>
        </w:rPr>
        <w:footnoteRef/>
      </w:r>
      <w:r>
        <w:t xml:space="preserve"> Edward L. Vine and Christopher M. Jones. Competition, carbon, and conservation: Assessing the energy savings potential of energy efficiency competitions. 2016. Vol 19: 158-176.  </w:t>
      </w:r>
      <w:r>
        <w:rPr>
          <w:i/>
        </w:rPr>
        <w:t>Energy Research and Social Science</w:t>
      </w:r>
      <w:r>
        <w:t xml:space="preserve">. </w:t>
      </w:r>
    </w:p>
  </w:footnote>
  <w:footnote w:id="156">
    <w:p w14:paraId="38206995" w14:textId="77777777" w:rsidR="006F57E9" w:rsidRDefault="006F57E9" w:rsidP="00E01C42">
      <w:pPr>
        <w:pStyle w:val="FootnoteText"/>
      </w:pPr>
      <w:r>
        <w:rPr>
          <w:rStyle w:val="FootnoteReference"/>
        </w:rPr>
        <w:footnoteRef/>
      </w:r>
      <w:r>
        <w:t xml:space="preserve"> TecMarket Works, Impact Evaluation of the Smart Energy Now Program (NC) (Pilot) for Duke Energy, February 21, 2014. </w:t>
      </w:r>
    </w:p>
  </w:footnote>
  <w:footnote w:id="157">
    <w:p w14:paraId="4E7F5BF5" w14:textId="77777777" w:rsidR="006F57E9" w:rsidRDefault="006F57E9" w:rsidP="00E01C42">
      <w:pPr>
        <w:pStyle w:val="FootnoteText"/>
      </w:pPr>
      <w:r>
        <w:rPr>
          <w:rStyle w:val="FootnoteReference"/>
        </w:rPr>
        <w:footnoteRef/>
      </w:r>
      <w:r>
        <w:t xml:space="preserve"> Linda Dethman, Brian Arthur Smith, Jillian Rich, and James Russell. Engaging Small and Medium Businesses in Behavior Change through a Multifaceted Marketing Campaign. 2016. Proceedings of the ACEEE Summer Study on Energy Efficiency in Buildings.</w:t>
      </w:r>
    </w:p>
  </w:footnote>
  <w:footnote w:id="158">
    <w:p w14:paraId="06F7B640" w14:textId="77777777" w:rsidR="006F57E9" w:rsidRDefault="006F57E9" w:rsidP="00E01C42">
      <w:pPr>
        <w:pStyle w:val="FootnoteText"/>
      </w:pPr>
      <w:r>
        <w:rPr>
          <w:rStyle w:val="FootnoteReference"/>
        </w:rPr>
        <w:footnoteRef/>
      </w:r>
      <w:r>
        <w:t xml:space="preserve"> Kat A. Donnelly. Workplace Engagement: Finding and Filling the Gaps for Fruitful Energy Savings. 2016 (October). Presentation at the 2016 Behavior, Energy and Climate Change Conference. Baltimore, MD.</w:t>
      </w:r>
    </w:p>
  </w:footnote>
  <w:footnote w:id="159">
    <w:p w14:paraId="68176C78" w14:textId="77777777" w:rsidR="006F57E9" w:rsidRDefault="006F57E9">
      <w:pPr>
        <w:pStyle w:val="FootnoteText"/>
      </w:pPr>
      <w:r>
        <w:rPr>
          <w:rStyle w:val="FootnoteReference"/>
        </w:rPr>
        <w:footnoteRef/>
      </w:r>
      <w:r>
        <w:t xml:space="preserve"> Informal comments received in response to the webinar on April 20, 2017 from PG&amp;E indicate a limited willingness to participate in commercial competitions. </w:t>
      </w:r>
    </w:p>
  </w:footnote>
  <w:footnote w:id="160">
    <w:p w14:paraId="65A932C6" w14:textId="77777777" w:rsidR="006F57E9" w:rsidRDefault="006F57E9" w:rsidP="00BF2ED6">
      <w:pPr>
        <w:pStyle w:val="FootnoteText"/>
      </w:pPr>
      <w:r>
        <w:rPr>
          <w:rStyle w:val="FootnoteReference"/>
        </w:rPr>
        <w:footnoteRef/>
      </w:r>
      <w:r>
        <w:t xml:space="preserve"> TecMarket Works, Impact Evaluation of the Smart Energy Now Program (NC) (Pilot) for Duke Energy, February 21, 2014. </w:t>
      </w:r>
    </w:p>
  </w:footnote>
  <w:footnote w:id="161">
    <w:p w14:paraId="270DC773" w14:textId="77777777" w:rsidR="006F57E9" w:rsidRDefault="006F57E9" w:rsidP="00E01C42">
      <w:pPr>
        <w:pStyle w:val="FootnoteText"/>
      </w:pPr>
      <w:r>
        <w:rPr>
          <w:rStyle w:val="FootnoteReference"/>
        </w:rPr>
        <w:footnoteRef/>
      </w:r>
      <w:r>
        <w:t xml:space="preserve"> 2016 Statewide Retrocommissioning Policy &amp; Procedures Manual, Version 1.0. Effective Date: July 19, 2016</w:t>
      </w:r>
    </w:p>
  </w:footnote>
  <w:footnote w:id="162">
    <w:p w14:paraId="56A9415F" w14:textId="77777777" w:rsidR="006F57E9" w:rsidRDefault="006F57E9">
      <w:pPr>
        <w:pStyle w:val="FootnoteText"/>
      </w:pPr>
      <w:r>
        <w:rPr>
          <w:rStyle w:val="FootnoteReference"/>
        </w:rPr>
        <w:footnoteRef/>
      </w:r>
      <w:r>
        <w:t xml:space="preserve"> </w:t>
      </w:r>
      <w:r w:rsidRPr="00963FD0">
        <w:t>2014 Retro-Commissioning (RCx) Program Extreme Makeover, CenterPoint Energy at http://www.centerpointenergy.com/en-us/Documents/2014%20RCx%20Kickoff%20Slides.pdf</w:t>
      </w:r>
    </w:p>
  </w:footnote>
  <w:footnote w:id="163">
    <w:p w14:paraId="363DB500" w14:textId="77777777" w:rsidR="006F57E9" w:rsidRDefault="006F57E9">
      <w:pPr>
        <w:pStyle w:val="FootnoteText"/>
      </w:pPr>
      <w:r>
        <w:rPr>
          <w:rStyle w:val="FootnoteReference"/>
        </w:rPr>
        <w:footnoteRef/>
      </w:r>
      <w:r>
        <w:t xml:space="preserve"> EPA. </w:t>
      </w:r>
      <w:r w:rsidRPr="00963FD0">
        <w:t>http://www.epa.gov/statelocalclimate/documents/pdf/table_rules_of_thumb.pdf</w:t>
      </w:r>
    </w:p>
  </w:footnote>
  <w:footnote w:id="164">
    <w:p w14:paraId="78559285" w14:textId="77777777" w:rsidR="006F57E9" w:rsidRDefault="006F57E9">
      <w:pPr>
        <w:pStyle w:val="FootnoteText"/>
      </w:pPr>
      <w:r>
        <w:rPr>
          <w:rStyle w:val="FootnoteReference"/>
        </w:rPr>
        <w:footnoteRef/>
      </w:r>
      <w:r>
        <w:t xml:space="preserve"> </w:t>
      </w:r>
      <w:r w:rsidRPr="00963FD0">
        <w:t>DEER ExAnte2013 - RTU-Retro, Rooftop Unit retrocommissioning COM IOU Workpaper</w:t>
      </w:r>
    </w:p>
  </w:footnote>
  <w:footnote w:id="165">
    <w:p w14:paraId="05E2EA23" w14:textId="77777777" w:rsidR="006F57E9" w:rsidRDefault="006F57E9">
      <w:pPr>
        <w:pStyle w:val="FootnoteText"/>
      </w:pPr>
      <w:r>
        <w:rPr>
          <w:rStyle w:val="FootnoteReference"/>
        </w:rPr>
        <w:footnoteRef/>
      </w:r>
      <w:r>
        <w:t xml:space="preserve"> Informal comment received in response to webinar held April 20, 2017. </w:t>
      </w:r>
    </w:p>
  </w:footnote>
  <w:footnote w:id="166">
    <w:p w14:paraId="6D3CF0E4" w14:textId="77777777" w:rsidR="006F57E9" w:rsidRDefault="006F57E9">
      <w:pPr>
        <w:pStyle w:val="FootnoteText"/>
      </w:pPr>
      <w:r>
        <w:rPr>
          <w:rStyle w:val="FootnoteReference"/>
        </w:rPr>
        <w:footnoteRef/>
      </w:r>
      <w:r>
        <w:t xml:space="preserve"> </w:t>
      </w:r>
      <w:r w:rsidRPr="00110EF9">
        <w:t>Version 1.0, February 8, 2017. Prepared by Sergio Dias Consulting LLC</w:t>
      </w:r>
    </w:p>
  </w:footnote>
  <w:footnote w:id="167">
    <w:p w14:paraId="55F25329" w14:textId="77777777" w:rsidR="006F57E9" w:rsidRPr="005F4903" w:rsidRDefault="006F57E9" w:rsidP="00F93ED8">
      <w:pPr>
        <w:pStyle w:val="FootnoteText"/>
      </w:pPr>
      <w:r w:rsidRPr="005F4903">
        <w:rPr>
          <w:vertAlign w:val="superscript"/>
        </w:rPr>
        <w:footnoteRef/>
      </w:r>
      <w:r w:rsidRPr="005F4903">
        <w:t xml:space="preserve"> Strategic Energy Management -- Comments and Responses on Design and EMV Guides, </w:t>
      </w:r>
      <w:hyperlink r:id="rId26" w:history="1">
        <w:r w:rsidRPr="005F4903">
          <w:t>http://www.energydataweb.com/cpuc/search.aspx</w:t>
        </w:r>
      </w:hyperlink>
    </w:p>
  </w:footnote>
  <w:footnote w:id="168">
    <w:p w14:paraId="4C6D414F" w14:textId="77777777" w:rsidR="006F57E9" w:rsidRPr="008C4F8B" w:rsidRDefault="006F57E9" w:rsidP="00D522CA">
      <w:pPr>
        <w:pStyle w:val="FootnoteText"/>
      </w:pPr>
      <w:r w:rsidRPr="005F4903">
        <w:rPr>
          <w:vertAlign w:val="superscript"/>
        </w:rPr>
        <w:footnoteRef/>
      </w:r>
      <w:r w:rsidRPr="008C4F8B">
        <w:t xml:space="preserve"> Energy Efficiency Business Plan, 2018–2025</w:t>
      </w:r>
    </w:p>
  </w:footnote>
  <w:footnote w:id="169">
    <w:p w14:paraId="166F3F61" w14:textId="77777777" w:rsidR="006F57E9" w:rsidRPr="008C4F8B" w:rsidRDefault="006F57E9" w:rsidP="00D522CA">
      <w:pPr>
        <w:pStyle w:val="FootnoteText"/>
      </w:pPr>
      <w:r w:rsidRPr="005F4903">
        <w:rPr>
          <w:vertAlign w:val="superscript"/>
        </w:rPr>
        <w:footnoteRef/>
      </w:r>
      <w:r w:rsidRPr="008C4F8B">
        <w:t xml:space="preserve"> Southern California Edison Company’s Energy Efficiency Rolling Portfolio Business Plan For 2018-2025, January 17, 2017</w:t>
      </w:r>
    </w:p>
  </w:footnote>
  <w:footnote w:id="170">
    <w:p w14:paraId="44DF313F" w14:textId="77777777" w:rsidR="006F57E9" w:rsidRDefault="006F57E9" w:rsidP="00D522CA">
      <w:pPr>
        <w:pStyle w:val="FootnoteText"/>
      </w:pPr>
      <w:r w:rsidRPr="005F4903">
        <w:rPr>
          <w:vertAlign w:val="superscript"/>
        </w:rPr>
        <w:footnoteRef/>
      </w:r>
      <w:r w:rsidRPr="008C4F8B">
        <w:t xml:space="preserve"> Southern California Gas Company’s Energy Efficiency Rolling Portfolio Business Plan For 2018-2025, January 2017</w:t>
      </w:r>
    </w:p>
  </w:footnote>
  <w:footnote w:id="171">
    <w:p w14:paraId="417122E4" w14:textId="77777777" w:rsidR="006F57E9" w:rsidRDefault="006F57E9">
      <w:pPr>
        <w:pStyle w:val="FootnoteText"/>
      </w:pPr>
      <w:r>
        <w:rPr>
          <w:rStyle w:val="FootnoteReference"/>
        </w:rPr>
        <w:footnoteRef/>
      </w:r>
      <w:r>
        <w:t xml:space="preserve"> </w:t>
      </w:r>
      <w:r>
        <w:rPr>
          <w:sz w:val="20"/>
        </w:rPr>
        <w:t>Electric (</w:t>
      </w:r>
      <w:r w:rsidRPr="004C3E4D">
        <w:rPr>
          <w:sz w:val="20"/>
        </w:rPr>
        <w:t>GWh</w:t>
      </w:r>
      <w:r>
        <w:rPr>
          <w:sz w:val="20"/>
        </w:rPr>
        <w:t>)</w:t>
      </w:r>
      <w:r w:rsidRPr="004C3E4D">
        <w:rPr>
          <w:sz w:val="20"/>
        </w:rPr>
        <w:t xml:space="preserve"> and </w:t>
      </w:r>
      <w:r>
        <w:rPr>
          <w:sz w:val="20"/>
        </w:rPr>
        <w:t>natural gas (t</w:t>
      </w:r>
      <w:r w:rsidRPr="004C3E4D">
        <w:rPr>
          <w:sz w:val="20"/>
        </w:rPr>
        <w:t>herm) from the 2017 IEPR Forecast</w:t>
      </w:r>
    </w:p>
  </w:footnote>
  <w:footnote w:id="172">
    <w:p w14:paraId="2C5458F9" w14:textId="77777777" w:rsidR="006F57E9" w:rsidRDefault="006F57E9" w:rsidP="006B44D0">
      <w:pPr>
        <w:pStyle w:val="FootnoteText"/>
      </w:pPr>
      <w:r>
        <w:rPr>
          <w:rStyle w:val="FootnoteReference"/>
        </w:rPr>
        <w:footnoteRef/>
      </w:r>
      <w:r>
        <w:t xml:space="preserve"> Compliance rates are specific to 2016 for electric energy savings. Full details are available in the model.</w:t>
      </w:r>
    </w:p>
  </w:footnote>
  <w:footnote w:id="173">
    <w:p w14:paraId="3AE6219F"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California Public Utilities Commission. Itron, Inc. CALMAC Study ID: SCE0220.01</w:t>
      </w:r>
    </w:p>
  </w:footnote>
  <w:footnote w:id="174">
    <w:p w14:paraId="29A4B072"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California Public Utilities Commission. Itron, Inc. February 3, 2010. CALMAC Study ID: CPU0017.01 </w:t>
      </w:r>
    </w:p>
  </w:footnote>
  <w:footnote w:id="175">
    <w:p w14:paraId="2E11DD88"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California Public Utilities Commission. Itron, Inc. February 3, 2010, CALMAC Study ID: CPU0018.01</w:t>
      </w:r>
    </w:p>
  </w:footnote>
  <w:footnote w:id="176">
    <w:p w14:paraId="7E6C7542"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California Public Utilities Commission. Itron, Inc. July 14, 2014. 2010-12 WO033. CALMAC Study ID: CPU0072.01</w:t>
      </w:r>
    </w:p>
  </w:footnote>
  <w:footnote w:id="177">
    <w:p w14:paraId="21DB506D"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California Public Utilities Commission. Itron, Inc. September 24, 2014. CALMAC Study ID: CPU0072.03</w:t>
      </w:r>
    </w:p>
  </w:footnote>
  <w:footnote w:id="178">
    <w:p w14:paraId="75A92B5A"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California Public Utilities Commission. Itron, Inc. July 17, 2015. CALMAC Study ID: CPU0147.01</w:t>
      </w:r>
    </w:p>
  </w:footnote>
  <w:footnote w:id="179">
    <w:p w14:paraId="75F12004"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California Public Utilities Commission. Itron, Inc. April 29, 2016. CALMAC Study ID:</w:t>
      </w:r>
    </w:p>
  </w:footnote>
  <w:footnote w:id="180">
    <w:p w14:paraId="3E663144"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CPUC, June 15, 2015</w:t>
      </w:r>
    </w:p>
  </w:footnote>
  <w:footnote w:id="181">
    <w:p w14:paraId="717CC243" w14:textId="77777777" w:rsidR="006F57E9" w:rsidRPr="00325203" w:rsidRDefault="006F57E9" w:rsidP="002A4C2F">
      <w:pPr>
        <w:pStyle w:val="FootnoteText"/>
        <w:rPr>
          <w:sz w:val="20"/>
        </w:rPr>
      </w:pPr>
      <w:r w:rsidRPr="00325203">
        <w:rPr>
          <w:rStyle w:val="FootnoteReference"/>
          <w:sz w:val="20"/>
        </w:rPr>
        <w:footnoteRef/>
      </w:r>
      <w:r w:rsidRPr="00325203">
        <w:rPr>
          <w:sz w:val="20"/>
        </w:rPr>
        <w:t xml:space="preserve"> CPUC, August 1, 2016 </w:t>
      </w:r>
    </w:p>
  </w:footnote>
  <w:footnote w:id="182">
    <w:p w14:paraId="5A3565E5" w14:textId="77777777" w:rsidR="006F57E9" w:rsidRDefault="006F57E9" w:rsidP="002A4C2F">
      <w:pPr>
        <w:pStyle w:val="FootnoteText"/>
      </w:pPr>
      <w:r w:rsidRPr="00325203">
        <w:rPr>
          <w:rStyle w:val="FootnoteReference"/>
          <w:sz w:val="20"/>
        </w:rPr>
        <w:footnoteRef/>
      </w:r>
      <w:r w:rsidRPr="00325203">
        <w:rPr>
          <w:sz w:val="20"/>
        </w:rPr>
        <w:t xml:space="preserve"> Resolution E-4807, CPUC, December 15, 2016</w:t>
      </w:r>
    </w:p>
  </w:footnote>
  <w:footnote w:id="183">
    <w:p w14:paraId="4D92EF36" w14:textId="77777777" w:rsidR="006F57E9" w:rsidRDefault="006F57E9">
      <w:pPr>
        <w:pStyle w:val="FootnoteText"/>
      </w:pPr>
      <w:r>
        <w:rPr>
          <w:rStyle w:val="FootnoteReference"/>
        </w:rPr>
        <w:footnoteRef/>
      </w:r>
      <w:r>
        <w:t xml:space="preserve"> </w:t>
      </w:r>
      <w:r>
        <w:rPr>
          <w:sz w:val="20"/>
        </w:rPr>
        <w:t>Electric (</w:t>
      </w:r>
      <w:r w:rsidRPr="004C3E4D">
        <w:rPr>
          <w:sz w:val="20"/>
        </w:rPr>
        <w:t>GWh</w:t>
      </w:r>
      <w:r>
        <w:rPr>
          <w:sz w:val="20"/>
        </w:rPr>
        <w:t>)</w:t>
      </w:r>
      <w:r w:rsidRPr="004C3E4D">
        <w:rPr>
          <w:sz w:val="20"/>
        </w:rPr>
        <w:t xml:space="preserve"> and </w:t>
      </w:r>
      <w:r>
        <w:rPr>
          <w:sz w:val="20"/>
        </w:rPr>
        <w:t>natural gas (t</w:t>
      </w:r>
      <w:r w:rsidRPr="004C3E4D">
        <w:rPr>
          <w:sz w:val="20"/>
        </w:rPr>
        <w:t>herm) from the 2017 IEPR Forecast</w:t>
      </w:r>
    </w:p>
  </w:footnote>
  <w:footnote w:id="184">
    <w:p w14:paraId="18EFCF79" w14:textId="77777777" w:rsidR="006F57E9" w:rsidRPr="007E4FF4" w:rsidRDefault="006F57E9" w:rsidP="002A4C2F">
      <w:pPr>
        <w:pStyle w:val="FootnoteText"/>
        <w:rPr>
          <w:sz w:val="20"/>
        </w:rPr>
      </w:pPr>
      <w:r w:rsidRPr="007E4FF4">
        <w:rPr>
          <w:rStyle w:val="FootnoteReference"/>
          <w:sz w:val="20"/>
        </w:rPr>
        <w:footnoteRef/>
      </w:r>
      <w:r w:rsidRPr="007E4FF4">
        <w:rPr>
          <w:sz w:val="20"/>
        </w:rPr>
        <w:t xml:space="preserve"> http://www.etcc-ca.com/reports</w:t>
      </w:r>
    </w:p>
  </w:footnote>
  <w:footnote w:id="185">
    <w:p w14:paraId="42F71B2A" w14:textId="77777777" w:rsidR="006F57E9" w:rsidRPr="007E4FF4" w:rsidRDefault="006F57E9" w:rsidP="002A4C2F">
      <w:pPr>
        <w:pStyle w:val="FootnoteText"/>
        <w:rPr>
          <w:sz w:val="20"/>
        </w:rPr>
      </w:pPr>
      <w:r w:rsidRPr="007E4FF4">
        <w:rPr>
          <w:rStyle w:val="FootnoteReference"/>
          <w:sz w:val="20"/>
        </w:rPr>
        <w:footnoteRef/>
      </w:r>
      <w:r w:rsidRPr="007E4FF4">
        <w:rPr>
          <w:sz w:val="20"/>
        </w:rPr>
        <w:t xml:space="preserve"> http://www.energy.ca.gov/publications/searchReports.php?pier1=Buildings%20End-Use%20Energy%20Efficiency</w:t>
      </w:r>
    </w:p>
  </w:footnote>
  <w:footnote w:id="186">
    <w:p w14:paraId="1CD9FBAB" w14:textId="77777777" w:rsidR="006F57E9" w:rsidRPr="007E4FF4" w:rsidRDefault="006F57E9" w:rsidP="002A4C2F">
      <w:pPr>
        <w:pStyle w:val="FootnoteText"/>
        <w:rPr>
          <w:sz w:val="20"/>
        </w:rPr>
      </w:pPr>
      <w:r w:rsidRPr="007E4FF4">
        <w:rPr>
          <w:rStyle w:val="FootnoteReference"/>
          <w:sz w:val="20"/>
        </w:rPr>
        <w:footnoteRef/>
      </w:r>
      <w:r w:rsidRPr="007E4FF4">
        <w:rPr>
          <w:sz w:val="20"/>
        </w:rPr>
        <w:t xml:space="preserve"> https://energy.gov/eere/amo/research-development-projects</w:t>
      </w:r>
    </w:p>
  </w:footnote>
  <w:footnote w:id="187">
    <w:p w14:paraId="719887B0" w14:textId="77777777" w:rsidR="006F57E9" w:rsidRDefault="006F57E9" w:rsidP="002A4C2F">
      <w:pPr>
        <w:pStyle w:val="FootnoteText"/>
      </w:pPr>
      <w:r w:rsidRPr="007E4FF4">
        <w:rPr>
          <w:rStyle w:val="FootnoteReference"/>
          <w:sz w:val="20"/>
        </w:rPr>
        <w:footnoteRef/>
      </w:r>
      <w:r w:rsidRPr="007E4FF4">
        <w:rPr>
          <w:sz w:val="20"/>
        </w:rPr>
        <w:t xml:space="preserve"> https://energy.gov/eere/buildings/emerging-technologies</w:t>
      </w:r>
    </w:p>
  </w:footnote>
  <w:footnote w:id="188">
    <w:p w14:paraId="039A7077" w14:textId="77777777" w:rsidR="006F57E9" w:rsidRDefault="006F57E9" w:rsidP="00742FC0">
      <w:pPr>
        <w:pStyle w:val="FootnoteText"/>
      </w:pPr>
      <w:r>
        <w:rPr>
          <w:rStyle w:val="FootnoteReference"/>
          <w:rFonts w:eastAsiaTheme="majorEastAsia"/>
        </w:rPr>
        <w:footnoteRef/>
      </w:r>
      <w:r>
        <w:t xml:space="preserve"> Energy use trend analysis provided by CEC.</w:t>
      </w:r>
    </w:p>
  </w:footnote>
  <w:footnote w:id="189">
    <w:p w14:paraId="56D92CB7" w14:textId="77777777" w:rsidR="006F57E9" w:rsidRDefault="006F57E9" w:rsidP="00A40F34">
      <w:pPr>
        <w:pStyle w:val="FootnoteText"/>
      </w:pPr>
      <w:r>
        <w:rPr>
          <w:rStyle w:val="FootnoteReference"/>
          <w:rFonts w:eastAsiaTheme="majorEastAsia"/>
        </w:rPr>
        <w:footnoteRef/>
      </w:r>
      <w:r>
        <w:t xml:space="preserve"> Sirkin, H. et al. </w:t>
      </w:r>
      <w:r>
        <w:rPr>
          <w:i/>
        </w:rPr>
        <w:t>U.S. Manufacturing Nears the Tipping Point</w:t>
      </w:r>
      <w:r>
        <w:t>, The Boston Consulting Group, March 2012.</w:t>
      </w:r>
    </w:p>
  </w:footnote>
  <w:footnote w:id="190">
    <w:p w14:paraId="64955E1E" w14:textId="77777777" w:rsidR="006F57E9" w:rsidRDefault="006F57E9" w:rsidP="00064586">
      <w:pPr>
        <w:pStyle w:val="FootnoteText"/>
      </w:pPr>
      <w:r>
        <w:rPr>
          <w:rStyle w:val="FootnoteReference"/>
        </w:rPr>
        <w:footnoteRef/>
      </w:r>
      <w:r>
        <w:t xml:space="preserve"> </w:t>
      </w:r>
      <w:r>
        <w:rPr>
          <w:sz w:val="20"/>
        </w:rPr>
        <w:t>Electric (</w:t>
      </w:r>
      <w:r w:rsidRPr="004C3E4D">
        <w:rPr>
          <w:sz w:val="20"/>
        </w:rPr>
        <w:t>GWh</w:t>
      </w:r>
      <w:r>
        <w:rPr>
          <w:sz w:val="20"/>
        </w:rPr>
        <w:t>)</w:t>
      </w:r>
      <w:r w:rsidRPr="004C3E4D">
        <w:rPr>
          <w:sz w:val="20"/>
        </w:rPr>
        <w:t xml:space="preserve"> and </w:t>
      </w:r>
      <w:r>
        <w:rPr>
          <w:sz w:val="20"/>
        </w:rPr>
        <w:t>natural gas (t</w:t>
      </w:r>
      <w:r w:rsidRPr="004C3E4D">
        <w:rPr>
          <w:sz w:val="20"/>
        </w:rPr>
        <w:t>herm) from the 2017 IEPR Forecast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700"/>
      <w:gridCol w:w="6650"/>
    </w:tblGrid>
    <w:tr w:rsidR="006F57E9" w14:paraId="654CAE08" w14:textId="77777777" w:rsidTr="00110120">
      <w:tc>
        <w:tcPr>
          <w:tcW w:w="2700" w:type="dxa"/>
          <w:shd w:val="clear" w:color="auto" w:fill="auto"/>
          <w:vAlign w:val="center"/>
        </w:tcPr>
        <w:p w14:paraId="2CBC78D4" w14:textId="77777777" w:rsidR="006F57E9" w:rsidRDefault="006F57E9" w:rsidP="00263755">
          <w:pPr>
            <w:pStyle w:val="Header"/>
          </w:pPr>
        </w:p>
      </w:tc>
      <w:tc>
        <w:tcPr>
          <w:tcW w:w="6650" w:type="dxa"/>
          <w:shd w:val="clear" w:color="auto" w:fill="555759"/>
          <w:vAlign w:val="center"/>
        </w:tcPr>
        <w:p w14:paraId="55742F70" w14:textId="3C04444B" w:rsidR="006F57E9" w:rsidRPr="00FE3230" w:rsidRDefault="006F57E9" w:rsidP="00E37696">
          <w:pPr>
            <w:pStyle w:val="ProposalTitleGreen"/>
            <w:rPr>
              <w:b w:val="0"/>
              <w:color w:val="FFFFFF"/>
              <w:sz w:val="24"/>
            </w:rPr>
          </w:pPr>
          <w:r w:rsidRPr="00FE3230">
            <w:rPr>
              <w:b w:val="0"/>
              <w:color w:val="FFFFFF"/>
              <w:sz w:val="24"/>
            </w:rPr>
            <w:fldChar w:fldCharType="begin"/>
          </w:r>
          <w:r w:rsidRPr="00FE3230">
            <w:rPr>
              <w:b w:val="0"/>
              <w:color w:val="FFFFFF"/>
              <w:sz w:val="24"/>
            </w:rPr>
            <w:instrText xml:space="preserve"> STYLEREF  "Title,Proposal Title"  \* MERGEFORMAT </w:instrText>
          </w:r>
          <w:r w:rsidRPr="00FE3230">
            <w:rPr>
              <w:b w:val="0"/>
              <w:color w:val="FFFFFF"/>
              <w:sz w:val="24"/>
            </w:rPr>
            <w:fldChar w:fldCharType="separate"/>
          </w:r>
          <w:r w:rsidR="00416D32" w:rsidRPr="00416D32">
            <w:rPr>
              <w:b w:val="0"/>
              <w:bCs/>
              <w:noProof/>
              <w:color w:val="FFFFFF"/>
              <w:sz w:val="24"/>
            </w:rPr>
            <w:t>Energy Efficiency</w:t>
          </w:r>
          <w:r w:rsidR="00416D32">
            <w:rPr>
              <w:b w:val="0"/>
              <w:noProof/>
              <w:color w:val="FFFFFF"/>
              <w:sz w:val="24"/>
            </w:rPr>
            <w:t xml:space="preserve"> Potential and Goals Study for 2018 and Beyond</w:t>
          </w:r>
          <w:r w:rsidRPr="00FE3230">
            <w:rPr>
              <w:b w:val="0"/>
              <w:noProof/>
              <w:color w:val="FFFFFF"/>
              <w:sz w:val="24"/>
            </w:rPr>
            <w:fldChar w:fldCharType="end"/>
          </w:r>
        </w:p>
      </w:tc>
    </w:tr>
  </w:tbl>
  <w:p w14:paraId="49BD5AA6" w14:textId="77777777" w:rsidR="006F57E9" w:rsidRDefault="006F57E9" w:rsidP="00263755">
    <w:pPr>
      <w:pStyle w:val="NoSpacing"/>
    </w:pPr>
    <w:r>
      <w:rPr>
        <w:noProof/>
      </w:rPr>
      <w:drawing>
        <wp:anchor distT="0" distB="0" distL="114300" distR="114300" simplePos="0" relativeHeight="251658240" behindDoc="0" locked="0" layoutInCell="1" allowOverlap="1" wp14:anchorId="504EE675" wp14:editId="7DEBFA15">
          <wp:simplePos x="0" y="0"/>
          <wp:positionH relativeFrom="column">
            <wp:posOffset>0</wp:posOffset>
          </wp:positionH>
          <wp:positionV relativeFrom="paragraph">
            <wp:posOffset>-376555</wp:posOffset>
          </wp:positionV>
          <wp:extent cx="1490345" cy="255905"/>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255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F992E" w14:textId="77777777" w:rsidR="006F57E9" w:rsidRDefault="006F57E9" w:rsidP="00495F1E">
    <w:pPr>
      <w:pStyle w:val="Header"/>
    </w:pPr>
    <w:r>
      <w:rPr>
        <w:noProof/>
      </w:rPr>
      <w:drawing>
        <wp:anchor distT="0" distB="0" distL="114300" distR="114300" simplePos="0" relativeHeight="251658242" behindDoc="0" locked="0" layoutInCell="1" allowOverlap="1" wp14:anchorId="60E5E0D4" wp14:editId="6DEEFFC0">
          <wp:simplePos x="0" y="0"/>
          <wp:positionH relativeFrom="margin">
            <wp:posOffset>0</wp:posOffset>
          </wp:positionH>
          <wp:positionV relativeFrom="paragraph">
            <wp:posOffset>0</wp:posOffset>
          </wp:positionV>
          <wp:extent cx="1935480" cy="332740"/>
          <wp:effectExtent l="0" t="0" r="7620" b="0"/>
          <wp:wrapNone/>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548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4D667AF" wp14:editId="30544CAA">
          <wp:simplePos x="0" y="0"/>
          <wp:positionH relativeFrom="page">
            <wp:posOffset>253420</wp:posOffset>
          </wp:positionH>
          <wp:positionV relativeFrom="page">
            <wp:posOffset>-212698</wp:posOffset>
          </wp:positionV>
          <wp:extent cx="7886700" cy="10277475"/>
          <wp:effectExtent l="0" t="0" r="0" b="9525"/>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0" cy="10277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6AB"/>
    <w:multiLevelType w:val="hybridMultilevel"/>
    <w:tmpl w:val="3580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3E44E5"/>
    <w:multiLevelType w:val="hybridMultilevel"/>
    <w:tmpl w:val="7FB24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A72463"/>
    <w:multiLevelType w:val="hybridMultilevel"/>
    <w:tmpl w:val="361A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C35D3"/>
    <w:multiLevelType w:val="hybridMultilevel"/>
    <w:tmpl w:val="616247F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04642A77"/>
    <w:multiLevelType w:val="hybridMultilevel"/>
    <w:tmpl w:val="30768752"/>
    <w:lvl w:ilvl="0" w:tplc="A9D60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C073AA"/>
    <w:multiLevelType w:val="hybridMultilevel"/>
    <w:tmpl w:val="089A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06C82"/>
    <w:multiLevelType w:val="hybridMultilevel"/>
    <w:tmpl w:val="22A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12F8C"/>
    <w:multiLevelType w:val="hybridMultilevel"/>
    <w:tmpl w:val="7610BB5C"/>
    <w:lvl w:ilvl="0" w:tplc="44B2E45C">
      <w:start w:val="1"/>
      <w:numFmt w:val="bullet"/>
      <w:lvlText w:val="o"/>
      <w:lvlJc w:val="left"/>
      <w:pPr>
        <w:tabs>
          <w:tab w:val="num" w:pos="720"/>
        </w:tabs>
        <w:ind w:left="720" w:hanging="360"/>
      </w:pPr>
      <w:rPr>
        <w:rFonts w:ascii="Courier New" w:hAnsi="Courier New" w:hint="default"/>
      </w:rPr>
    </w:lvl>
    <w:lvl w:ilvl="1" w:tplc="5AD87ED2" w:tentative="1">
      <w:start w:val="1"/>
      <w:numFmt w:val="bullet"/>
      <w:lvlText w:val="o"/>
      <w:lvlJc w:val="left"/>
      <w:pPr>
        <w:tabs>
          <w:tab w:val="num" w:pos="1440"/>
        </w:tabs>
        <w:ind w:left="1440" w:hanging="360"/>
      </w:pPr>
      <w:rPr>
        <w:rFonts w:ascii="Courier New" w:hAnsi="Courier New" w:hint="default"/>
      </w:rPr>
    </w:lvl>
    <w:lvl w:ilvl="2" w:tplc="AE80185C" w:tentative="1">
      <w:start w:val="1"/>
      <w:numFmt w:val="bullet"/>
      <w:lvlText w:val="o"/>
      <w:lvlJc w:val="left"/>
      <w:pPr>
        <w:tabs>
          <w:tab w:val="num" w:pos="2160"/>
        </w:tabs>
        <w:ind w:left="2160" w:hanging="360"/>
      </w:pPr>
      <w:rPr>
        <w:rFonts w:ascii="Courier New" w:hAnsi="Courier New" w:hint="default"/>
      </w:rPr>
    </w:lvl>
    <w:lvl w:ilvl="3" w:tplc="00D68A5A" w:tentative="1">
      <w:start w:val="1"/>
      <w:numFmt w:val="bullet"/>
      <w:lvlText w:val="o"/>
      <w:lvlJc w:val="left"/>
      <w:pPr>
        <w:tabs>
          <w:tab w:val="num" w:pos="2880"/>
        </w:tabs>
        <w:ind w:left="2880" w:hanging="360"/>
      </w:pPr>
      <w:rPr>
        <w:rFonts w:ascii="Courier New" w:hAnsi="Courier New" w:hint="default"/>
      </w:rPr>
    </w:lvl>
    <w:lvl w:ilvl="4" w:tplc="34D09694" w:tentative="1">
      <w:start w:val="1"/>
      <w:numFmt w:val="bullet"/>
      <w:lvlText w:val="o"/>
      <w:lvlJc w:val="left"/>
      <w:pPr>
        <w:tabs>
          <w:tab w:val="num" w:pos="3600"/>
        </w:tabs>
        <w:ind w:left="3600" w:hanging="360"/>
      </w:pPr>
      <w:rPr>
        <w:rFonts w:ascii="Courier New" w:hAnsi="Courier New" w:hint="default"/>
      </w:rPr>
    </w:lvl>
    <w:lvl w:ilvl="5" w:tplc="2D0C7B26" w:tentative="1">
      <w:start w:val="1"/>
      <w:numFmt w:val="bullet"/>
      <w:lvlText w:val="o"/>
      <w:lvlJc w:val="left"/>
      <w:pPr>
        <w:tabs>
          <w:tab w:val="num" w:pos="4320"/>
        </w:tabs>
        <w:ind w:left="4320" w:hanging="360"/>
      </w:pPr>
      <w:rPr>
        <w:rFonts w:ascii="Courier New" w:hAnsi="Courier New" w:hint="default"/>
      </w:rPr>
    </w:lvl>
    <w:lvl w:ilvl="6" w:tplc="0214377A" w:tentative="1">
      <w:start w:val="1"/>
      <w:numFmt w:val="bullet"/>
      <w:lvlText w:val="o"/>
      <w:lvlJc w:val="left"/>
      <w:pPr>
        <w:tabs>
          <w:tab w:val="num" w:pos="5040"/>
        </w:tabs>
        <w:ind w:left="5040" w:hanging="360"/>
      </w:pPr>
      <w:rPr>
        <w:rFonts w:ascii="Courier New" w:hAnsi="Courier New" w:hint="default"/>
      </w:rPr>
    </w:lvl>
    <w:lvl w:ilvl="7" w:tplc="8F6E0940" w:tentative="1">
      <w:start w:val="1"/>
      <w:numFmt w:val="bullet"/>
      <w:lvlText w:val="o"/>
      <w:lvlJc w:val="left"/>
      <w:pPr>
        <w:tabs>
          <w:tab w:val="num" w:pos="5760"/>
        </w:tabs>
        <w:ind w:left="5760" w:hanging="360"/>
      </w:pPr>
      <w:rPr>
        <w:rFonts w:ascii="Courier New" w:hAnsi="Courier New" w:hint="default"/>
      </w:rPr>
    </w:lvl>
    <w:lvl w:ilvl="8" w:tplc="3AA413AC"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65179FF"/>
    <w:multiLevelType w:val="multilevel"/>
    <w:tmpl w:val="C1820B6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720" w:hanging="720"/>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9144" w:hanging="864"/>
      </w:pPr>
      <w:rPr>
        <w:rFonts w:ascii="Arial Bold" w:hAnsi="Arial Bold" w:hint="default"/>
        <w:b/>
        <w:i/>
        <w:color w:val="555759"/>
        <w:kern w:val="0"/>
        <w:position w:val="0"/>
        <w:sz w:val="20"/>
      </w:rPr>
    </w:lvl>
    <w:lvl w:ilvl="4">
      <w:start w:val="1"/>
      <w:numFmt w:val="upperLetter"/>
      <w:pStyle w:val="Heading5"/>
      <w:suff w:val="space"/>
      <w:lvlText w:val="Appendix %5."/>
      <w:lvlJc w:val="left"/>
      <w:pPr>
        <w:ind w:left="1098" w:hanging="1098"/>
      </w:pPr>
      <w:rPr>
        <w:rFonts w:ascii="Arial Bold" w:hAnsi="Arial Bold" w:hint="default"/>
        <w:b/>
        <w:bCs w:val="0"/>
        <w:i w:val="0"/>
        <w:iCs w:val="0"/>
        <w:caps/>
        <w:smallCaps w:val="0"/>
        <w:strike w:val="0"/>
        <w:dstrike w:val="0"/>
        <w:noProof w:val="0"/>
        <w:vanish w:val="0"/>
        <w:color w:val="95D600"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Bold" w:hAnsi="Arial Bold" w:hint="default"/>
        <w:b/>
        <w:i w:val="0"/>
        <w:color w:val="555759"/>
        <w:kern w:val="0"/>
        <w:sz w:val="26"/>
      </w:rPr>
    </w:lvl>
    <w:lvl w:ilvl="6">
      <w:start w:val="1"/>
      <w:numFmt w:val="none"/>
      <w:lvlText w:val=""/>
      <w:lvlJc w:val="left"/>
      <w:pPr>
        <w:ind w:left="720" w:hanging="720"/>
      </w:pPr>
      <w:rPr>
        <w:rFonts w:ascii="Palatino Linotype" w:hAnsi="Palatino Linotype" w:hint="default"/>
        <w:b/>
        <w:i/>
        <w:color w:val="auto"/>
        <w:sz w:val="24"/>
      </w:rPr>
    </w:lvl>
    <w:lvl w:ilvl="7">
      <w:start w:val="1"/>
      <w:numFmt w:val="none"/>
      <w:lvlText w:val=""/>
      <w:lvlJc w:val="left"/>
      <w:pPr>
        <w:ind w:left="720" w:hanging="720"/>
      </w:pPr>
      <w:rPr>
        <w:rFonts w:ascii="Arial Narrow" w:hAnsi="Arial Narrow" w:hint="default"/>
        <w:b/>
        <w:i w:val="0"/>
        <w:color w:val="A15500"/>
        <w:sz w:val="20"/>
        <w:u w:color="FFFFFF"/>
      </w:rPr>
    </w:lvl>
    <w:lvl w:ilvl="8">
      <w:start w:val="1"/>
      <w:numFmt w:val="none"/>
      <w:lvlText w:val=""/>
      <w:lvlJc w:val="left"/>
      <w:pPr>
        <w:ind w:left="1584" w:hanging="1584"/>
      </w:pPr>
      <w:rPr>
        <w:rFonts w:hint="default"/>
      </w:rPr>
    </w:lvl>
  </w:abstractNum>
  <w:abstractNum w:abstractNumId="9" w15:restartNumberingAfterBreak="0">
    <w:nsid w:val="06C56107"/>
    <w:multiLevelType w:val="hybridMultilevel"/>
    <w:tmpl w:val="08F8568C"/>
    <w:lvl w:ilvl="0" w:tplc="BCC20E1E">
      <w:start w:val="1"/>
      <w:numFmt w:val="bullet"/>
      <w:lvlText w:val="o"/>
      <w:lvlJc w:val="left"/>
      <w:pPr>
        <w:tabs>
          <w:tab w:val="num" w:pos="720"/>
        </w:tabs>
        <w:ind w:left="720" w:hanging="360"/>
      </w:pPr>
      <w:rPr>
        <w:rFonts w:ascii="Courier New" w:hAnsi="Courier New" w:hint="default"/>
      </w:rPr>
    </w:lvl>
    <w:lvl w:ilvl="1" w:tplc="116006D8" w:tentative="1">
      <w:start w:val="1"/>
      <w:numFmt w:val="bullet"/>
      <w:lvlText w:val="o"/>
      <w:lvlJc w:val="left"/>
      <w:pPr>
        <w:tabs>
          <w:tab w:val="num" w:pos="1440"/>
        </w:tabs>
        <w:ind w:left="1440" w:hanging="360"/>
      </w:pPr>
      <w:rPr>
        <w:rFonts w:ascii="Courier New" w:hAnsi="Courier New" w:hint="default"/>
      </w:rPr>
    </w:lvl>
    <w:lvl w:ilvl="2" w:tplc="F37ECDF8" w:tentative="1">
      <w:start w:val="1"/>
      <w:numFmt w:val="bullet"/>
      <w:lvlText w:val="o"/>
      <w:lvlJc w:val="left"/>
      <w:pPr>
        <w:tabs>
          <w:tab w:val="num" w:pos="2160"/>
        </w:tabs>
        <w:ind w:left="2160" w:hanging="360"/>
      </w:pPr>
      <w:rPr>
        <w:rFonts w:ascii="Courier New" w:hAnsi="Courier New" w:hint="default"/>
      </w:rPr>
    </w:lvl>
    <w:lvl w:ilvl="3" w:tplc="209ECE8C" w:tentative="1">
      <w:start w:val="1"/>
      <w:numFmt w:val="bullet"/>
      <w:lvlText w:val="o"/>
      <w:lvlJc w:val="left"/>
      <w:pPr>
        <w:tabs>
          <w:tab w:val="num" w:pos="2880"/>
        </w:tabs>
        <w:ind w:left="2880" w:hanging="360"/>
      </w:pPr>
      <w:rPr>
        <w:rFonts w:ascii="Courier New" w:hAnsi="Courier New" w:hint="default"/>
      </w:rPr>
    </w:lvl>
    <w:lvl w:ilvl="4" w:tplc="707A5130" w:tentative="1">
      <w:start w:val="1"/>
      <w:numFmt w:val="bullet"/>
      <w:lvlText w:val="o"/>
      <w:lvlJc w:val="left"/>
      <w:pPr>
        <w:tabs>
          <w:tab w:val="num" w:pos="3600"/>
        </w:tabs>
        <w:ind w:left="3600" w:hanging="360"/>
      </w:pPr>
      <w:rPr>
        <w:rFonts w:ascii="Courier New" w:hAnsi="Courier New" w:hint="default"/>
      </w:rPr>
    </w:lvl>
    <w:lvl w:ilvl="5" w:tplc="10FE38CC" w:tentative="1">
      <w:start w:val="1"/>
      <w:numFmt w:val="bullet"/>
      <w:lvlText w:val="o"/>
      <w:lvlJc w:val="left"/>
      <w:pPr>
        <w:tabs>
          <w:tab w:val="num" w:pos="4320"/>
        </w:tabs>
        <w:ind w:left="4320" w:hanging="360"/>
      </w:pPr>
      <w:rPr>
        <w:rFonts w:ascii="Courier New" w:hAnsi="Courier New" w:hint="default"/>
      </w:rPr>
    </w:lvl>
    <w:lvl w:ilvl="6" w:tplc="73945AF8" w:tentative="1">
      <w:start w:val="1"/>
      <w:numFmt w:val="bullet"/>
      <w:lvlText w:val="o"/>
      <w:lvlJc w:val="left"/>
      <w:pPr>
        <w:tabs>
          <w:tab w:val="num" w:pos="5040"/>
        </w:tabs>
        <w:ind w:left="5040" w:hanging="360"/>
      </w:pPr>
      <w:rPr>
        <w:rFonts w:ascii="Courier New" w:hAnsi="Courier New" w:hint="default"/>
      </w:rPr>
    </w:lvl>
    <w:lvl w:ilvl="7" w:tplc="6D141A54" w:tentative="1">
      <w:start w:val="1"/>
      <w:numFmt w:val="bullet"/>
      <w:lvlText w:val="o"/>
      <w:lvlJc w:val="left"/>
      <w:pPr>
        <w:tabs>
          <w:tab w:val="num" w:pos="5760"/>
        </w:tabs>
        <w:ind w:left="5760" w:hanging="360"/>
      </w:pPr>
      <w:rPr>
        <w:rFonts w:ascii="Courier New" w:hAnsi="Courier New" w:hint="default"/>
      </w:rPr>
    </w:lvl>
    <w:lvl w:ilvl="8" w:tplc="83B2DFE6"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08E56A94"/>
    <w:multiLevelType w:val="hybridMultilevel"/>
    <w:tmpl w:val="FDEE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F9634B"/>
    <w:multiLevelType w:val="hybridMultilevel"/>
    <w:tmpl w:val="FAE0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AF6ECD"/>
    <w:multiLevelType w:val="hybridMultilevel"/>
    <w:tmpl w:val="163C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44445E"/>
    <w:multiLevelType w:val="hybridMultilevel"/>
    <w:tmpl w:val="41002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5B3E8A"/>
    <w:multiLevelType w:val="hybridMultilevel"/>
    <w:tmpl w:val="E49A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E1C73EF"/>
    <w:multiLevelType w:val="hybridMultilevel"/>
    <w:tmpl w:val="B21A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075E6"/>
    <w:multiLevelType w:val="hybridMultilevel"/>
    <w:tmpl w:val="9BFE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F4B9B"/>
    <w:multiLevelType w:val="hybridMultilevel"/>
    <w:tmpl w:val="8674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4F15B7"/>
    <w:multiLevelType w:val="hybridMultilevel"/>
    <w:tmpl w:val="6A68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72C71"/>
    <w:multiLevelType w:val="hybridMultilevel"/>
    <w:tmpl w:val="2ACA03F2"/>
    <w:lvl w:ilvl="0" w:tplc="A9D60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601AA8"/>
    <w:multiLevelType w:val="hybridMultilevel"/>
    <w:tmpl w:val="856C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135E86"/>
    <w:multiLevelType w:val="hybridMultilevel"/>
    <w:tmpl w:val="0D32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CA2AB1"/>
    <w:multiLevelType w:val="hybridMultilevel"/>
    <w:tmpl w:val="E9F6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574C74"/>
    <w:multiLevelType w:val="hybridMultilevel"/>
    <w:tmpl w:val="92D6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5B2E28"/>
    <w:multiLevelType w:val="hybridMultilevel"/>
    <w:tmpl w:val="C78AADEE"/>
    <w:lvl w:ilvl="0" w:tplc="0B9223B8">
      <w:start w:val="1"/>
      <w:numFmt w:val="decimal"/>
      <w:lvlText w:val="%1."/>
      <w:lvlJc w:val="left"/>
      <w:pPr>
        <w:tabs>
          <w:tab w:val="num" w:pos="720"/>
        </w:tabs>
        <w:ind w:left="720" w:hanging="360"/>
      </w:pPr>
    </w:lvl>
    <w:lvl w:ilvl="1" w:tplc="A8F2F7D0">
      <w:start w:val="1"/>
      <w:numFmt w:val="lowerLetter"/>
      <w:lvlText w:val="%2."/>
      <w:lvlJc w:val="left"/>
      <w:pPr>
        <w:tabs>
          <w:tab w:val="num" w:pos="1440"/>
        </w:tabs>
        <w:ind w:left="1440" w:hanging="360"/>
      </w:pPr>
    </w:lvl>
    <w:lvl w:ilvl="2" w:tplc="9E444106" w:tentative="1">
      <w:start w:val="1"/>
      <w:numFmt w:val="decimal"/>
      <w:lvlText w:val="%3."/>
      <w:lvlJc w:val="left"/>
      <w:pPr>
        <w:tabs>
          <w:tab w:val="num" w:pos="2160"/>
        </w:tabs>
        <w:ind w:left="2160" w:hanging="360"/>
      </w:pPr>
    </w:lvl>
    <w:lvl w:ilvl="3" w:tplc="031ECF7C" w:tentative="1">
      <w:start w:val="1"/>
      <w:numFmt w:val="decimal"/>
      <w:lvlText w:val="%4."/>
      <w:lvlJc w:val="left"/>
      <w:pPr>
        <w:tabs>
          <w:tab w:val="num" w:pos="2880"/>
        </w:tabs>
        <w:ind w:left="2880" w:hanging="360"/>
      </w:pPr>
    </w:lvl>
    <w:lvl w:ilvl="4" w:tplc="86841F3A" w:tentative="1">
      <w:start w:val="1"/>
      <w:numFmt w:val="decimal"/>
      <w:lvlText w:val="%5."/>
      <w:lvlJc w:val="left"/>
      <w:pPr>
        <w:tabs>
          <w:tab w:val="num" w:pos="3600"/>
        </w:tabs>
        <w:ind w:left="3600" w:hanging="360"/>
      </w:pPr>
    </w:lvl>
    <w:lvl w:ilvl="5" w:tplc="3904D3A4" w:tentative="1">
      <w:start w:val="1"/>
      <w:numFmt w:val="decimal"/>
      <w:lvlText w:val="%6."/>
      <w:lvlJc w:val="left"/>
      <w:pPr>
        <w:tabs>
          <w:tab w:val="num" w:pos="4320"/>
        </w:tabs>
        <w:ind w:left="4320" w:hanging="360"/>
      </w:pPr>
    </w:lvl>
    <w:lvl w:ilvl="6" w:tplc="B8FE6064" w:tentative="1">
      <w:start w:val="1"/>
      <w:numFmt w:val="decimal"/>
      <w:lvlText w:val="%7."/>
      <w:lvlJc w:val="left"/>
      <w:pPr>
        <w:tabs>
          <w:tab w:val="num" w:pos="5040"/>
        </w:tabs>
        <w:ind w:left="5040" w:hanging="360"/>
      </w:pPr>
    </w:lvl>
    <w:lvl w:ilvl="7" w:tplc="3DC89920" w:tentative="1">
      <w:start w:val="1"/>
      <w:numFmt w:val="decimal"/>
      <w:lvlText w:val="%8."/>
      <w:lvlJc w:val="left"/>
      <w:pPr>
        <w:tabs>
          <w:tab w:val="num" w:pos="5760"/>
        </w:tabs>
        <w:ind w:left="5760" w:hanging="360"/>
      </w:pPr>
    </w:lvl>
    <w:lvl w:ilvl="8" w:tplc="110AE924" w:tentative="1">
      <w:start w:val="1"/>
      <w:numFmt w:val="decimal"/>
      <w:lvlText w:val="%9."/>
      <w:lvlJc w:val="left"/>
      <w:pPr>
        <w:tabs>
          <w:tab w:val="num" w:pos="6480"/>
        </w:tabs>
        <w:ind w:left="6480" w:hanging="360"/>
      </w:pPr>
    </w:lvl>
  </w:abstractNum>
  <w:abstractNum w:abstractNumId="27" w15:restartNumberingAfterBreak="0">
    <w:nsid w:val="1F757AB9"/>
    <w:multiLevelType w:val="hybridMultilevel"/>
    <w:tmpl w:val="B7CE03D0"/>
    <w:lvl w:ilvl="0" w:tplc="AB820A5E">
      <w:start w:val="1"/>
      <w:numFmt w:val="bullet"/>
      <w:lvlText w:val="o"/>
      <w:lvlJc w:val="left"/>
      <w:pPr>
        <w:tabs>
          <w:tab w:val="num" w:pos="720"/>
        </w:tabs>
        <w:ind w:left="720" w:hanging="360"/>
      </w:pPr>
      <w:rPr>
        <w:rFonts w:ascii="Courier New" w:hAnsi="Courier New" w:hint="default"/>
      </w:rPr>
    </w:lvl>
    <w:lvl w:ilvl="1" w:tplc="0D4C7F98" w:tentative="1">
      <w:start w:val="1"/>
      <w:numFmt w:val="bullet"/>
      <w:lvlText w:val="o"/>
      <w:lvlJc w:val="left"/>
      <w:pPr>
        <w:tabs>
          <w:tab w:val="num" w:pos="1440"/>
        </w:tabs>
        <w:ind w:left="1440" w:hanging="360"/>
      </w:pPr>
      <w:rPr>
        <w:rFonts w:ascii="Courier New" w:hAnsi="Courier New" w:hint="default"/>
      </w:rPr>
    </w:lvl>
    <w:lvl w:ilvl="2" w:tplc="59B00636" w:tentative="1">
      <w:start w:val="1"/>
      <w:numFmt w:val="bullet"/>
      <w:lvlText w:val="o"/>
      <w:lvlJc w:val="left"/>
      <w:pPr>
        <w:tabs>
          <w:tab w:val="num" w:pos="2160"/>
        </w:tabs>
        <w:ind w:left="2160" w:hanging="360"/>
      </w:pPr>
      <w:rPr>
        <w:rFonts w:ascii="Courier New" w:hAnsi="Courier New" w:hint="default"/>
      </w:rPr>
    </w:lvl>
    <w:lvl w:ilvl="3" w:tplc="C9CE8AAA" w:tentative="1">
      <w:start w:val="1"/>
      <w:numFmt w:val="bullet"/>
      <w:lvlText w:val="o"/>
      <w:lvlJc w:val="left"/>
      <w:pPr>
        <w:tabs>
          <w:tab w:val="num" w:pos="2880"/>
        </w:tabs>
        <w:ind w:left="2880" w:hanging="360"/>
      </w:pPr>
      <w:rPr>
        <w:rFonts w:ascii="Courier New" w:hAnsi="Courier New" w:hint="default"/>
      </w:rPr>
    </w:lvl>
    <w:lvl w:ilvl="4" w:tplc="4538FF88" w:tentative="1">
      <w:start w:val="1"/>
      <w:numFmt w:val="bullet"/>
      <w:lvlText w:val="o"/>
      <w:lvlJc w:val="left"/>
      <w:pPr>
        <w:tabs>
          <w:tab w:val="num" w:pos="3600"/>
        </w:tabs>
        <w:ind w:left="3600" w:hanging="360"/>
      </w:pPr>
      <w:rPr>
        <w:rFonts w:ascii="Courier New" w:hAnsi="Courier New" w:hint="default"/>
      </w:rPr>
    </w:lvl>
    <w:lvl w:ilvl="5" w:tplc="C48CA7B2" w:tentative="1">
      <w:start w:val="1"/>
      <w:numFmt w:val="bullet"/>
      <w:lvlText w:val="o"/>
      <w:lvlJc w:val="left"/>
      <w:pPr>
        <w:tabs>
          <w:tab w:val="num" w:pos="4320"/>
        </w:tabs>
        <w:ind w:left="4320" w:hanging="360"/>
      </w:pPr>
      <w:rPr>
        <w:rFonts w:ascii="Courier New" w:hAnsi="Courier New" w:hint="default"/>
      </w:rPr>
    </w:lvl>
    <w:lvl w:ilvl="6" w:tplc="F744AAEE" w:tentative="1">
      <w:start w:val="1"/>
      <w:numFmt w:val="bullet"/>
      <w:lvlText w:val="o"/>
      <w:lvlJc w:val="left"/>
      <w:pPr>
        <w:tabs>
          <w:tab w:val="num" w:pos="5040"/>
        </w:tabs>
        <w:ind w:left="5040" w:hanging="360"/>
      </w:pPr>
      <w:rPr>
        <w:rFonts w:ascii="Courier New" w:hAnsi="Courier New" w:hint="default"/>
      </w:rPr>
    </w:lvl>
    <w:lvl w:ilvl="7" w:tplc="073E2C80" w:tentative="1">
      <w:start w:val="1"/>
      <w:numFmt w:val="bullet"/>
      <w:lvlText w:val="o"/>
      <w:lvlJc w:val="left"/>
      <w:pPr>
        <w:tabs>
          <w:tab w:val="num" w:pos="5760"/>
        </w:tabs>
        <w:ind w:left="5760" w:hanging="360"/>
      </w:pPr>
      <w:rPr>
        <w:rFonts w:ascii="Courier New" w:hAnsi="Courier New" w:hint="default"/>
      </w:rPr>
    </w:lvl>
    <w:lvl w:ilvl="8" w:tplc="719AACBE"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47337"/>
    <w:multiLevelType w:val="hybridMultilevel"/>
    <w:tmpl w:val="C1EE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D579F3"/>
    <w:multiLevelType w:val="hybridMultilevel"/>
    <w:tmpl w:val="6098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1D386F"/>
    <w:multiLevelType w:val="hybridMultilevel"/>
    <w:tmpl w:val="640A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2B151C"/>
    <w:multiLevelType w:val="hybridMultilevel"/>
    <w:tmpl w:val="2CCC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9163A5"/>
    <w:multiLevelType w:val="hybridMultilevel"/>
    <w:tmpl w:val="F21A9136"/>
    <w:lvl w:ilvl="0" w:tplc="442CDF74">
      <w:start w:val="1"/>
      <w:numFmt w:val="bullet"/>
      <w:pStyle w:val="Table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C92FA6"/>
    <w:multiLevelType w:val="hybridMultilevel"/>
    <w:tmpl w:val="B8645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B702BCF"/>
    <w:multiLevelType w:val="hybridMultilevel"/>
    <w:tmpl w:val="DB4C8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033DDB"/>
    <w:multiLevelType w:val="hybridMultilevel"/>
    <w:tmpl w:val="62A4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5740E2"/>
    <w:multiLevelType w:val="hybridMultilevel"/>
    <w:tmpl w:val="9AE8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1A6E05"/>
    <w:multiLevelType w:val="hybridMultilevel"/>
    <w:tmpl w:val="FC0AD64E"/>
    <w:lvl w:ilvl="0" w:tplc="0D3653AE">
      <w:start w:val="1"/>
      <w:numFmt w:val="bullet"/>
      <w:lvlText w:val="o"/>
      <w:lvlJc w:val="left"/>
      <w:pPr>
        <w:tabs>
          <w:tab w:val="num" w:pos="720"/>
        </w:tabs>
        <w:ind w:left="720" w:hanging="360"/>
      </w:pPr>
      <w:rPr>
        <w:rFonts w:ascii="Courier New" w:hAnsi="Courier New" w:hint="default"/>
      </w:rPr>
    </w:lvl>
    <w:lvl w:ilvl="1" w:tplc="C186B4F6" w:tentative="1">
      <w:start w:val="1"/>
      <w:numFmt w:val="bullet"/>
      <w:lvlText w:val="o"/>
      <w:lvlJc w:val="left"/>
      <w:pPr>
        <w:tabs>
          <w:tab w:val="num" w:pos="1440"/>
        </w:tabs>
        <w:ind w:left="1440" w:hanging="360"/>
      </w:pPr>
      <w:rPr>
        <w:rFonts w:ascii="Courier New" w:hAnsi="Courier New" w:hint="default"/>
      </w:rPr>
    </w:lvl>
    <w:lvl w:ilvl="2" w:tplc="B3541950" w:tentative="1">
      <w:start w:val="1"/>
      <w:numFmt w:val="bullet"/>
      <w:lvlText w:val="o"/>
      <w:lvlJc w:val="left"/>
      <w:pPr>
        <w:tabs>
          <w:tab w:val="num" w:pos="2160"/>
        </w:tabs>
        <w:ind w:left="2160" w:hanging="360"/>
      </w:pPr>
      <w:rPr>
        <w:rFonts w:ascii="Courier New" w:hAnsi="Courier New" w:hint="default"/>
      </w:rPr>
    </w:lvl>
    <w:lvl w:ilvl="3" w:tplc="88E66662" w:tentative="1">
      <w:start w:val="1"/>
      <w:numFmt w:val="bullet"/>
      <w:lvlText w:val="o"/>
      <w:lvlJc w:val="left"/>
      <w:pPr>
        <w:tabs>
          <w:tab w:val="num" w:pos="2880"/>
        </w:tabs>
        <w:ind w:left="2880" w:hanging="360"/>
      </w:pPr>
      <w:rPr>
        <w:rFonts w:ascii="Courier New" w:hAnsi="Courier New" w:hint="default"/>
      </w:rPr>
    </w:lvl>
    <w:lvl w:ilvl="4" w:tplc="5952176C" w:tentative="1">
      <w:start w:val="1"/>
      <w:numFmt w:val="bullet"/>
      <w:lvlText w:val="o"/>
      <w:lvlJc w:val="left"/>
      <w:pPr>
        <w:tabs>
          <w:tab w:val="num" w:pos="3600"/>
        </w:tabs>
        <w:ind w:left="3600" w:hanging="360"/>
      </w:pPr>
      <w:rPr>
        <w:rFonts w:ascii="Courier New" w:hAnsi="Courier New" w:hint="default"/>
      </w:rPr>
    </w:lvl>
    <w:lvl w:ilvl="5" w:tplc="0AC20664" w:tentative="1">
      <w:start w:val="1"/>
      <w:numFmt w:val="bullet"/>
      <w:lvlText w:val="o"/>
      <w:lvlJc w:val="left"/>
      <w:pPr>
        <w:tabs>
          <w:tab w:val="num" w:pos="4320"/>
        </w:tabs>
        <w:ind w:left="4320" w:hanging="360"/>
      </w:pPr>
      <w:rPr>
        <w:rFonts w:ascii="Courier New" w:hAnsi="Courier New" w:hint="default"/>
      </w:rPr>
    </w:lvl>
    <w:lvl w:ilvl="6" w:tplc="9C529CD4" w:tentative="1">
      <w:start w:val="1"/>
      <w:numFmt w:val="bullet"/>
      <w:lvlText w:val="o"/>
      <w:lvlJc w:val="left"/>
      <w:pPr>
        <w:tabs>
          <w:tab w:val="num" w:pos="5040"/>
        </w:tabs>
        <w:ind w:left="5040" w:hanging="360"/>
      </w:pPr>
      <w:rPr>
        <w:rFonts w:ascii="Courier New" w:hAnsi="Courier New" w:hint="default"/>
      </w:rPr>
    </w:lvl>
    <w:lvl w:ilvl="7" w:tplc="F14EE9FE" w:tentative="1">
      <w:start w:val="1"/>
      <w:numFmt w:val="bullet"/>
      <w:lvlText w:val="o"/>
      <w:lvlJc w:val="left"/>
      <w:pPr>
        <w:tabs>
          <w:tab w:val="num" w:pos="5760"/>
        </w:tabs>
        <w:ind w:left="5760" w:hanging="360"/>
      </w:pPr>
      <w:rPr>
        <w:rFonts w:ascii="Courier New" w:hAnsi="Courier New" w:hint="default"/>
      </w:rPr>
    </w:lvl>
    <w:lvl w:ilvl="8" w:tplc="69847CE8"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39BF051A"/>
    <w:multiLevelType w:val="hybridMultilevel"/>
    <w:tmpl w:val="D6809288"/>
    <w:lvl w:ilvl="0" w:tplc="F67C9B98">
      <w:start w:val="1"/>
      <w:numFmt w:val="bullet"/>
      <w:lvlText w:val="o"/>
      <w:lvlJc w:val="left"/>
      <w:pPr>
        <w:tabs>
          <w:tab w:val="num" w:pos="720"/>
        </w:tabs>
        <w:ind w:left="720" w:hanging="360"/>
      </w:pPr>
      <w:rPr>
        <w:rFonts w:ascii="Courier New" w:hAnsi="Courier New" w:hint="default"/>
      </w:rPr>
    </w:lvl>
    <w:lvl w:ilvl="1" w:tplc="B6BE05D2" w:tentative="1">
      <w:start w:val="1"/>
      <w:numFmt w:val="bullet"/>
      <w:lvlText w:val="o"/>
      <w:lvlJc w:val="left"/>
      <w:pPr>
        <w:tabs>
          <w:tab w:val="num" w:pos="1440"/>
        </w:tabs>
        <w:ind w:left="1440" w:hanging="360"/>
      </w:pPr>
      <w:rPr>
        <w:rFonts w:ascii="Courier New" w:hAnsi="Courier New" w:hint="default"/>
      </w:rPr>
    </w:lvl>
    <w:lvl w:ilvl="2" w:tplc="98A67E18" w:tentative="1">
      <w:start w:val="1"/>
      <w:numFmt w:val="bullet"/>
      <w:lvlText w:val="o"/>
      <w:lvlJc w:val="left"/>
      <w:pPr>
        <w:tabs>
          <w:tab w:val="num" w:pos="2160"/>
        </w:tabs>
        <w:ind w:left="2160" w:hanging="360"/>
      </w:pPr>
      <w:rPr>
        <w:rFonts w:ascii="Courier New" w:hAnsi="Courier New" w:hint="default"/>
      </w:rPr>
    </w:lvl>
    <w:lvl w:ilvl="3" w:tplc="C6786B4A" w:tentative="1">
      <w:start w:val="1"/>
      <w:numFmt w:val="bullet"/>
      <w:lvlText w:val="o"/>
      <w:lvlJc w:val="left"/>
      <w:pPr>
        <w:tabs>
          <w:tab w:val="num" w:pos="2880"/>
        </w:tabs>
        <w:ind w:left="2880" w:hanging="360"/>
      </w:pPr>
      <w:rPr>
        <w:rFonts w:ascii="Courier New" w:hAnsi="Courier New" w:hint="default"/>
      </w:rPr>
    </w:lvl>
    <w:lvl w:ilvl="4" w:tplc="6C324B60" w:tentative="1">
      <w:start w:val="1"/>
      <w:numFmt w:val="bullet"/>
      <w:lvlText w:val="o"/>
      <w:lvlJc w:val="left"/>
      <w:pPr>
        <w:tabs>
          <w:tab w:val="num" w:pos="3600"/>
        </w:tabs>
        <w:ind w:left="3600" w:hanging="360"/>
      </w:pPr>
      <w:rPr>
        <w:rFonts w:ascii="Courier New" w:hAnsi="Courier New" w:hint="default"/>
      </w:rPr>
    </w:lvl>
    <w:lvl w:ilvl="5" w:tplc="235E4530" w:tentative="1">
      <w:start w:val="1"/>
      <w:numFmt w:val="bullet"/>
      <w:lvlText w:val="o"/>
      <w:lvlJc w:val="left"/>
      <w:pPr>
        <w:tabs>
          <w:tab w:val="num" w:pos="4320"/>
        </w:tabs>
        <w:ind w:left="4320" w:hanging="360"/>
      </w:pPr>
      <w:rPr>
        <w:rFonts w:ascii="Courier New" w:hAnsi="Courier New" w:hint="default"/>
      </w:rPr>
    </w:lvl>
    <w:lvl w:ilvl="6" w:tplc="97341742" w:tentative="1">
      <w:start w:val="1"/>
      <w:numFmt w:val="bullet"/>
      <w:lvlText w:val="o"/>
      <w:lvlJc w:val="left"/>
      <w:pPr>
        <w:tabs>
          <w:tab w:val="num" w:pos="5040"/>
        </w:tabs>
        <w:ind w:left="5040" w:hanging="360"/>
      </w:pPr>
      <w:rPr>
        <w:rFonts w:ascii="Courier New" w:hAnsi="Courier New" w:hint="default"/>
      </w:rPr>
    </w:lvl>
    <w:lvl w:ilvl="7" w:tplc="A4DE65FE" w:tentative="1">
      <w:start w:val="1"/>
      <w:numFmt w:val="bullet"/>
      <w:lvlText w:val="o"/>
      <w:lvlJc w:val="left"/>
      <w:pPr>
        <w:tabs>
          <w:tab w:val="num" w:pos="5760"/>
        </w:tabs>
        <w:ind w:left="5760" w:hanging="360"/>
      </w:pPr>
      <w:rPr>
        <w:rFonts w:ascii="Courier New" w:hAnsi="Courier New" w:hint="default"/>
      </w:rPr>
    </w:lvl>
    <w:lvl w:ilvl="8" w:tplc="5FDAA36C" w:tentative="1">
      <w:start w:val="1"/>
      <w:numFmt w:val="bullet"/>
      <w:lvlText w:val="o"/>
      <w:lvlJc w:val="left"/>
      <w:pPr>
        <w:tabs>
          <w:tab w:val="num" w:pos="6480"/>
        </w:tabs>
        <w:ind w:left="6480" w:hanging="360"/>
      </w:pPr>
      <w:rPr>
        <w:rFonts w:ascii="Courier New" w:hAnsi="Courier New" w:hint="default"/>
      </w:rPr>
    </w:lvl>
  </w:abstractNum>
  <w:abstractNum w:abstractNumId="4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C24003E"/>
    <w:multiLevelType w:val="hybridMultilevel"/>
    <w:tmpl w:val="FCCCD9E0"/>
    <w:lvl w:ilvl="0" w:tplc="615EAC24">
      <w:start w:val="1"/>
      <w:numFmt w:val="bullet"/>
      <w:lvlText w:val="»"/>
      <w:lvlJc w:val="left"/>
      <w:pPr>
        <w:ind w:left="720" w:hanging="360"/>
      </w:pPr>
      <w:rPr>
        <w:rFonts w:ascii="Palatino Linotype"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77372A"/>
    <w:multiLevelType w:val="hybridMultilevel"/>
    <w:tmpl w:val="30768752"/>
    <w:lvl w:ilvl="0" w:tplc="A9D60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A32E31"/>
    <w:multiLevelType w:val="hybridMultilevel"/>
    <w:tmpl w:val="2CC87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3E7571"/>
    <w:multiLevelType w:val="hybridMultilevel"/>
    <w:tmpl w:val="63A2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4618CA"/>
    <w:multiLevelType w:val="hybridMultilevel"/>
    <w:tmpl w:val="4260B0CC"/>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48" w15:restartNumberingAfterBreak="0">
    <w:nsid w:val="443B5C85"/>
    <w:multiLevelType w:val="hybridMultilevel"/>
    <w:tmpl w:val="24F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051968"/>
    <w:multiLevelType w:val="hybridMultilevel"/>
    <w:tmpl w:val="D4CA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ED4EC4"/>
    <w:multiLevelType w:val="hybridMultilevel"/>
    <w:tmpl w:val="9F1A1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8E6B88"/>
    <w:multiLevelType w:val="hybridMultilevel"/>
    <w:tmpl w:val="36BC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D50DD0"/>
    <w:multiLevelType w:val="hybridMultilevel"/>
    <w:tmpl w:val="4A02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873D4A"/>
    <w:multiLevelType w:val="hybridMultilevel"/>
    <w:tmpl w:val="F3C44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507321DA"/>
    <w:multiLevelType w:val="hybridMultilevel"/>
    <w:tmpl w:val="3536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AF2332"/>
    <w:multiLevelType w:val="hybridMultilevel"/>
    <w:tmpl w:val="BCFECCE2"/>
    <w:lvl w:ilvl="0" w:tplc="94866ED6">
      <w:start w:val="1"/>
      <w:numFmt w:val="decimal"/>
      <w:lvlText w:val="%1."/>
      <w:lvlJc w:val="left"/>
      <w:pPr>
        <w:tabs>
          <w:tab w:val="num" w:pos="720"/>
        </w:tabs>
        <w:ind w:left="720" w:hanging="360"/>
      </w:pPr>
    </w:lvl>
    <w:lvl w:ilvl="1" w:tplc="866C85D8" w:tentative="1">
      <w:start w:val="1"/>
      <w:numFmt w:val="decimal"/>
      <w:lvlText w:val="%2."/>
      <w:lvlJc w:val="left"/>
      <w:pPr>
        <w:tabs>
          <w:tab w:val="num" w:pos="1440"/>
        </w:tabs>
        <w:ind w:left="1440" w:hanging="360"/>
      </w:pPr>
    </w:lvl>
    <w:lvl w:ilvl="2" w:tplc="48903370">
      <w:start w:val="1"/>
      <w:numFmt w:val="lowerLetter"/>
      <w:lvlText w:val="%3."/>
      <w:lvlJc w:val="left"/>
      <w:pPr>
        <w:tabs>
          <w:tab w:val="num" w:pos="2160"/>
        </w:tabs>
        <w:ind w:left="2160" w:hanging="360"/>
      </w:pPr>
    </w:lvl>
    <w:lvl w:ilvl="3" w:tplc="B1023410" w:tentative="1">
      <w:start w:val="1"/>
      <w:numFmt w:val="decimal"/>
      <w:lvlText w:val="%4."/>
      <w:lvlJc w:val="left"/>
      <w:pPr>
        <w:tabs>
          <w:tab w:val="num" w:pos="2880"/>
        </w:tabs>
        <w:ind w:left="2880" w:hanging="360"/>
      </w:pPr>
    </w:lvl>
    <w:lvl w:ilvl="4" w:tplc="9EBE76E4" w:tentative="1">
      <w:start w:val="1"/>
      <w:numFmt w:val="decimal"/>
      <w:lvlText w:val="%5."/>
      <w:lvlJc w:val="left"/>
      <w:pPr>
        <w:tabs>
          <w:tab w:val="num" w:pos="3600"/>
        </w:tabs>
        <w:ind w:left="3600" w:hanging="360"/>
      </w:pPr>
    </w:lvl>
    <w:lvl w:ilvl="5" w:tplc="6FB86B56" w:tentative="1">
      <w:start w:val="1"/>
      <w:numFmt w:val="decimal"/>
      <w:lvlText w:val="%6."/>
      <w:lvlJc w:val="left"/>
      <w:pPr>
        <w:tabs>
          <w:tab w:val="num" w:pos="4320"/>
        </w:tabs>
        <w:ind w:left="4320" w:hanging="360"/>
      </w:pPr>
    </w:lvl>
    <w:lvl w:ilvl="6" w:tplc="30D02A20" w:tentative="1">
      <w:start w:val="1"/>
      <w:numFmt w:val="decimal"/>
      <w:lvlText w:val="%7."/>
      <w:lvlJc w:val="left"/>
      <w:pPr>
        <w:tabs>
          <w:tab w:val="num" w:pos="5040"/>
        </w:tabs>
        <w:ind w:left="5040" w:hanging="360"/>
      </w:pPr>
    </w:lvl>
    <w:lvl w:ilvl="7" w:tplc="73F4EA68" w:tentative="1">
      <w:start w:val="1"/>
      <w:numFmt w:val="decimal"/>
      <w:lvlText w:val="%8."/>
      <w:lvlJc w:val="left"/>
      <w:pPr>
        <w:tabs>
          <w:tab w:val="num" w:pos="5760"/>
        </w:tabs>
        <w:ind w:left="5760" w:hanging="360"/>
      </w:pPr>
    </w:lvl>
    <w:lvl w:ilvl="8" w:tplc="2AA674D6" w:tentative="1">
      <w:start w:val="1"/>
      <w:numFmt w:val="decimal"/>
      <w:lvlText w:val="%9."/>
      <w:lvlJc w:val="left"/>
      <w:pPr>
        <w:tabs>
          <w:tab w:val="num" w:pos="6480"/>
        </w:tabs>
        <w:ind w:left="6480" w:hanging="360"/>
      </w:pPr>
    </w:lvl>
  </w:abstractNum>
  <w:abstractNum w:abstractNumId="56" w15:restartNumberingAfterBreak="0">
    <w:nsid w:val="54FB75F1"/>
    <w:multiLevelType w:val="hybridMultilevel"/>
    <w:tmpl w:val="E3F2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555264"/>
    <w:multiLevelType w:val="hybridMultilevel"/>
    <w:tmpl w:val="10FE5D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FD6BDE"/>
    <w:multiLevelType w:val="hybridMultilevel"/>
    <w:tmpl w:val="FEEE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2E2743"/>
    <w:multiLevelType w:val="hybridMultilevel"/>
    <w:tmpl w:val="CB7CEF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5FD23B93"/>
    <w:multiLevelType w:val="hybridMultilevel"/>
    <w:tmpl w:val="920A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1F464A"/>
    <w:multiLevelType w:val="hybridMultilevel"/>
    <w:tmpl w:val="6326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DB70AC"/>
    <w:multiLevelType w:val="hybridMultilevel"/>
    <w:tmpl w:val="9E94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261650"/>
    <w:multiLevelType w:val="hybridMultilevel"/>
    <w:tmpl w:val="65D2B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4F3680"/>
    <w:multiLevelType w:val="hybridMultilevel"/>
    <w:tmpl w:val="F8ACA5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2663D26"/>
    <w:multiLevelType w:val="hybridMultilevel"/>
    <w:tmpl w:val="52DE6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679CF"/>
    <w:multiLevelType w:val="hybridMultilevel"/>
    <w:tmpl w:val="A90015BC"/>
    <w:lvl w:ilvl="0" w:tplc="B272507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6D6B50"/>
    <w:multiLevelType w:val="hybridMultilevel"/>
    <w:tmpl w:val="3F36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7A513A"/>
    <w:multiLevelType w:val="hybridMultilevel"/>
    <w:tmpl w:val="A4B6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F122CF"/>
    <w:multiLevelType w:val="hybridMultilevel"/>
    <w:tmpl w:val="18049D34"/>
    <w:lvl w:ilvl="0" w:tplc="738EA4F8">
      <w:start w:val="1"/>
      <w:numFmt w:val="bullet"/>
      <w:lvlText w:val="o"/>
      <w:lvlJc w:val="left"/>
      <w:pPr>
        <w:tabs>
          <w:tab w:val="num" w:pos="720"/>
        </w:tabs>
        <w:ind w:left="720" w:hanging="360"/>
      </w:pPr>
      <w:rPr>
        <w:rFonts w:ascii="Courier New" w:hAnsi="Courier New" w:hint="default"/>
      </w:rPr>
    </w:lvl>
    <w:lvl w:ilvl="1" w:tplc="4E3250FE" w:tentative="1">
      <w:start w:val="1"/>
      <w:numFmt w:val="bullet"/>
      <w:lvlText w:val="o"/>
      <w:lvlJc w:val="left"/>
      <w:pPr>
        <w:tabs>
          <w:tab w:val="num" w:pos="1440"/>
        </w:tabs>
        <w:ind w:left="1440" w:hanging="360"/>
      </w:pPr>
      <w:rPr>
        <w:rFonts w:ascii="Courier New" w:hAnsi="Courier New" w:hint="default"/>
      </w:rPr>
    </w:lvl>
    <w:lvl w:ilvl="2" w:tplc="8A987F68" w:tentative="1">
      <w:start w:val="1"/>
      <w:numFmt w:val="bullet"/>
      <w:lvlText w:val="o"/>
      <w:lvlJc w:val="left"/>
      <w:pPr>
        <w:tabs>
          <w:tab w:val="num" w:pos="2160"/>
        </w:tabs>
        <w:ind w:left="2160" w:hanging="360"/>
      </w:pPr>
      <w:rPr>
        <w:rFonts w:ascii="Courier New" w:hAnsi="Courier New" w:hint="default"/>
      </w:rPr>
    </w:lvl>
    <w:lvl w:ilvl="3" w:tplc="2A3C89F0" w:tentative="1">
      <w:start w:val="1"/>
      <w:numFmt w:val="bullet"/>
      <w:lvlText w:val="o"/>
      <w:lvlJc w:val="left"/>
      <w:pPr>
        <w:tabs>
          <w:tab w:val="num" w:pos="2880"/>
        </w:tabs>
        <w:ind w:left="2880" w:hanging="360"/>
      </w:pPr>
      <w:rPr>
        <w:rFonts w:ascii="Courier New" w:hAnsi="Courier New" w:hint="default"/>
      </w:rPr>
    </w:lvl>
    <w:lvl w:ilvl="4" w:tplc="5DBC664C" w:tentative="1">
      <w:start w:val="1"/>
      <w:numFmt w:val="bullet"/>
      <w:lvlText w:val="o"/>
      <w:lvlJc w:val="left"/>
      <w:pPr>
        <w:tabs>
          <w:tab w:val="num" w:pos="3600"/>
        </w:tabs>
        <w:ind w:left="3600" w:hanging="360"/>
      </w:pPr>
      <w:rPr>
        <w:rFonts w:ascii="Courier New" w:hAnsi="Courier New" w:hint="default"/>
      </w:rPr>
    </w:lvl>
    <w:lvl w:ilvl="5" w:tplc="F8346780" w:tentative="1">
      <w:start w:val="1"/>
      <w:numFmt w:val="bullet"/>
      <w:lvlText w:val="o"/>
      <w:lvlJc w:val="left"/>
      <w:pPr>
        <w:tabs>
          <w:tab w:val="num" w:pos="4320"/>
        </w:tabs>
        <w:ind w:left="4320" w:hanging="360"/>
      </w:pPr>
      <w:rPr>
        <w:rFonts w:ascii="Courier New" w:hAnsi="Courier New" w:hint="default"/>
      </w:rPr>
    </w:lvl>
    <w:lvl w:ilvl="6" w:tplc="1F8A5080" w:tentative="1">
      <w:start w:val="1"/>
      <w:numFmt w:val="bullet"/>
      <w:lvlText w:val="o"/>
      <w:lvlJc w:val="left"/>
      <w:pPr>
        <w:tabs>
          <w:tab w:val="num" w:pos="5040"/>
        </w:tabs>
        <w:ind w:left="5040" w:hanging="360"/>
      </w:pPr>
      <w:rPr>
        <w:rFonts w:ascii="Courier New" w:hAnsi="Courier New" w:hint="default"/>
      </w:rPr>
    </w:lvl>
    <w:lvl w:ilvl="7" w:tplc="C52E1C6C" w:tentative="1">
      <w:start w:val="1"/>
      <w:numFmt w:val="bullet"/>
      <w:lvlText w:val="o"/>
      <w:lvlJc w:val="left"/>
      <w:pPr>
        <w:tabs>
          <w:tab w:val="num" w:pos="5760"/>
        </w:tabs>
        <w:ind w:left="5760" w:hanging="360"/>
      </w:pPr>
      <w:rPr>
        <w:rFonts w:ascii="Courier New" w:hAnsi="Courier New" w:hint="default"/>
      </w:rPr>
    </w:lvl>
    <w:lvl w:ilvl="8" w:tplc="C444EEDA" w:tentative="1">
      <w:start w:val="1"/>
      <w:numFmt w:val="bullet"/>
      <w:lvlText w:val="o"/>
      <w:lvlJc w:val="left"/>
      <w:pPr>
        <w:tabs>
          <w:tab w:val="num" w:pos="6480"/>
        </w:tabs>
        <w:ind w:left="6480" w:hanging="360"/>
      </w:pPr>
      <w:rPr>
        <w:rFonts w:ascii="Courier New" w:hAnsi="Courier New" w:hint="default"/>
      </w:rPr>
    </w:lvl>
  </w:abstractNum>
  <w:abstractNum w:abstractNumId="70" w15:restartNumberingAfterBreak="0">
    <w:nsid w:val="662E32A3"/>
    <w:multiLevelType w:val="hybridMultilevel"/>
    <w:tmpl w:val="C45A5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D7151C"/>
    <w:multiLevelType w:val="hybridMultilevel"/>
    <w:tmpl w:val="78E6AC84"/>
    <w:lvl w:ilvl="0" w:tplc="A9D609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8BD70CA"/>
    <w:multiLevelType w:val="hybridMultilevel"/>
    <w:tmpl w:val="6D326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9D55141"/>
    <w:multiLevelType w:val="hybridMultilevel"/>
    <w:tmpl w:val="FAC8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A17930"/>
    <w:multiLevelType w:val="hybridMultilevel"/>
    <w:tmpl w:val="0878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F662E1"/>
    <w:multiLevelType w:val="hybridMultilevel"/>
    <w:tmpl w:val="EEA4A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676A202">
      <w:start w:val="2"/>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3D0EFD"/>
    <w:multiLevelType w:val="hybridMultilevel"/>
    <w:tmpl w:val="89305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E586A04"/>
    <w:multiLevelType w:val="hybridMultilevel"/>
    <w:tmpl w:val="2C68F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EF27FD"/>
    <w:multiLevelType w:val="hybridMultilevel"/>
    <w:tmpl w:val="BA70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7D6BE7"/>
    <w:multiLevelType w:val="hybridMultilevel"/>
    <w:tmpl w:val="7160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BD5433"/>
    <w:multiLevelType w:val="hybridMultilevel"/>
    <w:tmpl w:val="D392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CD655D"/>
    <w:multiLevelType w:val="hybridMultilevel"/>
    <w:tmpl w:val="78E6AC84"/>
    <w:lvl w:ilvl="0" w:tplc="A9D609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F096187"/>
    <w:multiLevelType w:val="hybridMultilevel"/>
    <w:tmpl w:val="6C102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1"/>
  </w:num>
  <w:num w:numId="2">
    <w:abstractNumId w:val="15"/>
  </w:num>
  <w:num w:numId="3">
    <w:abstractNumId w:val="16"/>
  </w:num>
  <w:num w:numId="4">
    <w:abstractNumId w:val="43"/>
  </w:num>
  <w:num w:numId="5">
    <w:abstractNumId w:val="32"/>
  </w:num>
  <w:num w:numId="6">
    <w:abstractNumId w:val="34"/>
  </w:num>
  <w:num w:numId="7">
    <w:abstractNumId w:val="28"/>
  </w:num>
  <w:num w:numId="8">
    <w:abstractNumId w:val="8"/>
  </w:num>
  <w:num w:numId="9">
    <w:abstractNumId w:val="81"/>
  </w:num>
  <w:num w:numId="10">
    <w:abstractNumId w:val="21"/>
  </w:num>
  <w:num w:numId="11">
    <w:abstractNumId w:val="36"/>
  </w:num>
  <w:num w:numId="12">
    <w:abstractNumId w:val="22"/>
  </w:num>
  <w:num w:numId="13">
    <w:abstractNumId w:val="12"/>
  </w:num>
  <w:num w:numId="14">
    <w:abstractNumId w:val="57"/>
  </w:num>
  <w:num w:numId="15">
    <w:abstractNumId w:val="20"/>
  </w:num>
  <w:num w:numId="16">
    <w:abstractNumId w:val="62"/>
  </w:num>
  <w:num w:numId="17">
    <w:abstractNumId w:val="25"/>
  </w:num>
  <w:num w:numId="18">
    <w:abstractNumId w:val="14"/>
  </w:num>
  <w:num w:numId="19">
    <w:abstractNumId w:val="30"/>
  </w:num>
  <w:num w:numId="20">
    <w:abstractNumId w:val="77"/>
  </w:num>
  <w:num w:numId="21">
    <w:abstractNumId w:val="75"/>
  </w:num>
  <w:num w:numId="22">
    <w:abstractNumId w:val="42"/>
  </w:num>
  <w:num w:numId="23">
    <w:abstractNumId w:val="6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9"/>
  </w:num>
  <w:num w:numId="27">
    <w:abstractNumId w:val="40"/>
  </w:num>
  <w:num w:numId="28">
    <w:abstractNumId w:val="69"/>
  </w:num>
  <w:num w:numId="29">
    <w:abstractNumId w:val="7"/>
  </w:num>
  <w:num w:numId="30">
    <w:abstractNumId w:val="39"/>
  </w:num>
  <w:num w:numId="31">
    <w:abstractNumId w:val="37"/>
  </w:num>
  <w:num w:numId="32">
    <w:abstractNumId w:val="45"/>
  </w:num>
  <w:num w:numId="33">
    <w:abstractNumId w:val="70"/>
  </w:num>
  <w:num w:numId="34">
    <w:abstractNumId w:val="35"/>
  </w:num>
  <w:num w:numId="35">
    <w:abstractNumId w:val="76"/>
  </w:num>
  <w:num w:numId="36">
    <w:abstractNumId w:val="54"/>
  </w:num>
  <w:num w:numId="37">
    <w:abstractNumId w:val="4"/>
  </w:num>
  <w:num w:numId="38">
    <w:abstractNumId w:val="68"/>
  </w:num>
  <w:num w:numId="39">
    <w:abstractNumId w:val="47"/>
  </w:num>
  <w:num w:numId="40">
    <w:abstractNumId w:val="64"/>
  </w:num>
  <w:num w:numId="41">
    <w:abstractNumId w:val="0"/>
  </w:num>
  <w:num w:numId="42">
    <w:abstractNumId w:val="33"/>
  </w:num>
  <w:num w:numId="43">
    <w:abstractNumId w:val="56"/>
  </w:num>
  <w:num w:numId="44">
    <w:abstractNumId w:val="58"/>
  </w:num>
  <w:num w:numId="45">
    <w:abstractNumId w:val="13"/>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55"/>
  </w:num>
  <w:num w:numId="49">
    <w:abstractNumId w:val="48"/>
  </w:num>
  <w:num w:numId="50">
    <w:abstractNumId w:val="23"/>
  </w:num>
  <w:num w:numId="51">
    <w:abstractNumId w:val="82"/>
  </w:num>
  <w:num w:numId="52">
    <w:abstractNumId w:val="1"/>
  </w:num>
  <w:num w:numId="53">
    <w:abstractNumId w:val="78"/>
  </w:num>
  <w:num w:numId="54">
    <w:abstractNumId w:val="65"/>
  </w:num>
  <w:num w:numId="55">
    <w:abstractNumId w:val="53"/>
  </w:num>
  <w:num w:numId="56">
    <w:abstractNumId w:val="59"/>
  </w:num>
  <w:num w:numId="57">
    <w:abstractNumId w:val="2"/>
  </w:num>
  <w:num w:numId="58">
    <w:abstractNumId w:val="66"/>
  </w:num>
  <w:num w:numId="59">
    <w:abstractNumId w:val="46"/>
  </w:num>
  <w:num w:numId="60">
    <w:abstractNumId w:val="10"/>
  </w:num>
  <w:num w:numId="61">
    <w:abstractNumId w:val="80"/>
  </w:num>
  <w:num w:numId="62">
    <w:abstractNumId w:val="61"/>
  </w:num>
  <w:num w:numId="63">
    <w:abstractNumId w:val="49"/>
  </w:num>
  <w:num w:numId="64">
    <w:abstractNumId w:val="52"/>
  </w:num>
  <w:num w:numId="65">
    <w:abstractNumId w:val="24"/>
  </w:num>
  <w:num w:numId="66">
    <w:abstractNumId w:val="17"/>
  </w:num>
  <w:num w:numId="67">
    <w:abstractNumId w:val="5"/>
  </w:num>
  <w:num w:numId="68">
    <w:abstractNumId w:val="50"/>
  </w:num>
  <w:num w:numId="69">
    <w:abstractNumId w:val="72"/>
  </w:num>
  <w:num w:numId="70">
    <w:abstractNumId w:val="73"/>
  </w:num>
  <w:num w:numId="71">
    <w:abstractNumId w:val="63"/>
  </w:num>
  <w:num w:numId="72">
    <w:abstractNumId w:val="3"/>
  </w:num>
  <w:num w:numId="73">
    <w:abstractNumId w:val="71"/>
  </w:num>
  <w:num w:numId="74">
    <w:abstractNumId w:val="44"/>
  </w:num>
  <w:num w:numId="75">
    <w:abstractNumId w:val="79"/>
  </w:num>
  <w:num w:numId="76">
    <w:abstractNumId w:val="11"/>
  </w:num>
  <w:num w:numId="77">
    <w:abstractNumId w:val="31"/>
  </w:num>
  <w:num w:numId="78">
    <w:abstractNumId w:val="60"/>
  </w:num>
  <w:num w:numId="79">
    <w:abstractNumId w:val="74"/>
  </w:num>
  <w:num w:numId="80">
    <w:abstractNumId w:val="51"/>
  </w:num>
  <w:num w:numId="81">
    <w:abstractNumId w:val="38"/>
  </w:num>
  <w:num w:numId="82">
    <w:abstractNumId w:val="19"/>
  </w:num>
  <w:num w:numId="83">
    <w:abstractNumId w:val="6"/>
  </w:num>
  <w:num w:numId="84">
    <w:abstractNumId w:val="26"/>
  </w:num>
  <w:num w:numId="85">
    <w:abstractNumId w:val="2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757"/>
    <w:rsid w:val="00002BFF"/>
    <w:rsid w:val="00007C30"/>
    <w:rsid w:val="00010744"/>
    <w:rsid w:val="000109AE"/>
    <w:rsid w:val="00011856"/>
    <w:rsid w:val="00013231"/>
    <w:rsid w:val="00013FFE"/>
    <w:rsid w:val="000157F9"/>
    <w:rsid w:val="00016ACD"/>
    <w:rsid w:val="000222C1"/>
    <w:rsid w:val="0002316D"/>
    <w:rsid w:val="00023D0C"/>
    <w:rsid w:val="000245F7"/>
    <w:rsid w:val="00024FEB"/>
    <w:rsid w:val="000253AB"/>
    <w:rsid w:val="00025E73"/>
    <w:rsid w:val="0002617B"/>
    <w:rsid w:val="00026BD9"/>
    <w:rsid w:val="000275F0"/>
    <w:rsid w:val="00032256"/>
    <w:rsid w:val="00032A54"/>
    <w:rsid w:val="00034510"/>
    <w:rsid w:val="00035ABC"/>
    <w:rsid w:val="00035B5E"/>
    <w:rsid w:val="00040093"/>
    <w:rsid w:val="000407DB"/>
    <w:rsid w:val="00041DBE"/>
    <w:rsid w:val="000426E6"/>
    <w:rsid w:val="000427D4"/>
    <w:rsid w:val="0004343E"/>
    <w:rsid w:val="00045431"/>
    <w:rsid w:val="000477EB"/>
    <w:rsid w:val="00050476"/>
    <w:rsid w:val="00052075"/>
    <w:rsid w:val="00053BD2"/>
    <w:rsid w:val="000559B2"/>
    <w:rsid w:val="00056EC0"/>
    <w:rsid w:val="00057D86"/>
    <w:rsid w:val="00057FCB"/>
    <w:rsid w:val="000644F2"/>
    <w:rsid w:val="00064586"/>
    <w:rsid w:val="00064B2F"/>
    <w:rsid w:val="00066D79"/>
    <w:rsid w:val="00067CCB"/>
    <w:rsid w:val="00071942"/>
    <w:rsid w:val="0007262C"/>
    <w:rsid w:val="000730A8"/>
    <w:rsid w:val="0007385F"/>
    <w:rsid w:val="00073CAC"/>
    <w:rsid w:val="0007447D"/>
    <w:rsid w:val="00074DC1"/>
    <w:rsid w:val="000755E5"/>
    <w:rsid w:val="00077F0B"/>
    <w:rsid w:val="00077FAC"/>
    <w:rsid w:val="000837A7"/>
    <w:rsid w:val="00083B73"/>
    <w:rsid w:val="00084FF5"/>
    <w:rsid w:val="0008558D"/>
    <w:rsid w:val="00086A35"/>
    <w:rsid w:val="00086C5A"/>
    <w:rsid w:val="000874B8"/>
    <w:rsid w:val="000904DC"/>
    <w:rsid w:val="000922F6"/>
    <w:rsid w:val="000928BA"/>
    <w:rsid w:val="00092C4E"/>
    <w:rsid w:val="000946B6"/>
    <w:rsid w:val="00094F14"/>
    <w:rsid w:val="000959CF"/>
    <w:rsid w:val="00095E9B"/>
    <w:rsid w:val="000966DC"/>
    <w:rsid w:val="000972A9"/>
    <w:rsid w:val="0009749A"/>
    <w:rsid w:val="000A03B3"/>
    <w:rsid w:val="000A3493"/>
    <w:rsid w:val="000A3784"/>
    <w:rsid w:val="000A38CE"/>
    <w:rsid w:val="000A3F3A"/>
    <w:rsid w:val="000A5A7E"/>
    <w:rsid w:val="000B02D9"/>
    <w:rsid w:val="000B2D1E"/>
    <w:rsid w:val="000B3A59"/>
    <w:rsid w:val="000B43D6"/>
    <w:rsid w:val="000B45D3"/>
    <w:rsid w:val="000B68EC"/>
    <w:rsid w:val="000C0224"/>
    <w:rsid w:val="000C20F4"/>
    <w:rsid w:val="000C25BF"/>
    <w:rsid w:val="000C2CB0"/>
    <w:rsid w:val="000C4628"/>
    <w:rsid w:val="000C61DF"/>
    <w:rsid w:val="000C6D87"/>
    <w:rsid w:val="000D1193"/>
    <w:rsid w:val="000D365E"/>
    <w:rsid w:val="000D3A30"/>
    <w:rsid w:val="000D453C"/>
    <w:rsid w:val="000D54AD"/>
    <w:rsid w:val="000D7073"/>
    <w:rsid w:val="000D7847"/>
    <w:rsid w:val="000D7F55"/>
    <w:rsid w:val="000E00B2"/>
    <w:rsid w:val="000E0FEF"/>
    <w:rsid w:val="000E2057"/>
    <w:rsid w:val="000E3615"/>
    <w:rsid w:val="000E4C23"/>
    <w:rsid w:val="000E55A8"/>
    <w:rsid w:val="000E5A68"/>
    <w:rsid w:val="000F0B62"/>
    <w:rsid w:val="000F20A3"/>
    <w:rsid w:val="000F2625"/>
    <w:rsid w:val="000F3294"/>
    <w:rsid w:val="000F51B9"/>
    <w:rsid w:val="000F7A22"/>
    <w:rsid w:val="0010095E"/>
    <w:rsid w:val="001023C2"/>
    <w:rsid w:val="00102771"/>
    <w:rsid w:val="00102D8C"/>
    <w:rsid w:val="001039DD"/>
    <w:rsid w:val="001040FD"/>
    <w:rsid w:val="00104A39"/>
    <w:rsid w:val="001070A8"/>
    <w:rsid w:val="001076C3"/>
    <w:rsid w:val="00110120"/>
    <w:rsid w:val="00110EF9"/>
    <w:rsid w:val="00111AA5"/>
    <w:rsid w:val="001127B8"/>
    <w:rsid w:val="00113642"/>
    <w:rsid w:val="00113E9C"/>
    <w:rsid w:val="00114524"/>
    <w:rsid w:val="00116031"/>
    <w:rsid w:val="001167D5"/>
    <w:rsid w:val="00117136"/>
    <w:rsid w:val="00117229"/>
    <w:rsid w:val="001177E8"/>
    <w:rsid w:val="00117F87"/>
    <w:rsid w:val="00117FF8"/>
    <w:rsid w:val="001202B7"/>
    <w:rsid w:val="00122092"/>
    <w:rsid w:val="00122CD3"/>
    <w:rsid w:val="00123751"/>
    <w:rsid w:val="00125A32"/>
    <w:rsid w:val="0012600B"/>
    <w:rsid w:val="00127E6A"/>
    <w:rsid w:val="00130123"/>
    <w:rsid w:val="0013028F"/>
    <w:rsid w:val="00131F07"/>
    <w:rsid w:val="001326E6"/>
    <w:rsid w:val="00132BD9"/>
    <w:rsid w:val="001331E9"/>
    <w:rsid w:val="00134FC4"/>
    <w:rsid w:val="00135CDE"/>
    <w:rsid w:val="00135F8D"/>
    <w:rsid w:val="00136C06"/>
    <w:rsid w:val="00136E84"/>
    <w:rsid w:val="00137683"/>
    <w:rsid w:val="00137A84"/>
    <w:rsid w:val="001400AE"/>
    <w:rsid w:val="00140F43"/>
    <w:rsid w:val="001412F5"/>
    <w:rsid w:val="00142399"/>
    <w:rsid w:val="00144BEC"/>
    <w:rsid w:val="00146A54"/>
    <w:rsid w:val="0014776F"/>
    <w:rsid w:val="001503E3"/>
    <w:rsid w:val="001513FB"/>
    <w:rsid w:val="001523B0"/>
    <w:rsid w:val="0015329B"/>
    <w:rsid w:val="00154839"/>
    <w:rsid w:val="0015628F"/>
    <w:rsid w:val="001563C6"/>
    <w:rsid w:val="001564FF"/>
    <w:rsid w:val="00156E54"/>
    <w:rsid w:val="00157E86"/>
    <w:rsid w:val="00161529"/>
    <w:rsid w:val="00161BC3"/>
    <w:rsid w:val="00163F7B"/>
    <w:rsid w:val="00164CA5"/>
    <w:rsid w:val="00173661"/>
    <w:rsid w:val="00173FA8"/>
    <w:rsid w:val="001744D2"/>
    <w:rsid w:val="0017633B"/>
    <w:rsid w:val="001763D3"/>
    <w:rsid w:val="00177191"/>
    <w:rsid w:val="001779D5"/>
    <w:rsid w:val="001806B8"/>
    <w:rsid w:val="001809A7"/>
    <w:rsid w:val="00180CC1"/>
    <w:rsid w:val="00181744"/>
    <w:rsid w:val="00181A55"/>
    <w:rsid w:val="00182708"/>
    <w:rsid w:val="00182DE1"/>
    <w:rsid w:val="0018310B"/>
    <w:rsid w:val="001839BE"/>
    <w:rsid w:val="001840C7"/>
    <w:rsid w:val="00184B08"/>
    <w:rsid w:val="00185DE1"/>
    <w:rsid w:val="00185F32"/>
    <w:rsid w:val="00186218"/>
    <w:rsid w:val="00190AA0"/>
    <w:rsid w:val="00190D7A"/>
    <w:rsid w:val="00190FF9"/>
    <w:rsid w:val="00192670"/>
    <w:rsid w:val="0019320C"/>
    <w:rsid w:val="001940EB"/>
    <w:rsid w:val="00194C72"/>
    <w:rsid w:val="00195459"/>
    <w:rsid w:val="00195704"/>
    <w:rsid w:val="00195E34"/>
    <w:rsid w:val="00196112"/>
    <w:rsid w:val="0019767D"/>
    <w:rsid w:val="001A224B"/>
    <w:rsid w:val="001A3F0C"/>
    <w:rsid w:val="001A44C5"/>
    <w:rsid w:val="001A5D37"/>
    <w:rsid w:val="001A61DC"/>
    <w:rsid w:val="001B2136"/>
    <w:rsid w:val="001B3C39"/>
    <w:rsid w:val="001B5456"/>
    <w:rsid w:val="001B7580"/>
    <w:rsid w:val="001C0011"/>
    <w:rsid w:val="001C0106"/>
    <w:rsid w:val="001C0699"/>
    <w:rsid w:val="001C0F93"/>
    <w:rsid w:val="001C1CDC"/>
    <w:rsid w:val="001C336F"/>
    <w:rsid w:val="001C3DE3"/>
    <w:rsid w:val="001C4B46"/>
    <w:rsid w:val="001C5BA2"/>
    <w:rsid w:val="001C6C48"/>
    <w:rsid w:val="001D04E6"/>
    <w:rsid w:val="001D06CD"/>
    <w:rsid w:val="001D0F35"/>
    <w:rsid w:val="001D16C0"/>
    <w:rsid w:val="001D1F63"/>
    <w:rsid w:val="001D2723"/>
    <w:rsid w:val="001D3636"/>
    <w:rsid w:val="001D3B84"/>
    <w:rsid w:val="001D3D85"/>
    <w:rsid w:val="001D4B4F"/>
    <w:rsid w:val="001D4FF7"/>
    <w:rsid w:val="001D539B"/>
    <w:rsid w:val="001D5EE0"/>
    <w:rsid w:val="001E2230"/>
    <w:rsid w:val="001E31E0"/>
    <w:rsid w:val="001E3240"/>
    <w:rsid w:val="001E44F0"/>
    <w:rsid w:val="001E5297"/>
    <w:rsid w:val="001E6048"/>
    <w:rsid w:val="001E686F"/>
    <w:rsid w:val="001E69E4"/>
    <w:rsid w:val="001E7C8C"/>
    <w:rsid w:val="001F04C4"/>
    <w:rsid w:val="001F20E8"/>
    <w:rsid w:val="001F3A09"/>
    <w:rsid w:val="001F4D0B"/>
    <w:rsid w:val="001F576C"/>
    <w:rsid w:val="001F730E"/>
    <w:rsid w:val="0020306B"/>
    <w:rsid w:val="00203085"/>
    <w:rsid w:val="00203F32"/>
    <w:rsid w:val="0020410C"/>
    <w:rsid w:val="00204BA0"/>
    <w:rsid w:val="002061C5"/>
    <w:rsid w:val="002076B5"/>
    <w:rsid w:val="0021051C"/>
    <w:rsid w:val="00210591"/>
    <w:rsid w:val="002112D5"/>
    <w:rsid w:val="00211361"/>
    <w:rsid w:val="002115BE"/>
    <w:rsid w:val="0021166E"/>
    <w:rsid w:val="002118E3"/>
    <w:rsid w:val="002119F9"/>
    <w:rsid w:val="00212772"/>
    <w:rsid w:val="00214312"/>
    <w:rsid w:val="00214BB8"/>
    <w:rsid w:val="002154EB"/>
    <w:rsid w:val="00217780"/>
    <w:rsid w:val="002179A1"/>
    <w:rsid w:val="00217DE6"/>
    <w:rsid w:val="00221820"/>
    <w:rsid w:val="00225B04"/>
    <w:rsid w:val="00230217"/>
    <w:rsid w:val="00230816"/>
    <w:rsid w:val="00233591"/>
    <w:rsid w:val="0023376C"/>
    <w:rsid w:val="00233A3E"/>
    <w:rsid w:val="00233FD1"/>
    <w:rsid w:val="00234E8D"/>
    <w:rsid w:val="00240195"/>
    <w:rsid w:val="00244626"/>
    <w:rsid w:val="0024490A"/>
    <w:rsid w:val="00245FFD"/>
    <w:rsid w:val="0024667C"/>
    <w:rsid w:val="00247DCA"/>
    <w:rsid w:val="0025094E"/>
    <w:rsid w:val="00252CCD"/>
    <w:rsid w:val="00254446"/>
    <w:rsid w:val="00255BB6"/>
    <w:rsid w:val="00256787"/>
    <w:rsid w:val="00257039"/>
    <w:rsid w:val="00262338"/>
    <w:rsid w:val="00263755"/>
    <w:rsid w:val="00266E11"/>
    <w:rsid w:val="00267F14"/>
    <w:rsid w:val="00272030"/>
    <w:rsid w:val="00272111"/>
    <w:rsid w:val="002724E0"/>
    <w:rsid w:val="00272F76"/>
    <w:rsid w:val="00273E82"/>
    <w:rsid w:val="00274105"/>
    <w:rsid w:val="002744EA"/>
    <w:rsid w:val="00275B75"/>
    <w:rsid w:val="00276016"/>
    <w:rsid w:val="0027617E"/>
    <w:rsid w:val="00276AE5"/>
    <w:rsid w:val="00276B63"/>
    <w:rsid w:val="00277BAC"/>
    <w:rsid w:val="00280770"/>
    <w:rsid w:val="00283A99"/>
    <w:rsid w:val="00285D33"/>
    <w:rsid w:val="00287043"/>
    <w:rsid w:val="00290004"/>
    <w:rsid w:val="002907C2"/>
    <w:rsid w:val="00291C40"/>
    <w:rsid w:val="0029250B"/>
    <w:rsid w:val="00294214"/>
    <w:rsid w:val="002951C1"/>
    <w:rsid w:val="0029544E"/>
    <w:rsid w:val="002A012E"/>
    <w:rsid w:val="002A254B"/>
    <w:rsid w:val="002A2726"/>
    <w:rsid w:val="002A2C8A"/>
    <w:rsid w:val="002A33AB"/>
    <w:rsid w:val="002A4C2F"/>
    <w:rsid w:val="002A69B1"/>
    <w:rsid w:val="002A728C"/>
    <w:rsid w:val="002B0003"/>
    <w:rsid w:val="002B054B"/>
    <w:rsid w:val="002B1E84"/>
    <w:rsid w:val="002B29EB"/>
    <w:rsid w:val="002B359E"/>
    <w:rsid w:val="002B3A85"/>
    <w:rsid w:val="002B643D"/>
    <w:rsid w:val="002B7833"/>
    <w:rsid w:val="002C3792"/>
    <w:rsid w:val="002C5474"/>
    <w:rsid w:val="002C68ED"/>
    <w:rsid w:val="002D1286"/>
    <w:rsid w:val="002D313F"/>
    <w:rsid w:val="002D4479"/>
    <w:rsid w:val="002D472C"/>
    <w:rsid w:val="002D632D"/>
    <w:rsid w:val="002D647A"/>
    <w:rsid w:val="002D743A"/>
    <w:rsid w:val="002D747D"/>
    <w:rsid w:val="002D74A6"/>
    <w:rsid w:val="002D7723"/>
    <w:rsid w:val="002E129B"/>
    <w:rsid w:val="002E4C9C"/>
    <w:rsid w:val="002E53FD"/>
    <w:rsid w:val="002E721D"/>
    <w:rsid w:val="002F03C6"/>
    <w:rsid w:val="002F070F"/>
    <w:rsid w:val="002F07D3"/>
    <w:rsid w:val="002F0833"/>
    <w:rsid w:val="002F2124"/>
    <w:rsid w:val="002F3182"/>
    <w:rsid w:val="002F68B4"/>
    <w:rsid w:val="002F7BF5"/>
    <w:rsid w:val="00300590"/>
    <w:rsid w:val="0030192D"/>
    <w:rsid w:val="00303583"/>
    <w:rsid w:val="003058AA"/>
    <w:rsid w:val="00305D97"/>
    <w:rsid w:val="0030648E"/>
    <w:rsid w:val="003209E3"/>
    <w:rsid w:val="003210F5"/>
    <w:rsid w:val="00321B8F"/>
    <w:rsid w:val="00322E2A"/>
    <w:rsid w:val="00323BFA"/>
    <w:rsid w:val="00323C40"/>
    <w:rsid w:val="00325203"/>
    <w:rsid w:val="0032604E"/>
    <w:rsid w:val="00326CDB"/>
    <w:rsid w:val="00326F13"/>
    <w:rsid w:val="0032703D"/>
    <w:rsid w:val="0033045B"/>
    <w:rsid w:val="00330DF4"/>
    <w:rsid w:val="00332289"/>
    <w:rsid w:val="00332306"/>
    <w:rsid w:val="0033772B"/>
    <w:rsid w:val="00340F99"/>
    <w:rsid w:val="00341F85"/>
    <w:rsid w:val="003425CB"/>
    <w:rsid w:val="00343A9A"/>
    <w:rsid w:val="00344370"/>
    <w:rsid w:val="00344AEB"/>
    <w:rsid w:val="003452E4"/>
    <w:rsid w:val="00347233"/>
    <w:rsid w:val="00347E08"/>
    <w:rsid w:val="003533A1"/>
    <w:rsid w:val="0035403E"/>
    <w:rsid w:val="00355E35"/>
    <w:rsid w:val="00356DB4"/>
    <w:rsid w:val="00356E4C"/>
    <w:rsid w:val="0035722A"/>
    <w:rsid w:val="00361DEA"/>
    <w:rsid w:val="00361E01"/>
    <w:rsid w:val="00361F30"/>
    <w:rsid w:val="00361FC8"/>
    <w:rsid w:val="003623AB"/>
    <w:rsid w:val="003629AA"/>
    <w:rsid w:val="0036464F"/>
    <w:rsid w:val="003657CE"/>
    <w:rsid w:val="0036699F"/>
    <w:rsid w:val="00366F68"/>
    <w:rsid w:val="003674BF"/>
    <w:rsid w:val="00367672"/>
    <w:rsid w:val="00367C1A"/>
    <w:rsid w:val="00372465"/>
    <w:rsid w:val="003745E5"/>
    <w:rsid w:val="003760E2"/>
    <w:rsid w:val="003776D3"/>
    <w:rsid w:val="00377A47"/>
    <w:rsid w:val="00380FB9"/>
    <w:rsid w:val="003822EF"/>
    <w:rsid w:val="00383D8B"/>
    <w:rsid w:val="0038423C"/>
    <w:rsid w:val="0038786A"/>
    <w:rsid w:val="003903A6"/>
    <w:rsid w:val="00390E19"/>
    <w:rsid w:val="00392F1E"/>
    <w:rsid w:val="003930A3"/>
    <w:rsid w:val="00393EA2"/>
    <w:rsid w:val="0039636D"/>
    <w:rsid w:val="003A1241"/>
    <w:rsid w:val="003A2686"/>
    <w:rsid w:val="003A27CD"/>
    <w:rsid w:val="003A368A"/>
    <w:rsid w:val="003A543A"/>
    <w:rsid w:val="003A5EF8"/>
    <w:rsid w:val="003A68A4"/>
    <w:rsid w:val="003B28F4"/>
    <w:rsid w:val="003B469E"/>
    <w:rsid w:val="003B4AB6"/>
    <w:rsid w:val="003B4E98"/>
    <w:rsid w:val="003B5034"/>
    <w:rsid w:val="003B69AE"/>
    <w:rsid w:val="003B7884"/>
    <w:rsid w:val="003C129D"/>
    <w:rsid w:val="003C2962"/>
    <w:rsid w:val="003C34B3"/>
    <w:rsid w:val="003C39B8"/>
    <w:rsid w:val="003C3C97"/>
    <w:rsid w:val="003C4351"/>
    <w:rsid w:val="003C5C1B"/>
    <w:rsid w:val="003C5CCD"/>
    <w:rsid w:val="003C61B8"/>
    <w:rsid w:val="003C72CC"/>
    <w:rsid w:val="003C7FD0"/>
    <w:rsid w:val="003D1270"/>
    <w:rsid w:val="003D2661"/>
    <w:rsid w:val="003D2EEE"/>
    <w:rsid w:val="003D4045"/>
    <w:rsid w:val="003D6474"/>
    <w:rsid w:val="003D7EB9"/>
    <w:rsid w:val="003E0DD3"/>
    <w:rsid w:val="003E10C2"/>
    <w:rsid w:val="003E10D5"/>
    <w:rsid w:val="003E14AD"/>
    <w:rsid w:val="003E2C35"/>
    <w:rsid w:val="003E3377"/>
    <w:rsid w:val="003E3C94"/>
    <w:rsid w:val="003E3CFA"/>
    <w:rsid w:val="003E42E5"/>
    <w:rsid w:val="003E4E1A"/>
    <w:rsid w:val="003E5273"/>
    <w:rsid w:val="003E5374"/>
    <w:rsid w:val="003E560A"/>
    <w:rsid w:val="003E6937"/>
    <w:rsid w:val="003F0C84"/>
    <w:rsid w:val="003F1D56"/>
    <w:rsid w:val="003F28AE"/>
    <w:rsid w:val="003F2CAB"/>
    <w:rsid w:val="003F4950"/>
    <w:rsid w:val="003F4F34"/>
    <w:rsid w:val="003F5D19"/>
    <w:rsid w:val="00402CD8"/>
    <w:rsid w:val="00403A63"/>
    <w:rsid w:val="004045C5"/>
    <w:rsid w:val="0040478E"/>
    <w:rsid w:val="0040530D"/>
    <w:rsid w:val="004072D4"/>
    <w:rsid w:val="00407C3B"/>
    <w:rsid w:val="004114E3"/>
    <w:rsid w:val="00411A70"/>
    <w:rsid w:val="00412E8E"/>
    <w:rsid w:val="00412EAF"/>
    <w:rsid w:val="00413388"/>
    <w:rsid w:val="00414F1A"/>
    <w:rsid w:val="004166CF"/>
    <w:rsid w:val="00416D1E"/>
    <w:rsid w:val="00416D32"/>
    <w:rsid w:val="004175F4"/>
    <w:rsid w:val="0042052C"/>
    <w:rsid w:val="00420F9B"/>
    <w:rsid w:val="00421870"/>
    <w:rsid w:val="0042309A"/>
    <w:rsid w:val="004254A8"/>
    <w:rsid w:val="00426439"/>
    <w:rsid w:val="004268BB"/>
    <w:rsid w:val="00426EC7"/>
    <w:rsid w:val="004271B9"/>
    <w:rsid w:val="004306B2"/>
    <w:rsid w:val="00431BBE"/>
    <w:rsid w:val="0043500D"/>
    <w:rsid w:val="00435F43"/>
    <w:rsid w:val="00436A8E"/>
    <w:rsid w:val="00437A67"/>
    <w:rsid w:val="00442652"/>
    <w:rsid w:val="00442C87"/>
    <w:rsid w:val="00445AF0"/>
    <w:rsid w:val="004465B4"/>
    <w:rsid w:val="004472AB"/>
    <w:rsid w:val="00454CCE"/>
    <w:rsid w:val="00454F4B"/>
    <w:rsid w:val="00455601"/>
    <w:rsid w:val="00455AC3"/>
    <w:rsid w:val="00456BC5"/>
    <w:rsid w:val="004578E3"/>
    <w:rsid w:val="0046004E"/>
    <w:rsid w:val="00460E62"/>
    <w:rsid w:val="004610B0"/>
    <w:rsid w:val="004625FB"/>
    <w:rsid w:val="00462685"/>
    <w:rsid w:val="00463BCD"/>
    <w:rsid w:val="00466817"/>
    <w:rsid w:val="00467043"/>
    <w:rsid w:val="004675B4"/>
    <w:rsid w:val="004702B6"/>
    <w:rsid w:val="00470BE3"/>
    <w:rsid w:val="00470E6D"/>
    <w:rsid w:val="004718FE"/>
    <w:rsid w:val="004721FB"/>
    <w:rsid w:val="00472284"/>
    <w:rsid w:val="00473CD3"/>
    <w:rsid w:val="00474639"/>
    <w:rsid w:val="00476BCF"/>
    <w:rsid w:val="004770AD"/>
    <w:rsid w:val="0048021A"/>
    <w:rsid w:val="00480C09"/>
    <w:rsid w:val="00481620"/>
    <w:rsid w:val="00483510"/>
    <w:rsid w:val="0048382D"/>
    <w:rsid w:val="0048655C"/>
    <w:rsid w:val="004877B2"/>
    <w:rsid w:val="00487AE1"/>
    <w:rsid w:val="00490B73"/>
    <w:rsid w:val="00490F81"/>
    <w:rsid w:val="004912E2"/>
    <w:rsid w:val="00492096"/>
    <w:rsid w:val="00492578"/>
    <w:rsid w:val="00494B37"/>
    <w:rsid w:val="00494C60"/>
    <w:rsid w:val="00494D48"/>
    <w:rsid w:val="00495117"/>
    <w:rsid w:val="00495969"/>
    <w:rsid w:val="00495F1E"/>
    <w:rsid w:val="00497533"/>
    <w:rsid w:val="004A0680"/>
    <w:rsid w:val="004A080C"/>
    <w:rsid w:val="004A09CC"/>
    <w:rsid w:val="004A3B26"/>
    <w:rsid w:val="004A66C4"/>
    <w:rsid w:val="004A6E30"/>
    <w:rsid w:val="004A701E"/>
    <w:rsid w:val="004A758F"/>
    <w:rsid w:val="004A7D97"/>
    <w:rsid w:val="004B097B"/>
    <w:rsid w:val="004B242C"/>
    <w:rsid w:val="004B2642"/>
    <w:rsid w:val="004B3191"/>
    <w:rsid w:val="004B350F"/>
    <w:rsid w:val="004B393C"/>
    <w:rsid w:val="004B466D"/>
    <w:rsid w:val="004B4A26"/>
    <w:rsid w:val="004B4F5F"/>
    <w:rsid w:val="004B5D03"/>
    <w:rsid w:val="004B6594"/>
    <w:rsid w:val="004B7414"/>
    <w:rsid w:val="004B7C53"/>
    <w:rsid w:val="004C13B8"/>
    <w:rsid w:val="004C1C32"/>
    <w:rsid w:val="004C38FE"/>
    <w:rsid w:val="004C3E4D"/>
    <w:rsid w:val="004C6BBC"/>
    <w:rsid w:val="004C7F5D"/>
    <w:rsid w:val="004D3224"/>
    <w:rsid w:val="004D4A69"/>
    <w:rsid w:val="004D5A3E"/>
    <w:rsid w:val="004D776A"/>
    <w:rsid w:val="004E04E7"/>
    <w:rsid w:val="004E3938"/>
    <w:rsid w:val="004E4E36"/>
    <w:rsid w:val="004E5E88"/>
    <w:rsid w:val="004E6058"/>
    <w:rsid w:val="004E71B4"/>
    <w:rsid w:val="004E7A99"/>
    <w:rsid w:val="004E7F30"/>
    <w:rsid w:val="004F0469"/>
    <w:rsid w:val="004F0C7A"/>
    <w:rsid w:val="004F26F4"/>
    <w:rsid w:val="004F4D54"/>
    <w:rsid w:val="004F770E"/>
    <w:rsid w:val="00500293"/>
    <w:rsid w:val="00500502"/>
    <w:rsid w:val="00502AC0"/>
    <w:rsid w:val="00503231"/>
    <w:rsid w:val="005037D7"/>
    <w:rsid w:val="00504CF0"/>
    <w:rsid w:val="00504DE8"/>
    <w:rsid w:val="00505E45"/>
    <w:rsid w:val="00510C1B"/>
    <w:rsid w:val="00511ADF"/>
    <w:rsid w:val="00512D78"/>
    <w:rsid w:val="00513BD4"/>
    <w:rsid w:val="00514DB0"/>
    <w:rsid w:val="005150F3"/>
    <w:rsid w:val="00515448"/>
    <w:rsid w:val="00516276"/>
    <w:rsid w:val="0051633E"/>
    <w:rsid w:val="00516776"/>
    <w:rsid w:val="0051710C"/>
    <w:rsid w:val="00517D76"/>
    <w:rsid w:val="0052132D"/>
    <w:rsid w:val="005226DB"/>
    <w:rsid w:val="00522F1F"/>
    <w:rsid w:val="0052446D"/>
    <w:rsid w:val="005260A8"/>
    <w:rsid w:val="00526631"/>
    <w:rsid w:val="00526C1F"/>
    <w:rsid w:val="005275A2"/>
    <w:rsid w:val="00527DE1"/>
    <w:rsid w:val="00530114"/>
    <w:rsid w:val="00534065"/>
    <w:rsid w:val="00534477"/>
    <w:rsid w:val="0054020E"/>
    <w:rsid w:val="00542182"/>
    <w:rsid w:val="005426E4"/>
    <w:rsid w:val="005438AB"/>
    <w:rsid w:val="00543C9C"/>
    <w:rsid w:val="00543D52"/>
    <w:rsid w:val="0054437D"/>
    <w:rsid w:val="00544D36"/>
    <w:rsid w:val="005464E8"/>
    <w:rsid w:val="00550488"/>
    <w:rsid w:val="005510D2"/>
    <w:rsid w:val="0055163F"/>
    <w:rsid w:val="005517FF"/>
    <w:rsid w:val="00553CBE"/>
    <w:rsid w:val="005551C8"/>
    <w:rsid w:val="00555364"/>
    <w:rsid w:val="00555DD7"/>
    <w:rsid w:val="00557403"/>
    <w:rsid w:val="00557792"/>
    <w:rsid w:val="00557C7A"/>
    <w:rsid w:val="00560958"/>
    <w:rsid w:val="00560D84"/>
    <w:rsid w:val="005613E0"/>
    <w:rsid w:val="005666A7"/>
    <w:rsid w:val="005669E4"/>
    <w:rsid w:val="00566A09"/>
    <w:rsid w:val="005710C3"/>
    <w:rsid w:val="00573807"/>
    <w:rsid w:val="00580F5F"/>
    <w:rsid w:val="005810E8"/>
    <w:rsid w:val="00581CAE"/>
    <w:rsid w:val="00582929"/>
    <w:rsid w:val="00583CC9"/>
    <w:rsid w:val="00583EE2"/>
    <w:rsid w:val="00584D27"/>
    <w:rsid w:val="005861F3"/>
    <w:rsid w:val="00590619"/>
    <w:rsid w:val="00590834"/>
    <w:rsid w:val="00590D0E"/>
    <w:rsid w:val="00590D90"/>
    <w:rsid w:val="005918F5"/>
    <w:rsid w:val="0059196C"/>
    <w:rsid w:val="0059286E"/>
    <w:rsid w:val="00592A77"/>
    <w:rsid w:val="00593C85"/>
    <w:rsid w:val="00593CAA"/>
    <w:rsid w:val="00595A79"/>
    <w:rsid w:val="00595F4B"/>
    <w:rsid w:val="00596050"/>
    <w:rsid w:val="005A0BEF"/>
    <w:rsid w:val="005A37F9"/>
    <w:rsid w:val="005A4A88"/>
    <w:rsid w:val="005A571A"/>
    <w:rsid w:val="005A5DC8"/>
    <w:rsid w:val="005A6CC1"/>
    <w:rsid w:val="005A7511"/>
    <w:rsid w:val="005B05AF"/>
    <w:rsid w:val="005B0EEC"/>
    <w:rsid w:val="005B24F9"/>
    <w:rsid w:val="005B2ABA"/>
    <w:rsid w:val="005B7A8C"/>
    <w:rsid w:val="005C1F16"/>
    <w:rsid w:val="005C23B8"/>
    <w:rsid w:val="005C2BDF"/>
    <w:rsid w:val="005C3B4A"/>
    <w:rsid w:val="005C58F8"/>
    <w:rsid w:val="005C7090"/>
    <w:rsid w:val="005C7DDC"/>
    <w:rsid w:val="005D0599"/>
    <w:rsid w:val="005D0F7C"/>
    <w:rsid w:val="005D1C57"/>
    <w:rsid w:val="005D56D0"/>
    <w:rsid w:val="005D6B07"/>
    <w:rsid w:val="005E1E60"/>
    <w:rsid w:val="005E3F4C"/>
    <w:rsid w:val="005E4B61"/>
    <w:rsid w:val="005E53D6"/>
    <w:rsid w:val="005E6744"/>
    <w:rsid w:val="005E6E11"/>
    <w:rsid w:val="005E7415"/>
    <w:rsid w:val="005F1838"/>
    <w:rsid w:val="005F2DB7"/>
    <w:rsid w:val="005F3B8A"/>
    <w:rsid w:val="005F4903"/>
    <w:rsid w:val="005F62BE"/>
    <w:rsid w:val="005F7DD7"/>
    <w:rsid w:val="00600559"/>
    <w:rsid w:val="00600AB2"/>
    <w:rsid w:val="0060287A"/>
    <w:rsid w:val="0060533C"/>
    <w:rsid w:val="00605727"/>
    <w:rsid w:val="0060627A"/>
    <w:rsid w:val="006100BF"/>
    <w:rsid w:val="00611F1E"/>
    <w:rsid w:val="00612BC1"/>
    <w:rsid w:val="00617A58"/>
    <w:rsid w:val="00617FE0"/>
    <w:rsid w:val="006207AE"/>
    <w:rsid w:val="0062130C"/>
    <w:rsid w:val="00621825"/>
    <w:rsid w:val="006248BE"/>
    <w:rsid w:val="006263D1"/>
    <w:rsid w:val="0062788A"/>
    <w:rsid w:val="00630240"/>
    <w:rsid w:val="0063601A"/>
    <w:rsid w:val="006412E3"/>
    <w:rsid w:val="0064218F"/>
    <w:rsid w:val="0064248D"/>
    <w:rsid w:val="00642996"/>
    <w:rsid w:val="00643524"/>
    <w:rsid w:val="00643759"/>
    <w:rsid w:val="00646E97"/>
    <w:rsid w:val="00647ADC"/>
    <w:rsid w:val="006516CD"/>
    <w:rsid w:val="00651A28"/>
    <w:rsid w:val="00652180"/>
    <w:rsid w:val="00654884"/>
    <w:rsid w:val="00656BF7"/>
    <w:rsid w:val="00656F0D"/>
    <w:rsid w:val="00657865"/>
    <w:rsid w:val="00657AAA"/>
    <w:rsid w:val="00660DFE"/>
    <w:rsid w:val="00661362"/>
    <w:rsid w:val="00661D3D"/>
    <w:rsid w:val="00662116"/>
    <w:rsid w:val="0066285E"/>
    <w:rsid w:val="00662ECD"/>
    <w:rsid w:val="00663698"/>
    <w:rsid w:val="00664156"/>
    <w:rsid w:val="00665BA9"/>
    <w:rsid w:val="00666C1C"/>
    <w:rsid w:val="0066718A"/>
    <w:rsid w:val="006674ED"/>
    <w:rsid w:val="0067357C"/>
    <w:rsid w:val="00673B07"/>
    <w:rsid w:val="006806D2"/>
    <w:rsid w:val="006807F5"/>
    <w:rsid w:val="00680B57"/>
    <w:rsid w:val="00681B72"/>
    <w:rsid w:val="00682288"/>
    <w:rsid w:val="006828B0"/>
    <w:rsid w:val="00685B60"/>
    <w:rsid w:val="00686E5D"/>
    <w:rsid w:val="0068753D"/>
    <w:rsid w:val="00690039"/>
    <w:rsid w:val="006934A5"/>
    <w:rsid w:val="006940CA"/>
    <w:rsid w:val="0069560C"/>
    <w:rsid w:val="006A0D94"/>
    <w:rsid w:val="006A152F"/>
    <w:rsid w:val="006A1B94"/>
    <w:rsid w:val="006A2255"/>
    <w:rsid w:val="006A7240"/>
    <w:rsid w:val="006A737A"/>
    <w:rsid w:val="006A74FB"/>
    <w:rsid w:val="006A77FB"/>
    <w:rsid w:val="006B0582"/>
    <w:rsid w:val="006B10C6"/>
    <w:rsid w:val="006B132C"/>
    <w:rsid w:val="006B1BCC"/>
    <w:rsid w:val="006B2083"/>
    <w:rsid w:val="006B2AB4"/>
    <w:rsid w:val="006B2CAA"/>
    <w:rsid w:val="006B2D7A"/>
    <w:rsid w:val="006B3E6E"/>
    <w:rsid w:val="006B445B"/>
    <w:rsid w:val="006B44D0"/>
    <w:rsid w:val="006B5490"/>
    <w:rsid w:val="006B655B"/>
    <w:rsid w:val="006B78A9"/>
    <w:rsid w:val="006C0E96"/>
    <w:rsid w:val="006C211B"/>
    <w:rsid w:val="006C394F"/>
    <w:rsid w:val="006C42E5"/>
    <w:rsid w:val="006C5756"/>
    <w:rsid w:val="006C5D75"/>
    <w:rsid w:val="006C6BF9"/>
    <w:rsid w:val="006C711D"/>
    <w:rsid w:val="006C7D39"/>
    <w:rsid w:val="006D01BF"/>
    <w:rsid w:val="006D0ED2"/>
    <w:rsid w:val="006D20BB"/>
    <w:rsid w:val="006D2D50"/>
    <w:rsid w:val="006D351E"/>
    <w:rsid w:val="006D3589"/>
    <w:rsid w:val="006D3C54"/>
    <w:rsid w:val="006D5808"/>
    <w:rsid w:val="006D6021"/>
    <w:rsid w:val="006D7207"/>
    <w:rsid w:val="006D7C30"/>
    <w:rsid w:val="006E12D5"/>
    <w:rsid w:val="006E1C45"/>
    <w:rsid w:val="006E1FE3"/>
    <w:rsid w:val="006E231E"/>
    <w:rsid w:val="006E3DE2"/>
    <w:rsid w:val="006E4E9D"/>
    <w:rsid w:val="006E6A68"/>
    <w:rsid w:val="006E7B50"/>
    <w:rsid w:val="006F052E"/>
    <w:rsid w:val="006F18F6"/>
    <w:rsid w:val="006F2766"/>
    <w:rsid w:val="006F2B34"/>
    <w:rsid w:val="006F2DA9"/>
    <w:rsid w:val="006F34DA"/>
    <w:rsid w:val="006F3503"/>
    <w:rsid w:val="006F3CF3"/>
    <w:rsid w:val="006F507A"/>
    <w:rsid w:val="006F5499"/>
    <w:rsid w:val="006F560A"/>
    <w:rsid w:val="006F57E9"/>
    <w:rsid w:val="007010A1"/>
    <w:rsid w:val="00701124"/>
    <w:rsid w:val="00701A04"/>
    <w:rsid w:val="00703E20"/>
    <w:rsid w:val="00705427"/>
    <w:rsid w:val="00705EB8"/>
    <w:rsid w:val="0070675B"/>
    <w:rsid w:val="00710A9A"/>
    <w:rsid w:val="0071232A"/>
    <w:rsid w:val="00713FBC"/>
    <w:rsid w:val="0071475E"/>
    <w:rsid w:val="007155D3"/>
    <w:rsid w:val="00716C2B"/>
    <w:rsid w:val="0072229E"/>
    <w:rsid w:val="007238A0"/>
    <w:rsid w:val="0072436D"/>
    <w:rsid w:val="00724837"/>
    <w:rsid w:val="0072571A"/>
    <w:rsid w:val="007271B6"/>
    <w:rsid w:val="00730731"/>
    <w:rsid w:val="00732A7B"/>
    <w:rsid w:val="00733F16"/>
    <w:rsid w:val="0073422A"/>
    <w:rsid w:val="007352B2"/>
    <w:rsid w:val="00735EAB"/>
    <w:rsid w:val="007370A3"/>
    <w:rsid w:val="007405AA"/>
    <w:rsid w:val="00742475"/>
    <w:rsid w:val="00742FC0"/>
    <w:rsid w:val="00745ED3"/>
    <w:rsid w:val="00751BAE"/>
    <w:rsid w:val="007542E3"/>
    <w:rsid w:val="00754BA6"/>
    <w:rsid w:val="00755EC1"/>
    <w:rsid w:val="00756052"/>
    <w:rsid w:val="00756D1B"/>
    <w:rsid w:val="00757749"/>
    <w:rsid w:val="00757D2B"/>
    <w:rsid w:val="00760320"/>
    <w:rsid w:val="00760600"/>
    <w:rsid w:val="00760E15"/>
    <w:rsid w:val="00760EAA"/>
    <w:rsid w:val="007626EA"/>
    <w:rsid w:val="00762872"/>
    <w:rsid w:val="00762F9F"/>
    <w:rsid w:val="00763F6F"/>
    <w:rsid w:val="00764706"/>
    <w:rsid w:val="00767FCC"/>
    <w:rsid w:val="00771268"/>
    <w:rsid w:val="007722CB"/>
    <w:rsid w:val="00772C76"/>
    <w:rsid w:val="00773ABB"/>
    <w:rsid w:val="0077471E"/>
    <w:rsid w:val="007851FD"/>
    <w:rsid w:val="007859B3"/>
    <w:rsid w:val="00790D10"/>
    <w:rsid w:val="007911B6"/>
    <w:rsid w:val="00791CEB"/>
    <w:rsid w:val="007931FA"/>
    <w:rsid w:val="00793793"/>
    <w:rsid w:val="00796A37"/>
    <w:rsid w:val="00796EFF"/>
    <w:rsid w:val="0079794C"/>
    <w:rsid w:val="00797E9C"/>
    <w:rsid w:val="007A098A"/>
    <w:rsid w:val="007A09B2"/>
    <w:rsid w:val="007A102D"/>
    <w:rsid w:val="007A242E"/>
    <w:rsid w:val="007A51C4"/>
    <w:rsid w:val="007A7ECC"/>
    <w:rsid w:val="007B035B"/>
    <w:rsid w:val="007B0459"/>
    <w:rsid w:val="007B1535"/>
    <w:rsid w:val="007B19B2"/>
    <w:rsid w:val="007B26F3"/>
    <w:rsid w:val="007B2FBD"/>
    <w:rsid w:val="007B3144"/>
    <w:rsid w:val="007B3F91"/>
    <w:rsid w:val="007B43D1"/>
    <w:rsid w:val="007B71F3"/>
    <w:rsid w:val="007C51C3"/>
    <w:rsid w:val="007D20D6"/>
    <w:rsid w:val="007D30B3"/>
    <w:rsid w:val="007D3CF7"/>
    <w:rsid w:val="007D4A2A"/>
    <w:rsid w:val="007D7F6B"/>
    <w:rsid w:val="007E0C4C"/>
    <w:rsid w:val="007E17E0"/>
    <w:rsid w:val="007E2793"/>
    <w:rsid w:val="007E2C54"/>
    <w:rsid w:val="007E4961"/>
    <w:rsid w:val="007E4D11"/>
    <w:rsid w:val="007E4DED"/>
    <w:rsid w:val="007E4FF4"/>
    <w:rsid w:val="007E524C"/>
    <w:rsid w:val="007E5E90"/>
    <w:rsid w:val="007E62BF"/>
    <w:rsid w:val="007F123B"/>
    <w:rsid w:val="007F1884"/>
    <w:rsid w:val="007F3118"/>
    <w:rsid w:val="007F3B5F"/>
    <w:rsid w:val="00801615"/>
    <w:rsid w:val="008016FC"/>
    <w:rsid w:val="008024E9"/>
    <w:rsid w:val="00802E20"/>
    <w:rsid w:val="0080329E"/>
    <w:rsid w:val="00805D22"/>
    <w:rsid w:val="0080627F"/>
    <w:rsid w:val="0081097F"/>
    <w:rsid w:val="00811332"/>
    <w:rsid w:val="008113A1"/>
    <w:rsid w:val="00812B86"/>
    <w:rsid w:val="008137BD"/>
    <w:rsid w:val="00813C15"/>
    <w:rsid w:val="00814073"/>
    <w:rsid w:val="00814B9B"/>
    <w:rsid w:val="00821A55"/>
    <w:rsid w:val="00824432"/>
    <w:rsid w:val="00825AEE"/>
    <w:rsid w:val="00825B8A"/>
    <w:rsid w:val="008261BE"/>
    <w:rsid w:val="00826349"/>
    <w:rsid w:val="008271BF"/>
    <w:rsid w:val="00827655"/>
    <w:rsid w:val="00827A6C"/>
    <w:rsid w:val="00831766"/>
    <w:rsid w:val="00832913"/>
    <w:rsid w:val="00832AE2"/>
    <w:rsid w:val="008337C9"/>
    <w:rsid w:val="00835ACB"/>
    <w:rsid w:val="00836233"/>
    <w:rsid w:val="0083634E"/>
    <w:rsid w:val="00836556"/>
    <w:rsid w:val="008375B2"/>
    <w:rsid w:val="00840852"/>
    <w:rsid w:val="00840A6A"/>
    <w:rsid w:val="00841B9F"/>
    <w:rsid w:val="00843614"/>
    <w:rsid w:val="008453C4"/>
    <w:rsid w:val="00847C60"/>
    <w:rsid w:val="00847E9D"/>
    <w:rsid w:val="008506EB"/>
    <w:rsid w:val="00851204"/>
    <w:rsid w:val="008521EB"/>
    <w:rsid w:val="008525B0"/>
    <w:rsid w:val="00852E44"/>
    <w:rsid w:val="008530FD"/>
    <w:rsid w:val="0085321D"/>
    <w:rsid w:val="0085327F"/>
    <w:rsid w:val="00855152"/>
    <w:rsid w:val="00855231"/>
    <w:rsid w:val="008565CA"/>
    <w:rsid w:val="008567A0"/>
    <w:rsid w:val="00857F44"/>
    <w:rsid w:val="008602F3"/>
    <w:rsid w:val="008605EF"/>
    <w:rsid w:val="00860EDC"/>
    <w:rsid w:val="008610C3"/>
    <w:rsid w:val="00861EB3"/>
    <w:rsid w:val="00863819"/>
    <w:rsid w:val="0086406C"/>
    <w:rsid w:val="00864DD5"/>
    <w:rsid w:val="008658C9"/>
    <w:rsid w:val="008672DC"/>
    <w:rsid w:val="00870A2E"/>
    <w:rsid w:val="00870BBE"/>
    <w:rsid w:val="00870CD0"/>
    <w:rsid w:val="00870F2A"/>
    <w:rsid w:val="00871A81"/>
    <w:rsid w:val="00872FD1"/>
    <w:rsid w:val="0087324A"/>
    <w:rsid w:val="008733D9"/>
    <w:rsid w:val="008739A0"/>
    <w:rsid w:val="00873D07"/>
    <w:rsid w:val="00874242"/>
    <w:rsid w:val="00875317"/>
    <w:rsid w:val="00875ABD"/>
    <w:rsid w:val="00875D37"/>
    <w:rsid w:val="00876767"/>
    <w:rsid w:val="00877006"/>
    <w:rsid w:val="008774B3"/>
    <w:rsid w:val="00880707"/>
    <w:rsid w:val="0088177F"/>
    <w:rsid w:val="008819AB"/>
    <w:rsid w:val="008820EA"/>
    <w:rsid w:val="00882599"/>
    <w:rsid w:val="0088306C"/>
    <w:rsid w:val="008860C2"/>
    <w:rsid w:val="0088698C"/>
    <w:rsid w:val="0088784C"/>
    <w:rsid w:val="0088798E"/>
    <w:rsid w:val="00887DA4"/>
    <w:rsid w:val="0089079C"/>
    <w:rsid w:val="00892C92"/>
    <w:rsid w:val="00894513"/>
    <w:rsid w:val="00894F4F"/>
    <w:rsid w:val="00895452"/>
    <w:rsid w:val="008972FF"/>
    <w:rsid w:val="008A25E0"/>
    <w:rsid w:val="008A2A3E"/>
    <w:rsid w:val="008A2F05"/>
    <w:rsid w:val="008A47B1"/>
    <w:rsid w:val="008A5AF8"/>
    <w:rsid w:val="008A5C24"/>
    <w:rsid w:val="008A620A"/>
    <w:rsid w:val="008A6518"/>
    <w:rsid w:val="008A754B"/>
    <w:rsid w:val="008B0830"/>
    <w:rsid w:val="008B4CCB"/>
    <w:rsid w:val="008B5FFD"/>
    <w:rsid w:val="008B6027"/>
    <w:rsid w:val="008B64DE"/>
    <w:rsid w:val="008B73F2"/>
    <w:rsid w:val="008C09DD"/>
    <w:rsid w:val="008C0AC4"/>
    <w:rsid w:val="008C2EDB"/>
    <w:rsid w:val="008C53A6"/>
    <w:rsid w:val="008C5AF6"/>
    <w:rsid w:val="008C69A3"/>
    <w:rsid w:val="008C7CE0"/>
    <w:rsid w:val="008D0197"/>
    <w:rsid w:val="008D0973"/>
    <w:rsid w:val="008D15F1"/>
    <w:rsid w:val="008D1910"/>
    <w:rsid w:val="008D2FD3"/>
    <w:rsid w:val="008D4574"/>
    <w:rsid w:val="008D4ACD"/>
    <w:rsid w:val="008D51CF"/>
    <w:rsid w:val="008D7D6F"/>
    <w:rsid w:val="008E0B7A"/>
    <w:rsid w:val="008E1317"/>
    <w:rsid w:val="008E13F6"/>
    <w:rsid w:val="008E2789"/>
    <w:rsid w:val="008E4659"/>
    <w:rsid w:val="008E4E53"/>
    <w:rsid w:val="008E5479"/>
    <w:rsid w:val="008E5671"/>
    <w:rsid w:val="008E5959"/>
    <w:rsid w:val="008E6853"/>
    <w:rsid w:val="008F1039"/>
    <w:rsid w:val="008F2323"/>
    <w:rsid w:val="008F2AD6"/>
    <w:rsid w:val="008F469F"/>
    <w:rsid w:val="008F576F"/>
    <w:rsid w:val="008F5DA4"/>
    <w:rsid w:val="008F73AA"/>
    <w:rsid w:val="009004EF"/>
    <w:rsid w:val="009006A9"/>
    <w:rsid w:val="00900A1C"/>
    <w:rsid w:val="00903000"/>
    <w:rsid w:val="00903933"/>
    <w:rsid w:val="00905757"/>
    <w:rsid w:val="009073F6"/>
    <w:rsid w:val="009101EC"/>
    <w:rsid w:val="009105B6"/>
    <w:rsid w:val="0091167C"/>
    <w:rsid w:val="00912C10"/>
    <w:rsid w:val="00912CB3"/>
    <w:rsid w:val="00914609"/>
    <w:rsid w:val="00914621"/>
    <w:rsid w:val="00914FC1"/>
    <w:rsid w:val="00915F8C"/>
    <w:rsid w:val="00921BF1"/>
    <w:rsid w:val="00922896"/>
    <w:rsid w:val="009233A4"/>
    <w:rsid w:val="00923920"/>
    <w:rsid w:val="009265B9"/>
    <w:rsid w:val="00927AEA"/>
    <w:rsid w:val="00927DB3"/>
    <w:rsid w:val="00932B52"/>
    <w:rsid w:val="009330EA"/>
    <w:rsid w:val="00933E26"/>
    <w:rsid w:val="009341F2"/>
    <w:rsid w:val="009342B3"/>
    <w:rsid w:val="00934920"/>
    <w:rsid w:val="00934AFF"/>
    <w:rsid w:val="00936439"/>
    <w:rsid w:val="00936C30"/>
    <w:rsid w:val="009405B0"/>
    <w:rsid w:val="0094078C"/>
    <w:rsid w:val="009414D2"/>
    <w:rsid w:val="0094570E"/>
    <w:rsid w:val="009469FB"/>
    <w:rsid w:val="00947B1F"/>
    <w:rsid w:val="00950406"/>
    <w:rsid w:val="0095087E"/>
    <w:rsid w:val="00952591"/>
    <w:rsid w:val="00953B7C"/>
    <w:rsid w:val="00956519"/>
    <w:rsid w:val="00957563"/>
    <w:rsid w:val="00957936"/>
    <w:rsid w:val="00957F4A"/>
    <w:rsid w:val="00963F86"/>
    <w:rsid w:val="00963FD0"/>
    <w:rsid w:val="00964EDB"/>
    <w:rsid w:val="0096700D"/>
    <w:rsid w:val="00970267"/>
    <w:rsid w:val="00971739"/>
    <w:rsid w:val="00971ABD"/>
    <w:rsid w:val="00971B7A"/>
    <w:rsid w:val="0097255F"/>
    <w:rsid w:val="0097308A"/>
    <w:rsid w:val="00974FAC"/>
    <w:rsid w:val="00975236"/>
    <w:rsid w:val="0097561F"/>
    <w:rsid w:val="00976988"/>
    <w:rsid w:val="009800F6"/>
    <w:rsid w:val="0098053B"/>
    <w:rsid w:val="0098185B"/>
    <w:rsid w:val="00982D43"/>
    <w:rsid w:val="00982EF6"/>
    <w:rsid w:val="00983D0B"/>
    <w:rsid w:val="00983E3A"/>
    <w:rsid w:val="0098453D"/>
    <w:rsid w:val="00984957"/>
    <w:rsid w:val="009900DE"/>
    <w:rsid w:val="009919B3"/>
    <w:rsid w:val="00993090"/>
    <w:rsid w:val="00993F16"/>
    <w:rsid w:val="00995133"/>
    <w:rsid w:val="00995433"/>
    <w:rsid w:val="0099602B"/>
    <w:rsid w:val="00996132"/>
    <w:rsid w:val="009A11A4"/>
    <w:rsid w:val="009A42A7"/>
    <w:rsid w:val="009A536A"/>
    <w:rsid w:val="009A62E4"/>
    <w:rsid w:val="009A7BF0"/>
    <w:rsid w:val="009B0079"/>
    <w:rsid w:val="009B07B3"/>
    <w:rsid w:val="009B1453"/>
    <w:rsid w:val="009B381E"/>
    <w:rsid w:val="009B4B73"/>
    <w:rsid w:val="009B5EA8"/>
    <w:rsid w:val="009B63B0"/>
    <w:rsid w:val="009C1697"/>
    <w:rsid w:val="009C2C72"/>
    <w:rsid w:val="009C3067"/>
    <w:rsid w:val="009C31AF"/>
    <w:rsid w:val="009C51AA"/>
    <w:rsid w:val="009C6A2F"/>
    <w:rsid w:val="009C6BE2"/>
    <w:rsid w:val="009D0B21"/>
    <w:rsid w:val="009D1D9C"/>
    <w:rsid w:val="009D2BE4"/>
    <w:rsid w:val="009D3D95"/>
    <w:rsid w:val="009D62A9"/>
    <w:rsid w:val="009D6C7B"/>
    <w:rsid w:val="009D7C71"/>
    <w:rsid w:val="009E2DAB"/>
    <w:rsid w:val="009E5E35"/>
    <w:rsid w:val="009E7E39"/>
    <w:rsid w:val="009F0AB8"/>
    <w:rsid w:val="009F1024"/>
    <w:rsid w:val="009F2170"/>
    <w:rsid w:val="009F4DBE"/>
    <w:rsid w:val="00A002EA"/>
    <w:rsid w:val="00A00F67"/>
    <w:rsid w:val="00A01325"/>
    <w:rsid w:val="00A035E0"/>
    <w:rsid w:val="00A03D9F"/>
    <w:rsid w:val="00A059A1"/>
    <w:rsid w:val="00A07F57"/>
    <w:rsid w:val="00A10AAC"/>
    <w:rsid w:val="00A11C20"/>
    <w:rsid w:val="00A125C5"/>
    <w:rsid w:val="00A13EF0"/>
    <w:rsid w:val="00A16A1A"/>
    <w:rsid w:val="00A2003B"/>
    <w:rsid w:val="00A217B9"/>
    <w:rsid w:val="00A230E1"/>
    <w:rsid w:val="00A235A9"/>
    <w:rsid w:val="00A25643"/>
    <w:rsid w:val="00A25F1A"/>
    <w:rsid w:val="00A26D05"/>
    <w:rsid w:val="00A27987"/>
    <w:rsid w:val="00A31D1C"/>
    <w:rsid w:val="00A3298A"/>
    <w:rsid w:val="00A330AB"/>
    <w:rsid w:val="00A34E6E"/>
    <w:rsid w:val="00A3746C"/>
    <w:rsid w:val="00A40F34"/>
    <w:rsid w:val="00A4109F"/>
    <w:rsid w:val="00A419BF"/>
    <w:rsid w:val="00A420B4"/>
    <w:rsid w:val="00A432FD"/>
    <w:rsid w:val="00A43793"/>
    <w:rsid w:val="00A43BD2"/>
    <w:rsid w:val="00A4416D"/>
    <w:rsid w:val="00A44911"/>
    <w:rsid w:val="00A44AB2"/>
    <w:rsid w:val="00A4512D"/>
    <w:rsid w:val="00A459FB"/>
    <w:rsid w:val="00A463AB"/>
    <w:rsid w:val="00A46675"/>
    <w:rsid w:val="00A47858"/>
    <w:rsid w:val="00A47C15"/>
    <w:rsid w:val="00A51A79"/>
    <w:rsid w:val="00A51CF4"/>
    <w:rsid w:val="00A5234C"/>
    <w:rsid w:val="00A5340A"/>
    <w:rsid w:val="00A54423"/>
    <w:rsid w:val="00A569BE"/>
    <w:rsid w:val="00A56F01"/>
    <w:rsid w:val="00A56FA8"/>
    <w:rsid w:val="00A57F2D"/>
    <w:rsid w:val="00A6044E"/>
    <w:rsid w:val="00A6054A"/>
    <w:rsid w:val="00A60DC7"/>
    <w:rsid w:val="00A6197B"/>
    <w:rsid w:val="00A652E5"/>
    <w:rsid w:val="00A65F2B"/>
    <w:rsid w:val="00A66039"/>
    <w:rsid w:val="00A66727"/>
    <w:rsid w:val="00A74EDF"/>
    <w:rsid w:val="00A81D9C"/>
    <w:rsid w:val="00A84480"/>
    <w:rsid w:val="00A844D0"/>
    <w:rsid w:val="00A84AAB"/>
    <w:rsid w:val="00A853E2"/>
    <w:rsid w:val="00A85DBA"/>
    <w:rsid w:val="00A87F62"/>
    <w:rsid w:val="00A91A67"/>
    <w:rsid w:val="00A9318F"/>
    <w:rsid w:val="00A93CE5"/>
    <w:rsid w:val="00A949E2"/>
    <w:rsid w:val="00A94EE2"/>
    <w:rsid w:val="00A95D9D"/>
    <w:rsid w:val="00A962F9"/>
    <w:rsid w:val="00A9675F"/>
    <w:rsid w:val="00A979F6"/>
    <w:rsid w:val="00AA06FA"/>
    <w:rsid w:val="00AA07C1"/>
    <w:rsid w:val="00AA2CB7"/>
    <w:rsid w:val="00AA458A"/>
    <w:rsid w:val="00AA508A"/>
    <w:rsid w:val="00AA5889"/>
    <w:rsid w:val="00AA58B2"/>
    <w:rsid w:val="00AA5F34"/>
    <w:rsid w:val="00AA65C0"/>
    <w:rsid w:val="00AA6931"/>
    <w:rsid w:val="00AA6CE9"/>
    <w:rsid w:val="00AB183A"/>
    <w:rsid w:val="00AB1929"/>
    <w:rsid w:val="00AB1A95"/>
    <w:rsid w:val="00AB3574"/>
    <w:rsid w:val="00AC10DE"/>
    <w:rsid w:val="00AC166A"/>
    <w:rsid w:val="00AC1922"/>
    <w:rsid w:val="00AC37A1"/>
    <w:rsid w:val="00AC4319"/>
    <w:rsid w:val="00AC45D0"/>
    <w:rsid w:val="00AC7361"/>
    <w:rsid w:val="00AD1E04"/>
    <w:rsid w:val="00AD64D1"/>
    <w:rsid w:val="00AD6E5E"/>
    <w:rsid w:val="00AE06FA"/>
    <w:rsid w:val="00AE0A46"/>
    <w:rsid w:val="00AE1B50"/>
    <w:rsid w:val="00AE1B71"/>
    <w:rsid w:val="00AE2353"/>
    <w:rsid w:val="00AE23ED"/>
    <w:rsid w:val="00AE341F"/>
    <w:rsid w:val="00AE3621"/>
    <w:rsid w:val="00AE51B3"/>
    <w:rsid w:val="00AE5A18"/>
    <w:rsid w:val="00AE5ACD"/>
    <w:rsid w:val="00AE6273"/>
    <w:rsid w:val="00AE6BBE"/>
    <w:rsid w:val="00AE78DC"/>
    <w:rsid w:val="00AF1464"/>
    <w:rsid w:val="00AF21BB"/>
    <w:rsid w:val="00AF3D3A"/>
    <w:rsid w:val="00AF5AE6"/>
    <w:rsid w:val="00AF6191"/>
    <w:rsid w:val="00AF6C48"/>
    <w:rsid w:val="00B02586"/>
    <w:rsid w:val="00B03B9D"/>
    <w:rsid w:val="00B046AA"/>
    <w:rsid w:val="00B05C5A"/>
    <w:rsid w:val="00B112E7"/>
    <w:rsid w:val="00B113C9"/>
    <w:rsid w:val="00B118B8"/>
    <w:rsid w:val="00B11F8A"/>
    <w:rsid w:val="00B1306C"/>
    <w:rsid w:val="00B13842"/>
    <w:rsid w:val="00B151A1"/>
    <w:rsid w:val="00B168EC"/>
    <w:rsid w:val="00B20B55"/>
    <w:rsid w:val="00B24F67"/>
    <w:rsid w:val="00B257C3"/>
    <w:rsid w:val="00B25D3D"/>
    <w:rsid w:val="00B260FB"/>
    <w:rsid w:val="00B26E66"/>
    <w:rsid w:val="00B27B4C"/>
    <w:rsid w:val="00B30697"/>
    <w:rsid w:val="00B31D5D"/>
    <w:rsid w:val="00B328AE"/>
    <w:rsid w:val="00B348CC"/>
    <w:rsid w:val="00B34A67"/>
    <w:rsid w:val="00B37F3E"/>
    <w:rsid w:val="00B406DE"/>
    <w:rsid w:val="00B40BB4"/>
    <w:rsid w:val="00B40C4A"/>
    <w:rsid w:val="00B4149F"/>
    <w:rsid w:val="00B4190B"/>
    <w:rsid w:val="00B41CDD"/>
    <w:rsid w:val="00B42200"/>
    <w:rsid w:val="00B5177D"/>
    <w:rsid w:val="00B52087"/>
    <w:rsid w:val="00B53BEC"/>
    <w:rsid w:val="00B545E3"/>
    <w:rsid w:val="00B5474A"/>
    <w:rsid w:val="00B55315"/>
    <w:rsid w:val="00B557A9"/>
    <w:rsid w:val="00B55EC6"/>
    <w:rsid w:val="00B55FE6"/>
    <w:rsid w:val="00B56710"/>
    <w:rsid w:val="00B56A32"/>
    <w:rsid w:val="00B571B1"/>
    <w:rsid w:val="00B60604"/>
    <w:rsid w:val="00B607AE"/>
    <w:rsid w:val="00B60C56"/>
    <w:rsid w:val="00B61CA5"/>
    <w:rsid w:val="00B626F8"/>
    <w:rsid w:val="00B6315F"/>
    <w:rsid w:val="00B63C13"/>
    <w:rsid w:val="00B67629"/>
    <w:rsid w:val="00B67F21"/>
    <w:rsid w:val="00B7140E"/>
    <w:rsid w:val="00B71617"/>
    <w:rsid w:val="00B73BA9"/>
    <w:rsid w:val="00B73DBC"/>
    <w:rsid w:val="00B73F53"/>
    <w:rsid w:val="00B7417C"/>
    <w:rsid w:val="00B74D52"/>
    <w:rsid w:val="00B762E3"/>
    <w:rsid w:val="00B7636F"/>
    <w:rsid w:val="00B763C2"/>
    <w:rsid w:val="00B76510"/>
    <w:rsid w:val="00B80FA5"/>
    <w:rsid w:val="00B84B6E"/>
    <w:rsid w:val="00B85724"/>
    <w:rsid w:val="00B85D93"/>
    <w:rsid w:val="00B86BCE"/>
    <w:rsid w:val="00B86FD3"/>
    <w:rsid w:val="00B9017B"/>
    <w:rsid w:val="00B907CF"/>
    <w:rsid w:val="00B90B44"/>
    <w:rsid w:val="00B920BC"/>
    <w:rsid w:val="00B92FA3"/>
    <w:rsid w:val="00B9308B"/>
    <w:rsid w:val="00B942FA"/>
    <w:rsid w:val="00B9736A"/>
    <w:rsid w:val="00B97393"/>
    <w:rsid w:val="00B9765C"/>
    <w:rsid w:val="00BA08BB"/>
    <w:rsid w:val="00BA20F0"/>
    <w:rsid w:val="00BA27E8"/>
    <w:rsid w:val="00BA2A4B"/>
    <w:rsid w:val="00BA2EAF"/>
    <w:rsid w:val="00BB08B9"/>
    <w:rsid w:val="00BB10CF"/>
    <w:rsid w:val="00BB1768"/>
    <w:rsid w:val="00BB255F"/>
    <w:rsid w:val="00BB2A45"/>
    <w:rsid w:val="00BB59F5"/>
    <w:rsid w:val="00BC3107"/>
    <w:rsid w:val="00BC6943"/>
    <w:rsid w:val="00BC78BB"/>
    <w:rsid w:val="00BC7B00"/>
    <w:rsid w:val="00BC7D8E"/>
    <w:rsid w:val="00BD0AC7"/>
    <w:rsid w:val="00BD2F39"/>
    <w:rsid w:val="00BD438E"/>
    <w:rsid w:val="00BD7847"/>
    <w:rsid w:val="00BE1F8E"/>
    <w:rsid w:val="00BE50CA"/>
    <w:rsid w:val="00BE5E3A"/>
    <w:rsid w:val="00BE7935"/>
    <w:rsid w:val="00BF1193"/>
    <w:rsid w:val="00BF165F"/>
    <w:rsid w:val="00BF1F15"/>
    <w:rsid w:val="00BF2ED6"/>
    <w:rsid w:val="00BF3438"/>
    <w:rsid w:val="00BF39F0"/>
    <w:rsid w:val="00BF4181"/>
    <w:rsid w:val="00BF45AC"/>
    <w:rsid w:val="00BF5347"/>
    <w:rsid w:val="00BF539F"/>
    <w:rsid w:val="00BF64FE"/>
    <w:rsid w:val="00BF781A"/>
    <w:rsid w:val="00BF797A"/>
    <w:rsid w:val="00BF7F61"/>
    <w:rsid w:val="00C0064E"/>
    <w:rsid w:val="00C017BA"/>
    <w:rsid w:val="00C02A17"/>
    <w:rsid w:val="00C0413B"/>
    <w:rsid w:val="00C04E94"/>
    <w:rsid w:val="00C05ACD"/>
    <w:rsid w:val="00C05FEA"/>
    <w:rsid w:val="00C0634E"/>
    <w:rsid w:val="00C10BD5"/>
    <w:rsid w:val="00C11929"/>
    <w:rsid w:val="00C11A56"/>
    <w:rsid w:val="00C12F1A"/>
    <w:rsid w:val="00C139B9"/>
    <w:rsid w:val="00C157BA"/>
    <w:rsid w:val="00C159DF"/>
    <w:rsid w:val="00C15C0B"/>
    <w:rsid w:val="00C16093"/>
    <w:rsid w:val="00C16CC2"/>
    <w:rsid w:val="00C17D59"/>
    <w:rsid w:val="00C20636"/>
    <w:rsid w:val="00C20E30"/>
    <w:rsid w:val="00C217CD"/>
    <w:rsid w:val="00C22ED5"/>
    <w:rsid w:val="00C22F0D"/>
    <w:rsid w:val="00C23564"/>
    <w:rsid w:val="00C23DBC"/>
    <w:rsid w:val="00C24FFE"/>
    <w:rsid w:val="00C25BCB"/>
    <w:rsid w:val="00C25E79"/>
    <w:rsid w:val="00C3033F"/>
    <w:rsid w:val="00C30E80"/>
    <w:rsid w:val="00C3236A"/>
    <w:rsid w:val="00C34F94"/>
    <w:rsid w:val="00C35FA4"/>
    <w:rsid w:val="00C3694D"/>
    <w:rsid w:val="00C37440"/>
    <w:rsid w:val="00C40404"/>
    <w:rsid w:val="00C407F4"/>
    <w:rsid w:val="00C4091B"/>
    <w:rsid w:val="00C44095"/>
    <w:rsid w:val="00C44985"/>
    <w:rsid w:val="00C453CA"/>
    <w:rsid w:val="00C45926"/>
    <w:rsid w:val="00C45A5B"/>
    <w:rsid w:val="00C45BDD"/>
    <w:rsid w:val="00C468C9"/>
    <w:rsid w:val="00C50E7F"/>
    <w:rsid w:val="00C50ED5"/>
    <w:rsid w:val="00C51EA5"/>
    <w:rsid w:val="00C51EDF"/>
    <w:rsid w:val="00C51EF9"/>
    <w:rsid w:val="00C52288"/>
    <w:rsid w:val="00C52336"/>
    <w:rsid w:val="00C52B7F"/>
    <w:rsid w:val="00C5485F"/>
    <w:rsid w:val="00C5490B"/>
    <w:rsid w:val="00C551A8"/>
    <w:rsid w:val="00C55592"/>
    <w:rsid w:val="00C55EB9"/>
    <w:rsid w:val="00C56434"/>
    <w:rsid w:val="00C56AB3"/>
    <w:rsid w:val="00C56D2F"/>
    <w:rsid w:val="00C57A60"/>
    <w:rsid w:val="00C621FD"/>
    <w:rsid w:val="00C624A7"/>
    <w:rsid w:val="00C6321F"/>
    <w:rsid w:val="00C65621"/>
    <w:rsid w:val="00C7107B"/>
    <w:rsid w:val="00C73E9C"/>
    <w:rsid w:val="00C777E1"/>
    <w:rsid w:val="00C77DD5"/>
    <w:rsid w:val="00C80504"/>
    <w:rsid w:val="00C80F6F"/>
    <w:rsid w:val="00C818D2"/>
    <w:rsid w:val="00C83F97"/>
    <w:rsid w:val="00C85271"/>
    <w:rsid w:val="00C87C49"/>
    <w:rsid w:val="00C87CC4"/>
    <w:rsid w:val="00C90D6A"/>
    <w:rsid w:val="00C9281B"/>
    <w:rsid w:val="00C94162"/>
    <w:rsid w:val="00C95325"/>
    <w:rsid w:val="00C95A1B"/>
    <w:rsid w:val="00C961E4"/>
    <w:rsid w:val="00CA021C"/>
    <w:rsid w:val="00CA2F4C"/>
    <w:rsid w:val="00CA3BE3"/>
    <w:rsid w:val="00CA40AA"/>
    <w:rsid w:val="00CA4E35"/>
    <w:rsid w:val="00CA5C57"/>
    <w:rsid w:val="00CA721E"/>
    <w:rsid w:val="00CB0A93"/>
    <w:rsid w:val="00CB1B9C"/>
    <w:rsid w:val="00CB2A3E"/>
    <w:rsid w:val="00CB2CB8"/>
    <w:rsid w:val="00CB3715"/>
    <w:rsid w:val="00CB43AC"/>
    <w:rsid w:val="00CB6DF9"/>
    <w:rsid w:val="00CB7347"/>
    <w:rsid w:val="00CC010C"/>
    <w:rsid w:val="00CC1524"/>
    <w:rsid w:val="00CC20C8"/>
    <w:rsid w:val="00CC4AFD"/>
    <w:rsid w:val="00CC621D"/>
    <w:rsid w:val="00CC6BAD"/>
    <w:rsid w:val="00CD0115"/>
    <w:rsid w:val="00CD12E8"/>
    <w:rsid w:val="00CD1669"/>
    <w:rsid w:val="00CD1CDC"/>
    <w:rsid w:val="00CD2457"/>
    <w:rsid w:val="00CD41D5"/>
    <w:rsid w:val="00CD5337"/>
    <w:rsid w:val="00CD5BF4"/>
    <w:rsid w:val="00CD5DD1"/>
    <w:rsid w:val="00CD693A"/>
    <w:rsid w:val="00CD7C85"/>
    <w:rsid w:val="00CE43FB"/>
    <w:rsid w:val="00CE5236"/>
    <w:rsid w:val="00CE61C0"/>
    <w:rsid w:val="00CE648C"/>
    <w:rsid w:val="00CF1E76"/>
    <w:rsid w:val="00CF354D"/>
    <w:rsid w:val="00CF405F"/>
    <w:rsid w:val="00CF53E9"/>
    <w:rsid w:val="00CF6A4B"/>
    <w:rsid w:val="00D00677"/>
    <w:rsid w:val="00D042C5"/>
    <w:rsid w:val="00D05231"/>
    <w:rsid w:val="00D05F12"/>
    <w:rsid w:val="00D063E4"/>
    <w:rsid w:val="00D11473"/>
    <w:rsid w:val="00D11E06"/>
    <w:rsid w:val="00D12F86"/>
    <w:rsid w:val="00D13938"/>
    <w:rsid w:val="00D13CDC"/>
    <w:rsid w:val="00D13F11"/>
    <w:rsid w:val="00D168E7"/>
    <w:rsid w:val="00D1698E"/>
    <w:rsid w:val="00D200AC"/>
    <w:rsid w:val="00D20239"/>
    <w:rsid w:val="00D22139"/>
    <w:rsid w:val="00D22C4A"/>
    <w:rsid w:val="00D242B3"/>
    <w:rsid w:val="00D244D4"/>
    <w:rsid w:val="00D25DA4"/>
    <w:rsid w:val="00D26781"/>
    <w:rsid w:val="00D27F6F"/>
    <w:rsid w:val="00D30B13"/>
    <w:rsid w:val="00D30C26"/>
    <w:rsid w:val="00D30C69"/>
    <w:rsid w:val="00D310A4"/>
    <w:rsid w:val="00D3474E"/>
    <w:rsid w:val="00D347D9"/>
    <w:rsid w:val="00D351A6"/>
    <w:rsid w:val="00D351A9"/>
    <w:rsid w:val="00D35547"/>
    <w:rsid w:val="00D36766"/>
    <w:rsid w:val="00D36AA8"/>
    <w:rsid w:val="00D3754E"/>
    <w:rsid w:val="00D37846"/>
    <w:rsid w:val="00D42B76"/>
    <w:rsid w:val="00D435DA"/>
    <w:rsid w:val="00D43EBA"/>
    <w:rsid w:val="00D4507E"/>
    <w:rsid w:val="00D452C8"/>
    <w:rsid w:val="00D45B85"/>
    <w:rsid w:val="00D46CE9"/>
    <w:rsid w:val="00D4736F"/>
    <w:rsid w:val="00D50475"/>
    <w:rsid w:val="00D522CA"/>
    <w:rsid w:val="00D52A0C"/>
    <w:rsid w:val="00D555D3"/>
    <w:rsid w:val="00D55732"/>
    <w:rsid w:val="00D55BA2"/>
    <w:rsid w:val="00D5638F"/>
    <w:rsid w:val="00D573E6"/>
    <w:rsid w:val="00D57752"/>
    <w:rsid w:val="00D579B9"/>
    <w:rsid w:val="00D60388"/>
    <w:rsid w:val="00D60DDA"/>
    <w:rsid w:val="00D61850"/>
    <w:rsid w:val="00D63DA8"/>
    <w:rsid w:val="00D66638"/>
    <w:rsid w:val="00D6708A"/>
    <w:rsid w:val="00D67197"/>
    <w:rsid w:val="00D704BC"/>
    <w:rsid w:val="00D71081"/>
    <w:rsid w:val="00D71B0B"/>
    <w:rsid w:val="00D7215E"/>
    <w:rsid w:val="00D72B48"/>
    <w:rsid w:val="00D72B7E"/>
    <w:rsid w:val="00D73AE8"/>
    <w:rsid w:val="00D75C67"/>
    <w:rsid w:val="00D772A0"/>
    <w:rsid w:val="00D807CD"/>
    <w:rsid w:val="00D80D8E"/>
    <w:rsid w:val="00D81CD9"/>
    <w:rsid w:val="00D823AE"/>
    <w:rsid w:val="00D827FB"/>
    <w:rsid w:val="00D82890"/>
    <w:rsid w:val="00D84DAE"/>
    <w:rsid w:val="00D906E9"/>
    <w:rsid w:val="00D921C6"/>
    <w:rsid w:val="00D92CC2"/>
    <w:rsid w:val="00D94284"/>
    <w:rsid w:val="00D9432B"/>
    <w:rsid w:val="00D945E4"/>
    <w:rsid w:val="00D94F63"/>
    <w:rsid w:val="00D963BA"/>
    <w:rsid w:val="00D975DF"/>
    <w:rsid w:val="00DA0A6A"/>
    <w:rsid w:val="00DA0F61"/>
    <w:rsid w:val="00DA1CE7"/>
    <w:rsid w:val="00DA3B6D"/>
    <w:rsid w:val="00DA443F"/>
    <w:rsid w:val="00DA7405"/>
    <w:rsid w:val="00DB2BDE"/>
    <w:rsid w:val="00DB3AE3"/>
    <w:rsid w:val="00DB3CD4"/>
    <w:rsid w:val="00DB40DE"/>
    <w:rsid w:val="00DB4B87"/>
    <w:rsid w:val="00DB5239"/>
    <w:rsid w:val="00DB788B"/>
    <w:rsid w:val="00DB7DC6"/>
    <w:rsid w:val="00DC2084"/>
    <w:rsid w:val="00DC20B0"/>
    <w:rsid w:val="00DC29A4"/>
    <w:rsid w:val="00DC3E79"/>
    <w:rsid w:val="00DC45E4"/>
    <w:rsid w:val="00DC5B50"/>
    <w:rsid w:val="00DC683F"/>
    <w:rsid w:val="00DD1252"/>
    <w:rsid w:val="00DD2E3C"/>
    <w:rsid w:val="00DE14FB"/>
    <w:rsid w:val="00DE2A8D"/>
    <w:rsid w:val="00DE30F1"/>
    <w:rsid w:val="00DE3DA2"/>
    <w:rsid w:val="00DE6CC2"/>
    <w:rsid w:val="00DF1DEF"/>
    <w:rsid w:val="00DF36A7"/>
    <w:rsid w:val="00DF3DE3"/>
    <w:rsid w:val="00DF5271"/>
    <w:rsid w:val="00DF667F"/>
    <w:rsid w:val="00DF7FA6"/>
    <w:rsid w:val="00E01468"/>
    <w:rsid w:val="00E0196A"/>
    <w:rsid w:val="00E01C42"/>
    <w:rsid w:val="00E02DCA"/>
    <w:rsid w:val="00E03573"/>
    <w:rsid w:val="00E03986"/>
    <w:rsid w:val="00E03BEE"/>
    <w:rsid w:val="00E05744"/>
    <w:rsid w:val="00E05BCD"/>
    <w:rsid w:val="00E05E8F"/>
    <w:rsid w:val="00E105E7"/>
    <w:rsid w:val="00E106C1"/>
    <w:rsid w:val="00E11395"/>
    <w:rsid w:val="00E14250"/>
    <w:rsid w:val="00E14814"/>
    <w:rsid w:val="00E20953"/>
    <w:rsid w:val="00E22A1F"/>
    <w:rsid w:val="00E22C21"/>
    <w:rsid w:val="00E22E58"/>
    <w:rsid w:val="00E24AB3"/>
    <w:rsid w:val="00E2633A"/>
    <w:rsid w:val="00E26939"/>
    <w:rsid w:val="00E27C1E"/>
    <w:rsid w:val="00E27FA1"/>
    <w:rsid w:val="00E31CB4"/>
    <w:rsid w:val="00E3230C"/>
    <w:rsid w:val="00E32B0C"/>
    <w:rsid w:val="00E33A68"/>
    <w:rsid w:val="00E341F1"/>
    <w:rsid w:val="00E34B45"/>
    <w:rsid w:val="00E3636E"/>
    <w:rsid w:val="00E36501"/>
    <w:rsid w:val="00E372AF"/>
    <w:rsid w:val="00E372D9"/>
    <w:rsid w:val="00E37696"/>
    <w:rsid w:val="00E40AED"/>
    <w:rsid w:val="00E44733"/>
    <w:rsid w:val="00E44C36"/>
    <w:rsid w:val="00E462B6"/>
    <w:rsid w:val="00E47D2E"/>
    <w:rsid w:val="00E510BB"/>
    <w:rsid w:val="00E5153B"/>
    <w:rsid w:val="00E51F0C"/>
    <w:rsid w:val="00E5231E"/>
    <w:rsid w:val="00E53CED"/>
    <w:rsid w:val="00E55390"/>
    <w:rsid w:val="00E61079"/>
    <w:rsid w:val="00E61657"/>
    <w:rsid w:val="00E62B2A"/>
    <w:rsid w:val="00E636D2"/>
    <w:rsid w:val="00E65372"/>
    <w:rsid w:val="00E65ABD"/>
    <w:rsid w:val="00E664E9"/>
    <w:rsid w:val="00E67C75"/>
    <w:rsid w:val="00E67F46"/>
    <w:rsid w:val="00E7005E"/>
    <w:rsid w:val="00E70EA4"/>
    <w:rsid w:val="00E71135"/>
    <w:rsid w:val="00E74AEB"/>
    <w:rsid w:val="00E7518B"/>
    <w:rsid w:val="00E75460"/>
    <w:rsid w:val="00E77FF9"/>
    <w:rsid w:val="00E809FD"/>
    <w:rsid w:val="00E82420"/>
    <w:rsid w:val="00E82B0C"/>
    <w:rsid w:val="00E843D6"/>
    <w:rsid w:val="00E8575E"/>
    <w:rsid w:val="00E85E42"/>
    <w:rsid w:val="00E86334"/>
    <w:rsid w:val="00E86555"/>
    <w:rsid w:val="00E86831"/>
    <w:rsid w:val="00E86AC3"/>
    <w:rsid w:val="00E86C0E"/>
    <w:rsid w:val="00E86DE3"/>
    <w:rsid w:val="00E90B9C"/>
    <w:rsid w:val="00E911E0"/>
    <w:rsid w:val="00E91399"/>
    <w:rsid w:val="00E96BC9"/>
    <w:rsid w:val="00E9752B"/>
    <w:rsid w:val="00E97BD7"/>
    <w:rsid w:val="00E97DCA"/>
    <w:rsid w:val="00EA1038"/>
    <w:rsid w:val="00EA23EC"/>
    <w:rsid w:val="00EA339D"/>
    <w:rsid w:val="00EA3678"/>
    <w:rsid w:val="00EA4438"/>
    <w:rsid w:val="00EA4C55"/>
    <w:rsid w:val="00EA5DA6"/>
    <w:rsid w:val="00EA6D58"/>
    <w:rsid w:val="00EA72DC"/>
    <w:rsid w:val="00EA75CF"/>
    <w:rsid w:val="00EB2856"/>
    <w:rsid w:val="00EB38FA"/>
    <w:rsid w:val="00EB4B3F"/>
    <w:rsid w:val="00EB4B79"/>
    <w:rsid w:val="00EB58CC"/>
    <w:rsid w:val="00EC02FE"/>
    <w:rsid w:val="00EC08A2"/>
    <w:rsid w:val="00EC0C31"/>
    <w:rsid w:val="00EC41E8"/>
    <w:rsid w:val="00EC53C7"/>
    <w:rsid w:val="00EC7496"/>
    <w:rsid w:val="00ED04DD"/>
    <w:rsid w:val="00ED05B9"/>
    <w:rsid w:val="00ED211E"/>
    <w:rsid w:val="00ED3205"/>
    <w:rsid w:val="00ED4AED"/>
    <w:rsid w:val="00ED4DC4"/>
    <w:rsid w:val="00ED6045"/>
    <w:rsid w:val="00ED770F"/>
    <w:rsid w:val="00ED7942"/>
    <w:rsid w:val="00EE0FDE"/>
    <w:rsid w:val="00EE148F"/>
    <w:rsid w:val="00EE25AA"/>
    <w:rsid w:val="00EE2626"/>
    <w:rsid w:val="00EE31BC"/>
    <w:rsid w:val="00EE37D7"/>
    <w:rsid w:val="00EE491F"/>
    <w:rsid w:val="00EE4EC1"/>
    <w:rsid w:val="00EE70E7"/>
    <w:rsid w:val="00EE71D7"/>
    <w:rsid w:val="00EE7950"/>
    <w:rsid w:val="00EF098C"/>
    <w:rsid w:val="00EF16CC"/>
    <w:rsid w:val="00EF244D"/>
    <w:rsid w:val="00EF31AA"/>
    <w:rsid w:val="00EF3984"/>
    <w:rsid w:val="00EF4B13"/>
    <w:rsid w:val="00EF52B8"/>
    <w:rsid w:val="00EF6103"/>
    <w:rsid w:val="00EF6BF1"/>
    <w:rsid w:val="00EF75E2"/>
    <w:rsid w:val="00EF772A"/>
    <w:rsid w:val="00EF786D"/>
    <w:rsid w:val="00F00134"/>
    <w:rsid w:val="00F01F52"/>
    <w:rsid w:val="00F036AA"/>
    <w:rsid w:val="00F03F96"/>
    <w:rsid w:val="00F05180"/>
    <w:rsid w:val="00F06724"/>
    <w:rsid w:val="00F06D11"/>
    <w:rsid w:val="00F07231"/>
    <w:rsid w:val="00F07846"/>
    <w:rsid w:val="00F123A3"/>
    <w:rsid w:val="00F1395E"/>
    <w:rsid w:val="00F1523D"/>
    <w:rsid w:val="00F20138"/>
    <w:rsid w:val="00F203B4"/>
    <w:rsid w:val="00F207BD"/>
    <w:rsid w:val="00F237AE"/>
    <w:rsid w:val="00F24C76"/>
    <w:rsid w:val="00F25524"/>
    <w:rsid w:val="00F26244"/>
    <w:rsid w:val="00F26F14"/>
    <w:rsid w:val="00F275B8"/>
    <w:rsid w:val="00F27FDA"/>
    <w:rsid w:val="00F313F1"/>
    <w:rsid w:val="00F316E5"/>
    <w:rsid w:val="00F32F10"/>
    <w:rsid w:val="00F35752"/>
    <w:rsid w:val="00F366D7"/>
    <w:rsid w:val="00F370D9"/>
    <w:rsid w:val="00F376CD"/>
    <w:rsid w:val="00F41B45"/>
    <w:rsid w:val="00F425BF"/>
    <w:rsid w:val="00F4405C"/>
    <w:rsid w:val="00F449E9"/>
    <w:rsid w:val="00F44A16"/>
    <w:rsid w:val="00F46EBD"/>
    <w:rsid w:val="00F4712A"/>
    <w:rsid w:val="00F52378"/>
    <w:rsid w:val="00F52692"/>
    <w:rsid w:val="00F533F7"/>
    <w:rsid w:val="00F5376A"/>
    <w:rsid w:val="00F55251"/>
    <w:rsid w:val="00F6067E"/>
    <w:rsid w:val="00F60B5F"/>
    <w:rsid w:val="00F61900"/>
    <w:rsid w:val="00F61A12"/>
    <w:rsid w:val="00F629CF"/>
    <w:rsid w:val="00F64032"/>
    <w:rsid w:val="00F648EF"/>
    <w:rsid w:val="00F64C5F"/>
    <w:rsid w:val="00F65784"/>
    <w:rsid w:val="00F666BB"/>
    <w:rsid w:val="00F66E0B"/>
    <w:rsid w:val="00F70AB2"/>
    <w:rsid w:val="00F72963"/>
    <w:rsid w:val="00F752EC"/>
    <w:rsid w:val="00F76C1B"/>
    <w:rsid w:val="00F7780D"/>
    <w:rsid w:val="00F820AE"/>
    <w:rsid w:val="00F82DD3"/>
    <w:rsid w:val="00F83E36"/>
    <w:rsid w:val="00F85AC0"/>
    <w:rsid w:val="00F85D30"/>
    <w:rsid w:val="00F865BA"/>
    <w:rsid w:val="00F8704E"/>
    <w:rsid w:val="00F90D70"/>
    <w:rsid w:val="00F92E0E"/>
    <w:rsid w:val="00F93ED8"/>
    <w:rsid w:val="00F93F9C"/>
    <w:rsid w:val="00F944B0"/>
    <w:rsid w:val="00F94E51"/>
    <w:rsid w:val="00F9578C"/>
    <w:rsid w:val="00FA126E"/>
    <w:rsid w:val="00FA172B"/>
    <w:rsid w:val="00FA3801"/>
    <w:rsid w:val="00FA6862"/>
    <w:rsid w:val="00FA6EDD"/>
    <w:rsid w:val="00FB033E"/>
    <w:rsid w:val="00FB21C6"/>
    <w:rsid w:val="00FB2D51"/>
    <w:rsid w:val="00FB45A3"/>
    <w:rsid w:val="00FB5111"/>
    <w:rsid w:val="00FB6240"/>
    <w:rsid w:val="00FB65F0"/>
    <w:rsid w:val="00FB699E"/>
    <w:rsid w:val="00FB6B5E"/>
    <w:rsid w:val="00FB7A2B"/>
    <w:rsid w:val="00FB7DE8"/>
    <w:rsid w:val="00FC1C55"/>
    <w:rsid w:val="00FC1F86"/>
    <w:rsid w:val="00FC2902"/>
    <w:rsid w:val="00FC3873"/>
    <w:rsid w:val="00FC38CD"/>
    <w:rsid w:val="00FC39BD"/>
    <w:rsid w:val="00FC44DD"/>
    <w:rsid w:val="00FD03D7"/>
    <w:rsid w:val="00FD3DC2"/>
    <w:rsid w:val="00FD60A9"/>
    <w:rsid w:val="00FD6D25"/>
    <w:rsid w:val="00FE1146"/>
    <w:rsid w:val="00FE1CC4"/>
    <w:rsid w:val="00FE3230"/>
    <w:rsid w:val="00FE3290"/>
    <w:rsid w:val="00FE482C"/>
    <w:rsid w:val="00FE4CDA"/>
    <w:rsid w:val="00FE5178"/>
    <w:rsid w:val="00FE6CE3"/>
    <w:rsid w:val="00FE7705"/>
    <w:rsid w:val="00FF0150"/>
    <w:rsid w:val="00FF0767"/>
    <w:rsid w:val="00FF101E"/>
    <w:rsid w:val="00FF140D"/>
    <w:rsid w:val="00FF2151"/>
    <w:rsid w:val="00FF297E"/>
    <w:rsid w:val="00FF354A"/>
    <w:rsid w:val="00FF396E"/>
    <w:rsid w:val="00FF5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479785"/>
  <w15:docId w15:val="{2D9B687A-90A2-4954-96E7-4C36612D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86C0E"/>
    <w:pPr>
      <w:spacing w:line="264" w:lineRule="auto"/>
    </w:pPr>
    <w:rPr>
      <w:rFonts w:ascii="Arial" w:hAnsi="Arial"/>
      <w:szCs w:val="24"/>
    </w:rPr>
  </w:style>
  <w:style w:type="paragraph" w:styleId="Heading1">
    <w:name w:val="heading 1"/>
    <w:basedOn w:val="Normal"/>
    <w:next w:val="Normal"/>
    <w:link w:val="Heading1Char"/>
    <w:qFormat/>
    <w:rsid w:val="001D06CD"/>
    <w:pPr>
      <w:keepNext/>
      <w:keepLines/>
      <w:pageBreakBefore/>
      <w:numPr>
        <w:numId w:val="24"/>
      </w:numPr>
      <w:spacing w:before="360" w:after="240" w:line="240" w:lineRule="auto"/>
      <w:outlineLvl w:val="0"/>
    </w:pPr>
    <w:rPr>
      <w:rFonts w:ascii="Arial Bold" w:hAnsi="Arial Bold" w:cs="Arial"/>
      <w:b/>
      <w:bCs/>
      <w:caps/>
      <w:color w:val="95D600"/>
      <w:kern w:val="28"/>
      <w:position w:val="6"/>
      <w:sz w:val="28"/>
      <w:szCs w:val="26"/>
    </w:rPr>
  </w:style>
  <w:style w:type="paragraph" w:styleId="Heading2">
    <w:name w:val="heading 2"/>
    <w:basedOn w:val="Normal"/>
    <w:next w:val="Normal"/>
    <w:link w:val="Heading2Char"/>
    <w:qFormat/>
    <w:rsid w:val="001D06CD"/>
    <w:pPr>
      <w:keepNext/>
      <w:numPr>
        <w:ilvl w:val="1"/>
        <w:numId w:val="24"/>
      </w:numPr>
      <w:spacing w:before="360" w:after="240"/>
      <w:outlineLvl w:val="1"/>
    </w:pPr>
    <w:rPr>
      <w:rFonts w:ascii="Arial Bold" w:hAnsi="Arial Bold" w:cs="Arial"/>
      <w:b/>
      <w:bCs/>
      <w:iCs/>
      <w:color w:val="555759"/>
      <w:sz w:val="26"/>
      <w:szCs w:val="26"/>
    </w:rPr>
  </w:style>
  <w:style w:type="paragraph" w:styleId="Heading3">
    <w:name w:val="heading 3"/>
    <w:basedOn w:val="Normal"/>
    <w:next w:val="Normal"/>
    <w:link w:val="Heading3Char"/>
    <w:qFormat/>
    <w:rsid w:val="006807F5"/>
    <w:pPr>
      <w:keepNext/>
      <w:numPr>
        <w:ilvl w:val="2"/>
        <w:numId w:val="24"/>
      </w:numPr>
      <w:spacing w:before="360" w:after="240" w:line="240" w:lineRule="auto"/>
      <w:ind w:left="0" w:firstLine="0"/>
      <w:outlineLvl w:val="2"/>
    </w:pPr>
    <w:rPr>
      <w:rFonts w:cs="Arial"/>
      <w:b/>
      <w:bCs/>
      <w:i/>
      <w:color w:val="555759"/>
      <w:sz w:val="22"/>
      <w:szCs w:val="26"/>
    </w:rPr>
  </w:style>
  <w:style w:type="paragraph" w:styleId="Heading4">
    <w:name w:val="heading 4"/>
    <w:basedOn w:val="Normal"/>
    <w:next w:val="Normal"/>
    <w:link w:val="Heading4Char"/>
    <w:unhideWhenUsed/>
    <w:qFormat/>
    <w:rsid w:val="00A43793"/>
    <w:pPr>
      <w:keepNext/>
      <w:keepLines/>
      <w:numPr>
        <w:ilvl w:val="3"/>
        <w:numId w:val="24"/>
      </w:numPr>
      <w:spacing w:before="360" w:after="240"/>
      <w:ind w:left="864"/>
      <w:outlineLvl w:val="3"/>
    </w:pPr>
    <w:rPr>
      <w:b/>
      <w:bCs/>
      <w:i/>
      <w:iCs/>
      <w:color w:val="555759"/>
      <w:kern w:val="28"/>
      <w:szCs w:val="20"/>
    </w:rPr>
  </w:style>
  <w:style w:type="paragraph" w:styleId="Heading5">
    <w:name w:val="heading 5"/>
    <w:aliases w:val="Append Level 1"/>
    <w:basedOn w:val="Normal"/>
    <w:next w:val="Normal"/>
    <w:link w:val="Heading5Char"/>
    <w:unhideWhenUsed/>
    <w:qFormat/>
    <w:rsid w:val="001D06CD"/>
    <w:pPr>
      <w:keepNext/>
      <w:keepLines/>
      <w:pageBreakBefore/>
      <w:numPr>
        <w:ilvl w:val="4"/>
        <w:numId w:val="24"/>
      </w:numPr>
      <w:spacing w:before="360" w:after="360" w:line="240" w:lineRule="auto"/>
      <w:outlineLvl w:val="4"/>
    </w:pPr>
    <w:rPr>
      <w:rFonts w:ascii="Arial Bold" w:hAnsi="Arial Bold"/>
      <w:b/>
      <w:caps/>
      <w:color w:val="95D600"/>
      <w:kern w:val="28"/>
      <w:sz w:val="28"/>
      <w:szCs w:val="28"/>
    </w:rPr>
  </w:style>
  <w:style w:type="paragraph" w:styleId="Heading6">
    <w:name w:val="heading 6"/>
    <w:aliases w:val="Append Level 2"/>
    <w:next w:val="Normal"/>
    <w:link w:val="Heading6Char"/>
    <w:unhideWhenUsed/>
    <w:qFormat/>
    <w:rsid w:val="001D06CD"/>
    <w:pPr>
      <w:keepNext/>
      <w:keepLines/>
      <w:numPr>
        <w:ilvl w:val="5"/>
        <w:numId w:val="24"/>
      </w:numPr>
      <w:spacing w:before="360" w:after="240"/>
      <w:outlineLvl w:val="5"/>
    </w:pPr>
    <w:rPr>
      <w:rFonts w:ascii="Arial Bold" w:hAnsi="Arial Bold"/>
      <w:b/>
      <w:iCs/>
      <w:color w:val="555759"/>
      <w:kern w:val="28"/>
      <w:position w:val="6"/>
      <w:sz w:val="26"/>
      <w:szCs w:val="26"/>
    </w:rPr>
  </w:style>
  <w:style w:type="paragraph" w:styleId="Heading7">
    <w:name w:val="heading 7"/>
    <w:aliases w:val="Exec Sum Level 1"/>
    <w:basedOn w:val="ExecSummaryHead1"/>
    <w:next w:val="Normal"/>
    <w:link w:val="Heading7Char"/>
    <w:unhideWhenUsed/>
    <w:qFormat/>
    <w:rsid w:val="00B86FD3"/>
    <w:pPr>
      <w:numPr>
        <w:numId w:val="0"/>
      </w:numPr>
      <w:outlineLvl w:val="6"/>
    </w:pPr>
    <w:rPr>
      <w:caps/>
      <w:szCs w:val="26"/>
    </w:rPr>
  </w:style>
  <w:style w:type="paragraph" w:styleId="Heading8">
    <w:name w:val="heading 8"/>
    <w:aliases w:val="Exec Sum Level 2"/>
    <w:basedOn w:val="Normal"/>
    <w:next w:val="Normal"/>
    <w:link w:val="Heading8Char"/>
    <w:unhideWhenUsed/>
    <w:qFormat/>
    <w:rsid w:val="00B86FD3"/>
    <w:pPr>
      <w:keepNext/>
      <w:keepLines/>
      <w:spacing w:before="360" w:after="240"/>
      <w:outlineLvl w:val="7"/>
    </w:pPr>
    <w:rPr>
      <w:rFonts w:ascii="Arial Bold" w:hAnsi="Arial Bold"/>
      <w:b/>
      <w:color w:val="555759"/>
      <w:sz w:val="26"/>
      <w:szCs w:val="26"/>
    </w:rPr>
  </w:style>
  <w:style w:type="paragraph" w:styleId="Heading9">
    <w:name w:val="heading 9"/>
    <w:aliases w:val="Exec Sum Level 3"/>
    <w:basedOn w:val="Normal"/>
    <w:next w:val="Normal"/>
    <w:link w:val="Heading9Char"/>
    <w:unhideWhenUsed/>
    <w:qFormat/>
    <w:rsid w:val="00B86FD3"/>
    <w:pPr>
      <w:keepLines/>
      <w:spacing w:before="360" w:after="240"/>
      <w:outlineLvl w:val="8"/>
    </w:pPr>
    <w:rPr>
      <w:b/>
      <w:i/>
      <w:iCs/>
      <w:color w:val="5557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BF64FE"/>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BF64FE"/>
    <w:pPr>
      <w:numPr>
        <w:numId w:val="1"/>
      </w:numPr>
    </w:pPr>
  </w:style>
  <w:style w:type="numbering" w:customStyle="1" w:styleId="StyleBulleted9">
    <w:name w:val="Style Bulleted9"/>
    <w:basedOn w:val="NoList"/>
    <w:rsid w:val="00BF64FE"/>
    <w:pPr>
      <w:numPr>
        <w:numId w:val="2"/>
      </w:numPr>
    </w:pPr>
  </w:style>
  <w:style w:type="paragraph" w:styleId="Header">
    <w:name w:val="header"/>
    <w:basedOn w:val="Normal"/>
    <w:link w:val="HeaderChar"/>
    <w:rsid w:val="00BF64FE"/>
    <w:pPr>
      <w:tabs>
        <w:tab w:val="center" w:pos="4320"/>
        <w:tab w:val="right" w:pos="8640"/>
      </w:tabs>
    </w:pPr>
  </w:style>
  <w:style w:type="paragraph" w:styleId="Footer">
    <w:name w:val="footer"/>
    <w:basedOn w:val="Normal"/>
    <w:link w:val="FooterChar"/>
    <w:uiPriority w:val="99"/>
    <w:rsid w:val="005D1C57"/>
    <w:pPr>
      <w:tabs>
        <w:tab w:val="center" w:pos="4320"/>
        <w:tab w:val="right" w:pos="9360"/>
      </w:tabs>
      <w:spacing w:line="240" w:lineRule="auto"/>
    </w:pPr>
    <w:rPr>
      <w:sz w:val="16"/>
    </w:rPr>
  </w:style>
  <w:style w:type="paragraph" w:styleId="Title">
    <w:name w:val="Title"/>
    <w:aliases w:val="Proposal Title"/>
    <w:basedOn w:val="Normal"/>
    <w:next w:val="Normal"/>
    <w:link w:val="TitleChar"/>
    <w:uiPriority w:val="10"/>
    <w:qFormat/>
    <w:rsid w:val="00C51EF9"/>
    <w:pPr>
      <w:widowControl w:val="0"/>
      <w:spacing w:before="120" w:after="120" w:line="240" w:lineRule="auto"/>
    </w:pPr>
    <w:rPr>
      <w:b/>
      <w:color w:val="95D600"/>
      <w:spacing w:val="-10"/>
      <w:kern w:val="28"/>
      <w:sz w:val="48"/>
      <w:szCs w:val="56"/>
    </w:rPr>
  </w:style>
  <w:style w:type="paragraph" w:styleId="Subtitle">
    <w:name w:val="Subtitle"/>
    <w:basedOn w:val="Normal"/>
    <w:next w:val="Normal"/>
    <w:link w:val="SubtitleChar"/>
    <w:uiPriority w:val="11"/>
    <w:qFormat/>
    <w:rsid w:val="008C7CE0"/>
    <w:pPr>
      <w:widowControl w:val="0"/>
      <w:numPr>
        <w:ilvl w:val="1"/>
      </w:numPr>
      <w:spacing w:before="240" w:line="240" w:lineRule="auto"/>
    </w:pPr>
    <w:rPr>
      <w:b/>
      <w:color w:val="5A5A5A"/>
      <w:spacing w:val="15"/>
      <w:sz w:val="28"/>
      <w:szCs w:val="22"/>
    </w:rPr>
  </w:style>
  <w:style w:type="character" w:customStyle="1" w:styleId="CoverText">
    <w:name w:val="Cover Text"/>
    <w:rsid w:val="00BF64FE"/>
    <w:rPr>
      <w:rFonts w:ascii="Arial" w:hAnsi="Arial"/>
      <w:color w:val="545759"/>
      <w:sz w:val="20"/>
    </w:rPr>
  </w:style>
  <w:style w:type="paragraph" w:styleId="TOC1">
    <w:name w:val="toc 1"/>
    <w:basedOn w:val="Normal"/>
    <w:next w:val="Normal"/>
    <w:link w:val="TOC1Char"/>
    <w:autoRedefine/>
    <w:uiPriority w:val="39"/>
    <w:unhideWhenUsed/>
    <w:rsid w:val="00E86555"/>
    <w:pPr>
      <w:widowControl w:val="0"/>
      <w:tabs>
        <w:tab w:val="right" w:leader="dot" w:pos="9350"/>
      </w:tabs>
      <w:spacing w:before="120" w:after="120" w:line="240" w:lineRule="auto"/>
    </w:pPr>
    <w:rPr>
      <w:rFonts w:eastAsia="Calibri"/>
      <w:b/>
      <w:sz w:val="24"/>
      <w:szCs w:val="22"/>
    </w:rPr>
  </w:style>
  <w:style w:type="paragraph" w:styleId="TOC2">
    <w:name w:val="toc 2"/>
    <w:basedOn w:val="Normal"/>
    <w:next w:val="Normal"/>
    <w:autoRedefine/>
    <w:uiPriority w:val="39"/>
    <w:rsid w:val="008D7D6F"/>
    <w:pPr>
      <w:tabs>
        <w:tab w:val="left" w:pos="1080"/>
        <w:tab w:val="right" w:leader="dot" w:pos="9346"/>
      </w:tabs>
      <w:ind w:left="1080" w:hanging="540"/>
    </w:pPr>
    <w:rPr>
      <w:noProof/>
    </w:rPr>
  </w:style>
  <w:style w:type="paragraph" w:styleId="TOC3">
    <w:name w:val="toc 3"/>
    <w:basedOn w:val="Normal"/>
    <w:next w:val="Normal"/>
    <w:autoRedefine/>
    <w:uiPriority w:val="39"/>
    <w:rsid w:val="00E86C0E"/>
    <w:pPr>
      <w:tabs>
        <w:tab w:val="left" w:pos="1800"/>
        <w:tab w:val="right" w:leader="dot" w:pos="9360"/>
      </w:tabs>
      <w:spacing w:line="240" w:lineRule="auto"/>
      <w:ind w:left="1800" w:hanging="720"/>
    </w:pPr>
    <w:rPr>
      <w:noProof/>
      <w:szCs w:val="20"/>
    </w:rPr>
  </w:style>
  <w:style w:type="character" w:styleId="Hyperlink">
    <w:name w:val="Hyperlink"/>
    <w:uiPriority w:val="99"/>
    <w:rsid w:val="00BC6943"/>
    <w:rPr>
      <w:rFonts w:ascii="Arial" w:hAnsi="Arial"/>
      <w:color w:val="95D600"/>
      <w:sz w:val="20"/>
      <w:u w:val="single"/>
    </w:rPr>
  </w:style>
  <w:style w:type="paragraph" w:styleId="TOCHeading">
    <w:name w:val="TOC Heading"/>
    <w:basedOn w:val="Heading1"/>
    <w:next w:val="Normal"/>
    <w:link w:val="TOCHeadingChar"/>
    <w:uiPriority w:val="39"/>
    <w:unhideWhenUsed/>
    <w:qFormat/>
    <w:rsid w:val="00F26F14"/>
    <w:pPr>
      <w:keepNext w:val="0"/>
      <w:keepLines w:val="0"/>
      <w:pageBreakBefore w:val="0"/>
      <w:widowControl w:val="0"/>
      <w:spacing w:before="480"/>
      <w:ind w:left="0" w:firstLine="0"/>
      <w:outlineLvl w:val="9"/>
    </w:pPr>
    <w:rPr>
      <w:rFonts w:eastAsia="Calibri" w:cs="Times New Roman"/>
      <w:bCs w:val="0"/>
      <w:kern w:val="0"/>
      <w:position w:val="0"/>
      <w:szCs w:val="22"/>
    </w:rPr>
  </w:style>
  <w:style w:type="numbering" w:customStyle="1" w:styleId="StyleNumberedLeft025Hanging025">
    <w:name w:val="Style Numbered Left:  0.25&quot; Hanging:  0.25&quot;"/>
    <w:basedOn w:val="NoList"/>
    <w:rsid w:val="00BF64FE"/>
    <w:pPr>
      <w:numPr>
        <w:numId w:val="3"/>
      </w:numPr>
    </w:pPr>
  </w:style>
  <w:style w:type="paragraph" w:styleId="FootnoteText">
    <w:name w:val="footnote text"/>
    <w:aliases w:val="Footnote Text1 Char,Footnote Text Char Ch,Footnote Text Char Ch Char Char Char,Footnote Text Char Ch Char Char,Footnote Text1 Char Char Char,ft Char,ft,EMI Footnote Text"/>
    <w:basedOn w:val="Normal"/>
    <w:link w:val="FootnoteTextChar"/>
    <w:uiPriority w:val="99"/>
    <w:rsid w:val="00F5376A"/>
    <w:pPr>
      <w:keepLines/>
      <w:tabs>
        <w:tab w:val="left" w:pos="360"/>
        <w:tab w:val="left" w:pos="720"/>
        <w:tab w:val="left" w:pos="1080"/>
        <w:tab w:val="left" w:pos="1440"/>
        <w:tab w:val="left" w:pos="1800"/>
        <w:tab w:val="left" w:pos="2160"/>
      </w:tabs>
      <w:spacing w:after="40" w:line="240" w:lineRule="exact"/>
    </w:pPr>
    <w:rPr>
      <w:sz w:val="16"/>
      <w:szCs w:val="20"/>
    </w:rPr>
  </w:style>
  <w:style w:type="character" w:styleId="FootnoteReference">
    <w:name w:val="footnote reference"/>
    <w:aliases w:val="o,fr,Style 17,o + Times New Roman"/>
    <w:uiPriority w:val="99"/>
    <w:qFormat/>
    <w:rsid w:val="004A09CC"/>
    <w:rPr>
      <w:rFonts w:ascii="Arial" w:hAnsi="Arial"/>
      <w:color w:val="auto"/>
      <w:vertAlign w:val="superscript"/>
    </w:rPr>
  </w:style>
  <w:style w:type="paragraph" w:styleId="Caption">
    <w:name w:val="caption"/>
    <w:aliases w:val="Table Caption,Char,Caption Char1 Char"/>
    <w:basedOn w:val="Normal"/>
    <w:next w:val="Normal"/>
    <w:link w:val="CaptionChar"/>
    <w:qFormat/>
    <w:rsid w:val="00772C76"/>
    <w:pPr>
      <w:keepNext/>
      <w:spacing w:after="120"/>
      <w:jc w:val="center"/>
    </w:pPr>
    <w:rPr>
      <w:b/>
      <w:bCs/>
      <w:color w:val="3F4042"/>
      <w:szCs w:val="20"/>
    </w:rPr>
  </w:style>
  <w:style w:type="numbering" w:customStyle="1" w:styleId="StyleBulletedLeft0Hanging03">
    <w:name w:val="Style Bulleted Left:  0&quot; Hanging:  0.3&quot;"/>
    <w:basedOn w:val="NoList"/>
    <w:rsid w:val="00BF64FE"/>
    <w:pPr>
      <w:numPr>
        <w:numId w:val="4"/>
      </w:numPr>
    </w:pPr>
  </w:style>
  <w:style w:type="paragraph" w:customStyle="1" w:styleId="StyleCaptionWhite">
    <w:name w:val="Style Caption + White"/>
    <w:basedOn w:val="Caption"/>
    <w:rsid w:val="00BF64FE"/>
    <w:pPr>
      <w:spacing w:before="120"/>
    </w:pPr>
    <w:rPr>
      <w:color w:val="FFFFFF"/>
    </w:rPr>
  </w:style>
  <w:style w:type="numbering" w:customStyle="1" w:styleId="StyleBulleted">
    <w:name w:val="Style Bulleted"/>
    <w:basedOn w:val="NoList"/>
    <w:rsid w:val="00BF64FE"/>
    <w:pPr>
      <w:numPr>
        <w:numId w:val="5"/>
      </w:numPr>
    </w:pPr>
  </w:style>
  <w:style w:type="character" w:customStyle="1" w:styleId="Heading4Char">
    <w:name w:val="Heading 4 Char"/>
    <w:link w:val="Heading4"/>
    <w:rsid w:val="008C69A3"/>
    <w:rPr>
      <w:rFonts w:ascii="Arial" w:hAnsi="Arial"/>
      <w:b/>
      <w:bCs/>
      <w:i/>
      <w:iCs/>
      <w:color w:val="555759"/>
      <w:kern w:val="28"/>
    </w:rPr>
  </w:style>
  <w:style w:type="character" w:customStyle="1" w:styleId="Heading5Char">
    <w:name w:val="Heading 5 Char"/>
    <w:aliases w:val="Append Level 1 Char"/>
    <w:link w:val="Heading5"/>
    <w:rsid w:val="00B86FD3"/>
    <w:rPr>
      <w:rFonts w:ascii="Arial Bold" w:hAnsi="Arial Bold"/>
      <w:b/>
      <w:caps/>
      <w:color w:val="95D600"/>
      <w:kern w:val="28"/>
      <w:sz w:val="28"/>
      <w:szCs w:val="28"/>
    </w:rPr>
  </w:style>
  <w:style w:type="character" w:customStyle="1" w:styleId="Heading6Char">
    <w:name w:val="Heading 6 Char"/>
    <w:aliases w:val="Append Level 2 Char"/>
    <w:link w:val="Heading6"/>
    <w:rsid w:val="00B86FD3"/>
    <w:rPr>
      <w:rFonts w:ascii="Arial Bold" w:hAnsi="Arial Bold"/>
      <w:b/>
      <w:iCs/>
      <w:color w:val="555759"/>
      <w:kern w:val="28"/>
      <w:position w:val="6"/>
      <w:sz w:val="26"/>
      <w:szCs w:val="26"/>
    </w:rPr>
  </w:style>
  <w:style w:type="character" w:customStyle="1" w:styleId="Heading7Char">
    <w:name w:val="Heading 7 Char"/>
    <w:aliases w:val="Exec Sum Level 1 Char"/>
    <w:link w:val="Heading7"/>
    <w:rsid w:val="00B86FD3"/>
    <w:rPr>
      <w:rFonts w:ascii="Arial Bold" w:eastAsia="Calibri" w:hAnsi="Arial Bold"/>
      <w:b/>
      <w:caps/>
      <w:color w:val="95D600"/>
      <w:sz w:val="28"/>
      <w:szCs w:val="26"/>
    </w:rPr>
  </w:style>
  <w:style w:type="character" w:customStyle="1" w:styleId="Heading8Char">
    <w:name w:val="Heading 8 Char"/>
    <w:aliases w:val="Exec Sum Level 2 Char"/>
    <w:link w:val="Heading8"/>
    <w:rsid w:val="00B86FD3"/>
    <w:rPr>
      <w:rFonts w:ascii="Arial Bold" w:hAnsi="Arial Bold"/>
      <w:b/>
      <w:color w:val="555759"/>
      <w:sz w:val="26"/>
      <w:szCs w:val="26"/>
    </w:rPr>
  </w:style>
  <w:style w:type="character" w:customStyle="1" w:styleId="Heading9Char">
    <w:name w:val="Heading 9 Char"/>
    <w:aliases w:val="Exec Sum Level 3 Char"/>
    <w:link w:val="Heading9"/>
    <w:rsid w:val="00B86FD3"/>
    <w:rPr>
      <w:rFonts w:ascii="Arial" w:hAnsi="Arial"/>
      <w:b/>
      <w:i/>
      <w:iCs/>
      <w:color w:val="555759"/>
      <w:sz w:val="22"/>
      <w:szCs w:val="22"/>
    </w:rPr>
  </w:style>
  <w:style w:type="paragraph" w:styleId="ListParagraph">
    <w:name w:val="List Paragraph"/>
    <w:aliases w:val="TOC etc.,List Paragraph - RFP,Bullet Styles para"/>
    <w:basedOn w:val="Normal"/>
    <w:link w:val="ListParagraphChar"/>
    <w:uiPriority w:val="34"/>
    <w:qFormat/>
    <w:rsid w:val="00BF64FE"/>
    <w:pPr>
      <w:spacing w:before="120"/>
      <w:ind w:left="720"/>
    </w:pPr>
  </w:style>
  <w:style w:type="table" w:styleId="TableGrid">
    <w:name w:val="Table Grid"/>
    <w:basedOn w:val="TableNormal"/>
    <w:uiPriority w:val="39"/>
    <w:rsid w:val="00BF6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List7">
    <w:name w:val="Table List 7"/>
    <w:basedOn w:val="TableNormal"/>
    <w:rsid w:val="00BF64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xecSummaryHead1">
    <w:name w:val="Exec Summary Head 1"/>
    <w:basedOn w:val="TOCHeading"/>
    <w:next w:val="Normal"/>
    <w:link w:val="ExecSummaryHead1Char"/>
    <w:qFormat/>
    <w:rsid w:val="008E5479"/>
    <w:rPr>
      <w:caps w:val="0"/>
    </w:rPr>
  </w:style>
  <w:style w:type="character" w:customStyle="1" w:styleId="TOCHeadingChar">
    <w:name w:val="TOC Heading Char"/>
    <w:link w:val="TOCHeading"/>
    <w:uiPriority w:val="39"/>
    <w:rsid w:val="00F26F14"/>
    <w:rPr>
      <w:rFonts w:ascii="Arial Bold" w:eastAsia="Calibri" w:hAnsi="Arial Bold"/>
      <w:b/>
      <w:caps/>
      <w:color w:val="95D600"/>
      <w:sz w:val="28"/>
      <w:szCs w:val="22"/>
    </w:rPr>
  </w:style>
  <w:style w:type="character" w:customStyle="1" w:styleId="ExecSummaryHead1Char">
    <w:name w:val="Exec Summary Head 1 Char"/>
    <w:link w:val="ExecSummaryHead1"/>
    <w:rsid w:val="008E5479"/>
    <w:rPr>
      <w:rFonts w:ascii="Arial Bold" w:eastAsia="Calibri" w:hAnsi="Arial Bold"/>
      <w:b/>
      <w:color w:val="95D600"/>
      <w:sz w:val="28"/>
      <w:szCs w:val="22"/>
    </w:rPr>
  </w:style>
  <w:style w:type="character" w:customStyle="1" w:styleId="Heading1Char">
    <w:name w:val="Heading 1 Char"/>
    <w:link w:val="Heading1"/>
    <w:rsid w:val="00B86FD3"/>
    <w:rPr>
      <w:rFonts w:ascii="Arial Bold" w:hAnsi="Arial Bold" w:cs="Arial"/>
      <w:b/>
      <w:bCs/>
      <w:caps/>
      <w:color w:val="95D600"/>
      <w:kern w:val="28"/>
      <w:position w:val="6"/>
      <w:sz w:val="28"/>
      <w:szCs w:val="26"/>
    </w:rPr>
  </w:style>
  <w:style w:type="character" w:customStyle="1" w:styleId="Heading2Char">
    <w:name w:val="Heading 2 Char"/>
    <w:link w:val="Heading2"/>
    <w:rsid w:val="00B86FD3"/>
    <w:rPr>
      <w:rFonts w:ascii="Arial Bold" w:hAnsi="Arial Bold" w:cs="Arial"/>
      <w:b/>
      <w:bCs/>
      <w:iCs/>
      <w:color w:val="555759"/>
      <w:sz w:val="26"/>
      <w:szCs w:val="26"/>
    </w:rPr>
  </w:style>
  <w:style w:type="character" w:customStyle="1" w:styleId="Heading3Char">
    <w:name w:val="Heading 3 Char"/>
    <w:link w:val="Heading3"/>
    <w:rsid w:val="006807F5"/>
    <w:rPr>
      <w:rFonts w:ascii="Arial" w:hAnsi="Arial" w:cs="Arial"/>
      <w:b/>
      <w:bCs/>
      <w:i/>
      <w:color w:val="555759"/>
      <w:sz w:val="22"/>
      <w:szCs w:val="26"/>
    </w:rPr>
  </w:style>
  <w:style w:type="character" w:styleId="PlaceholderText">
    <w:name w:val="Placeholder Text"/>
    <w:uiPriority w:val="99"/>
    <w:semiHidden/>
    <w:rsid w:val="00BF64FE"/>
    <w:rPr>
      <w:color w:val="808080"/>
    </w:rPr>
  </w:style>
  <w:style w:type="paragraph" w:styleId="TOC4">
    <w:name w:val="toc 4"/>
    <w:basedOn w:val="Normal"/>
    <w:next w:val="Normal"/>
    <w:autoRedefine/>
    <w:uiPriority w:val="39"/>
    <w:rsid w:val="00CB2CB8"/>
    <w:pPr>
      <w:tabs>
        <w:tab w:val="left" w:pos="2700"/>
        <w:tab w:val="right" w:leader="dot" w:pos="9278"/>
      </w:tabs>
      <w:spacing w:after="100"/>
      <w:ind w:left="2700" w:hanging="900"/>
    </w:pPr>
    <w:rPr>
      <w:i/>
      <w:noProof/>
    </w:rPr>
  </w:style>
  <w:style w:type="character" w:customStyle="1" w:styleId="CaptionChar">
    <w:name w:val="Caption Char"/>
    <w:aliases w:val="Table Caption Char,Char Char,Caption Char1 Char Char"/>
    <w:link w:val="Caption"/>
    <w:rsid w:val="00772C76"/>
    <w:rPr>
      <w:rFonts w:ascii="Arial" w:hAnsi="Arial"/>
      <w:b/>
      <w:bCs/>
      <w:color w:val="3F4042"/>
    </w:rPr>
  </w:style>
  <w:style w:type="paragraph" w:styleId="TableofFigures">
    <w:name w:val="table of figures"/>
    <w:basedOn w:val="Normal"/>
    <w:next w:val="Normal"/>
    <w:uiPriority w:val="99"/>
    <w:rsid w:val="008E5479"/>
    <w:pPr>
      <w:tabs>
        <w:tab w:val="right" w:leader="dot" w:pos="9274"/>
      </w:tabs>
    </w:pPr>
  </w:style>
  <w:style w:type="paragraph" w:customStyle="1" w:styleId="Source">
    <w:name w:val="Source"/>
    <w:basedOn w:val="Normal"/>
    <w:link w:val="SourceChar"/>
    <w:qFormat/>
    <w:rsid w:val="00117F87"/>
    <w:pPr>
      <w:spacing w:after="240"/>
    </w:pPr>
    <w:rPr>
      <w:i/>
      <w:sz w:val="16"/>
      <w:szCs w:val="20"/>
    </w:rPr>
  </w:style>
  <w:style w:type="character" w:customStyle="1" w:styleId="SourceChar">
    <w:name w:val="Source Char"/>
    <w:link w:val="Source"/>
    <w:rsid w:val="00117F87"/>
    <w:rPr>
      <w:rFonts w:ascii="Arial" w:hAnsi="Arial"/>
      <w:i/>
      <w:sz w:val="16"/>
    </w:rPr>
  </w:style>
  <w:style w:type="character" w:customStyle="1" w:styleId="HeaderChar">
    <w:name w:val="Header Char"/>
    <w:link w:val="Header"/>
    <w:locked/>
    <w:rsid w:val="00BF64FE"/>
    <w:rPr>
      <w:rFonts w:ascii="Arial" w:hAnsi="Arial"/>
      <w:szCs w:val="24"/>
    </w:rPr>
  </w:style>
  <w:style w:type="character" w:customStyle="1" w:styleId="ListParagraphChar">
    <w:name w:val="List Paragraph Char"/>
    <w:aliases w:val="TOC etc. Char,List Paragraph - RFP Char,Bullet Styles para Char"/>
    <w:link w:val="ListParagraph"/>
    <w:uiPriority w:val="34"/>
    <w:locked/>
    <w:rsid w:val="00BF64FE"/>
    <w:rPr>
      <w:rFonts w:ascii="Arial" w:hAnsi="Arial"/>
      <w:szCs w:val="24"/>
    </w:rPr>
  </w:style>
  <w:style w:type="table" w:styleId="MediumShading1-Accent6">
    <w:name w:val="Medium Shading 1 Accent 6"/>
    <w:basedOn w:val="TableNormal"/>
    <w:uiPriority w:val="63"/>
    <w:rsid w:val="00BF64FE"/>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styleId="BalloonText">
    <w:name w:val="Balloon Text"/>
    <w:basedOn w:val="Normal"/>
    <w:link w:val="BalloonTextChar"/>
    <w:uiPriority w:val="99"/>
    <w:rsid w:val="00BF64FE"/>
    <w:rPr>
      <w:rFonts w:ascii="Tahoma" w:hAnsi="Tahoma" w:cs="Tahoma"/>
      <w:sz w:val="16"/>
      <w:szCs w:val="16"/>
    </w:rPr>
  </w:style>
  <w:style w:type="character" w:customStyle="1" w:styleId="BalloonTextChar">
    <w:name w:val="Balloon Text Char"/>
    <w:link w:val="BalloonText"/>
    <w:uiPriority w:val="99"/>
    <w:rsid w:val="00BF64FE"/>
    <w:rPr>
      <w:rFonts w:ascii="Tahoma" w:hAnsi="Tahoma" w:cs="Tahoma"/>
      <w:sz w:val="16"/>
      <w:szCs w:val="16"/>
    </w:rPr>
  </w:style>
  <w:style w:type="paragraph" w:styleId="EndnoteText">
    <w:name w:val="endnote text"/>
    <w:basedOn w:val="Normal"/>
    <w:link w:val="EndnoteTextChar"/>
    <w:rsid w:val="00BF64FE"/>
    <w:rPr>
      <w:szCs w:val="20"/>
    </w:rPr>
  </w:style>
  <w:style w:type="character" w:customStyle="1" w:styleId="EndnoteTextChar">
    <w:name w:val="Endnote Text Char"/>
    <w:link w:val="EndnoteText"/>
    <w:rsid w:val="00BF64FE"/>
    <w:rPr>
      <w:rFonts w:ascii="Arial" w:hAnsi="Arial"/>
    </w:rPr>
  </w:style>
  <w:style w:type="character" w:styleId="EndnoteReference">
    <w:name w:val="endnote reference"/>
    <w:rsid w:val="00BF64FE"/>
    <w:rPr>
      <w:rFonts w:ascii="Arial" w:hAnsi="Arial"/>
      <w:color w:val="555759"/>
      <w:vertAlign w:val="superscript"/>
    </w:rPr>
  </w:style>
  <w:style w:type="paragraph" w:customStyle="1" w:styleId="TableBullet">
    <w:name w:val="Table Bullet"/>
    <w:basedOn w:val="Normal"/>
    <w:link w:val="TableBulletChar"/>
    <w:qFormat/>
    <w:rsid w:val="00B67629"/>
    <w:pPr>
      <w:keepNext/>
      <w:numPr>
        <w:numId w:val="6"/>
      </w:numPr>
      <w:spacing w:before="40" w:after="40" w:line="240" w:lineRule="atLeast"/>
      <w:ind w:left="252" w:hanging="180"/>
    </w:pPr>
    <w:rPr>
      <w:rFonts w:cs="Arial"/>
      <w:szCs w:val="20"/>
    </w:rPr>
  </w:style>
  <w:style w:type="character" w:customStyle="1" w:styleId="TableBulletChar">
    <w:name w:val="Table Bullet Char"/>
    <w:link w:val="TableBullet"/>
    <w:rsid w:val="00B67629"/>
    <w:rPr>
      <w:rFonts w:ascii="Arial" w:hAnsi="Arial" w:cs="Arial"/>
    </w:rPr>
  </w:style>
  <w:style w:type="character" w:styleId="CommentReference">
    <w:name w:val="annotation reference"/>
    <w:uiPriority w:val="99"/>
    <w:rsid w:val="008E5479"/>
    <w:rPr>
      <w:rFonts w:ascii="Arial" w:hAnsi="Arial"/>
      <w:sz w:val="16"/>
      <w:szCs w:val="16"/>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qFormat/>
    <w:rsid w:val="00BF64FE"/>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BF64FE"/>
    <w:rPr>
      <w:rFonts w:ascii="Arial" w:hAnsi="Arial"/>
      <w:color w:val="555759"/>
      <w:sz w:val="16"/>
      <w:szCs w:val="24"/>
    </w:rPr>
  </w:style>
  <w:style w:type="paragraph" w:styleId="BodyText">
    <w:name w:val="Body Text"/>
    <w:basedOn w:val="Normal"/>
    <w:link w:val="BodyTextChar"/>
    <w:semiHidden/>
    <w:unhideWhenUsed/>
    <w:rsid w:val="00BF64FE"/>
    <w:pPr>
      <w:spacing w:after="120"/>
    </w:pPr>
  </w:style>
  <w:style w:type="character" w:customStyle="1" w:styleId="BodyTextChar">
    <w:name w:val="Body Text Char"/>
    <w:link w:val="BodyText"/>
    <w:semiHidden/>
    <w:rsid w:val="00BF64FE"/>
    <w:rPr>
      <w:rFonts w:ascii="Arial" w:hAnsi="Arial"/>
      <w:szCs w:val="24"/>
    </w:rPr>
  </w:style>
  <w:style w:type="character" w:customStyle="1" w:styleId="FooterChar">
    <w:name w:val="Footer Char"/>
    <w:link w:val="Footer"/>
    <w:uiPriority w:val="99"/>
    <w:rsid w:val="005D1C57"/>
    <w:rPr>
      <w:rFonts w:ascii="Arial" w:hAnsi="Arial"/>
      <w:sz w:val="16"/>
      <w:szCs w:val="24"/>
    </w:rPr>
  </w:style>
  <w:style w:type="character" w:customStyle="1" w:styleId="FootnoteTextChar">
    <w:name w:val="Footnote Text Char"/>
    <w:aliases w:val="Footnote Text1 Char Char,Footnote Text Char Ch Char,Footnote Text Char Ch Char Char Char Char,Footnote Text Char Ch Char Char Char1,Footnote Text1 Char Char Char Char,ft Char Char,ft Char1,EMI Footnote Text Char"/>
    <w:link w:val="FootnoteText"/>
    <w:uiPriority w:val="99"/>
    <w:rsid w:val="00F5376A"/>
    <w:rPr>
      <w:rFonts w:ascii="Arial" w:hAnsi="Arial"/>
      <w:sz w:val="16"/>
    </w:rPr>
  </w:style>
  <w:style w:type="paragraph" w:customStyle="1" w:styleId="Headerinfo">
    <w:name w:val="Header info"/>
    <w:basedOn w:val="Normal"/>
    <w:qFormat/>
    <w:rsid w:val="00BF64FE"/>
    <w:pPr>
      <w:tabs>
        <w:tab w:val="right" w:pos="9000"/>
      </w:tabs>
      <w:spacing w:line="276" w:lineRule="auto"/>
    </w:pPr>
    <w:rPr>
      <w:rFonts w:cs="Arial"/>
      <w:noProof/>
      <w:color w:val="545759"/>
      <w:sz w:val="24"/>
      <w:szCs w:val="21"/>
      <w:lang w:val="fr-FR"/>
    </w:rPr>
  </w:style>
  <w:style w:type="paragraph" w:customStyle="1" w:styleId="ResumeBullet">
    <w:name w:val="Resume Bullet"/>
    <w:basedOn w:val="BodyText"/>
    <w:link w:val="ResumeBulletChar"/>
    <w:autoRedefine/>
    <w:rsid w:val="00BF64FE"/>
    <w:pPr>
      <w:keepLines/>
      <w:numPr>
        <w:numId w:val="7"/>
      </w:numPr>
      <w:spacing w:after="240" w:line="240" w:lineRule="auto"/>
    </w:pPr>
    <w:rPr>
      <w:bCs/>
      <w:color w:val="545759"/>
      <w:szCs w:val="20"/>
      <w:lang w:val="en-GB" w:eastAsia="x-none"/>
    </w:rPr>
  </w:style>
  <w:style w:type="character" w:customStyle="1" w:styleId="ResumeBulletChar">
    <w:name w:val="Resume Bullet Char"/>
    <w:link w:val="ResumeBullet"/>
    <w:rsid w:val="00BF64FE"/>
    <w:rPr>
      <w:rFonts w:ascii="Arial" w:hAnsi="Arial"/>
      <w:bCs/>
      <w:color w:val="545759"/>
      <w:lang w:val="en-GB" w:eastAsia="x-none"/>
    </w:rPr>
  </w:style>
  <w:style w:type="paragraph" w:customStyle="1" w:styleId="SectionHeading">
    <w:name w:val="Section Heading"/>
    <w:basedOn w:val="Normal"/>
    <w:autoRedefine/>
    <w:qFormat/>
    <w:rsid w:val="00BF64F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szCs w:val="22"/>
      <w:lang w:val="en-GB"/>
    </w:rPr>
  </w:style>
  <w:style w:type="paragraph" w:customStyle="1" w:styleId="SubHeaderBold">
    <w:name w:val="Sub Header Bold"/>
    <w:basedOn w:val="Normal"/>
    <w:qFormat/>
    <w:rsid w:val="005426E4"/>
    <w:pPr>
      <w:spacing w:after="120" w:line="240" w:lineRule="auto"/>
      <w:ind w:left="360" w:hanging="360"/>
    </w:pPr>
    <w:rPr>
      <w:rFonts w:cs="Arial"/>
      <w:b/>
      <w:noProof/>
      <w:sz w:val="28"/>
      <w:szCs w:val="22"/>
      <w:lang w:val="en-GB"/>
    </w:rPr>
  </w:style>
  <w:style w:type="character" w:customStyle="1" w:styleId="SubtitleChar">
    <w:name w:val="Subtitle Char"/>
    <w:link w:val="Subtitle"/>
    <w:uiPriority w:val="11"/>
    <w:rsid w:val="008C7CE0"/>
    <w:rPr>
      <w:rFonts w:ascii="Arial" w:eastAsia="Times New Roman" w:hAnsi="Arial" w:cs="Times New Roman"/>
      <w:b/>
      <w:color w:val="5A5A5A"/>
      <w:spacing w:val="15"/>
      <w:sz w:val="28"/>
      <w:szCs w:val="22"/>
    </w:rPr>
  </w:style>
  <w:style w:type="character" w:customStyle="1" w:styleId="ProposalBodyHeading">
    <w:name w:val="Proposal Body Heading"/>
    <w:uiPriority w:val="1"/>
    <w:qFormat/>
    <w:rsid w:val="00C51EF9"/>
    <w:rPr>
      <w:rFonts w:ascii="Arial" w:hAnsi="Arial"/>
      <w:b/>
      <w:color w:val="555759"/>
      <w:sz w:val="22"/>
    </w:rPr>
  </w:style>
  <w:style w:type="character" w:customStyle="1" w:styleId="TitleChar">
    <w:name w:val="Title Char"/>
    <w:aliases w:val="Proposal Title Char"/>
    <w:link w:val="Title"/>
    <w:uiPriority w:val="10"/>
    <w:rsid w:val="00C51EF9"/>
    <w:rPr>
      <w:rFonts w:ascii="Arial" w:eastAsia="Times New Roman" w:hAnsi="Arial" w:cs="Times New Roman"/>
      <w:b/>
      <w:color w:val="95D600"/>
      <w:spacing w:val="-10"/>
      <w:kern w:val="28"/>
      <w:sz w:val="48"/>
      <w:szCs w:val="56"/>
    </w:rPr>
  </w:style>
  <w:style w:type="character" w:customStyle="1" w:styleId="TOC1Char">
    <w:name w:val="TOC 1 Char"/>
    <w:link w:val="TOC1"/>
    <w:uiPriority w:val="39"/>
    <w:rsid w:val="00E86555"/>
    <w:rPr>
      <w:rFonts w:ascii="Arial" w:eastAsia="Calibri" w:hAnsi="Arial" w:cs="Times New Roman"/>
      <w:b/>
      <w:sz w:val="24"/>
      <w:szCs w:val="22"/>
    </w:rPr>
  </w:style>
  <w:style w:type="table" w:customStyle="1" w:styleId="TableGrid1">
    <w:name w:val="Table Grid1"/>
    <w:basedOn w:val="TableNormal"/>
    <w:next w:val="TableGrid"/>
    <w:uiPriority w:val="39"/>
    <w:rsid w:val="004626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aliases w:val="Energy Table"/>
    <w:basedOn w:val="TableNormal"/>
    <w:uiPriority w:val="99"/>
    <w:qFormat/>
    <w:rsid w:val="002115BE"/>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qFormat/>
    <w:rsid w:val="00C551A8"/>
    <w:pPr>
      <w:spacing w:after="120" w:line="276" w:lineRule="auto"/>
      <w:ind w:left="360" w:hanging="360"/>
    </w:pPr>
    <w:rPr>
      <w:rFonts w:cs="Arial"/>
      <w:b/>
      <w:szCs w:val="22"/>
      <w:lang w:val="en-GB"/>
    </w:rPr>
  </w:style>
  <w:style w:type="paragraph" w:customStyle="1" w:styleId="ResumeParagraphText">
    <w:name w:val="Resume Paragraph Text"/>
    <w:basedOn w:val="Normal"/>
    <w:link w:val="ResumeParagraphTextChar"/>
    <w:qFormat/>
    <w:rsid w:val="00252CCD"/>
    <w:pPr>
      <w:spacing w:line="276" w:lineRule="auto"/>
    </w:pPr>
    <w:rPr>
      <w:szCs w:val="20"/>
      <w:lang w:val="en-GB"/>
    </w:rPr>
  </w:style>
  <w:style w:type="character" w:customStyle="1" w:styleId="ResumeParagraphTextChar">
    <w:name w:val="Resume Paragraph Text Char"/>
    <w:link w:val="ResumeParagraphText"/>
    <w:rsid w:val="00252CCD"/>
    <w:rPr>
      <w:rFonts w:ascii="Arial" w:hAnsi="Arial"/>
      <w:color w:val="555759"/>
      <w:sz w:val="22"/>
      <w:lang w:val="en-GB"/>
    </w:rPr>
  </w:style>
  <w:style w:type="paragraph" w:styleId="NoSpacing">
    <w:name w:val="No Spacing"/>
    <w:uiPriority w:val="1"/>
    <w:qFormat/>
    <w:rsid w:val="00263755"/>
    <w:pPr>
      <w:widowControl w:val="0"/>
    </w:pPr>
    <w:rPr>
      <w:rFonts w:ascii="Arial" w:eastAsia="Calibri" w:hAnsi="Arial"/>
      <w:color w:val="555759"/>
      <w:sz w:val="22"/>
      <w:szCs w:val="22"/>
    </w:rPr>
  </w:style>
  <w:style w:type="paragraph" w:customStyle="1" w:styleId="ProposalTitleGreen">
    <w:name w:val="Proposal Title Green"/>
    <w:basedOn w:val="Header"/>
    <w:link w:val="ProposalTitleGreenChar"/>
    <w:qFormat/>
    <w:rsid w:val="00600AB2"/>
    <w:pPr>
      <w:widowControl w:val="0"/>
      <w:tabs>
        <w:tab w:val="clear" w:pos="4320"/>
        <w:tab w:val="clear" w:pos="8640"/>
      </w:tabs>
      <w:spacing w:before="240" w:after="240" w:line="240" w:lineRule="auto"/>
    </w:pPr>
    <w:rPr>
      <w:rFonts w:eastAsia="Calibri"/>
      <w:b/>
      <w:color w:val="95D600"/>
      <w:sz w:val="22"/>
      <w:szCs w:val="22"/>
    </w:rPr>
  </w:style>
  <w:style w:type="character" w:customStyle="1" w:styleId="ProposalTitleGreenChar">
    <w:name w:val="Proposal Title Green Char"/>
    <w:link w:val="ProposalTitleGreen"/>
    <w:rsid w:val="00600AB2"/>
    <w:rPr>
      <w:rFonts w:ascii="Arial" w:eastAsia="Calibri" w:hAnsi="Arial" w:cs="Times New Roman"/>
      <w:b/>
      <w:color w:val="95D600"/>
      <w:sz w:val="22"/>
      <w:szCs w:val="22"/>
    </w:rPr>
  </w:style>
  <w:style w:type="table" w:customStyle="1" w:styleId="EnergyGreen">
    <w:name w:val="Energy_Green"/>
    <w:basedOn w:val="ListTable3-Accent11"/>
    <w:uiPriority w:val="99"/>
    <w:rsid w:val="00C25E79"/>
    <w:pPr>
      <w:spacing w:before="40" w:after="40"/>
    </w:pPr>
    <w:tblPr>
      <w:tblStyleColBandSize w:val="0"/>
      <w:jc w:val="center"/>
    </w:tblPr>
    <w:trPr>
      <w:cantSplit/>
      <w:jc w:val="center"/>
    </w:trPr>
    <w:tblStylePr w:type="firstRow">
      <w:pPr>
        <w:jc w:val="center"/>
      </w:pPr>
      <w:rPr>
        <w:rFonts w:ascii="Arial" w:hAnsi="Arial"/>
        <w:b/>
        <w:bCs/>
        <w:color w:val="FFFFFF"/>
        <w:sz w:val="20"/>
      </w:rPr>
      <w:tblPr/>
      <w:tcPr>
        <w:tcBorders>
          <w:top w:val="nil"/>
          <w:left w:val="nil"/>
          <w:bottom w:val="nil"/>
          <w:right w:val="nil"/>
          <w:insideH w:val="nil"/>
          <w:insideV w:val="nil"/>
          <w:tl2br w:val="nil"/>
          <w:tr2bl w:val="nil"/>
        </w:tcBorders>
        <w:shd w:val="clear" w:color="auto" w:fill="95D600"/>
        <w:vAlign w:val="bottom"/>
      </w:tcPr>
    </w:tblStylePr>
    <w:tblStylePr w:type="lastRow">
      <w:pPr>
        <w:jc w:val="center"/>
      </w:pPr>
      <w:rPr>
        <w:rFonts w:ascii="Tahoma" w:hAnsi="Tahoma"/>
        <w:b/>
        <w:bCs/>
      </w:rPr>
      <w:tblPr/>
      <w:tcPr>
        <w:tcBorders>
          <w:top w:val="double" w:sz="4" w:space="0" w:color="95D600"/>
          <w:bottom w:val="single" w:sz="4" w:space="0" w:color="95D600"/>
        </w:tcBorders>
        <w:shd w:val="clear" w:color="auto" w:fill="FFFFFF"/>
      </w:tcPr>
    </w:tblStylePr>
    <w:tblStylePr w:type="firstCol">
      <w:rPr>
        <w:rFonts w:ascii="Arial Bold" w:hAnsi="Arial Bold"/>
        <w:b w:val="0"/>
        <w:bCs/>
        <w:color w:val="auto"/>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pPr>
        <w:jc w:val="center"/>
      </w:pPr>
      <w:tblPr/>
      <w:tcPr>
        <w:tcBorders>
          <w:top w:val="single" w:sz="4" w:space="0" w:color="95D600"/>
          <w:bottom w:val="single" w:sz="4" w:space="0" w:color="95D600"/>
          <w:insideH w:val="nil"/>
        </w:tcBorders>
        <w:vAlign w:val="center"/>
      </w:tcPr>
    </w:tblStylePr>
    <w:tblStylePr w:type="band2Horz">
      <w:pPr>
        <w:jc w:val="center"/>
      </w:pPr>
      <w:tblPr/>
      <w:tcPr>
        <w:shd w:val="clear" w:color="auto" w:fill="FFFFFF"/>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table" w:customStyle="1" w:styleId="EnergyTable1">
    <w:name w:val="Energy Table1"/>
    <w:basedOn w:val="TableNormal"/>
    <w:uiPriority w:val="99"/>
    <w:qFormat/>
    <w:rsid w:val="00DE14FB"/>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paragraph" w:styleId="CommentText">
    <w:name w:val="annotation text"/>
    <w:basedOn w:val="Normal"/>
    <w:link w:val="CommentTextChar"/>
    <w:uiPriority w:val="99"/>
    <w:unhideWhenUsed/>
    <w:rsid w:val="00C16CC2"/>
    <w:pPr>
      <w:spacing w:line="240" w:lineRule="auto"/>
    </w:pPr>
    <w:rPr>
      <w:szCs w:val="20"/>
    </w:rPr>
  </w:style>
  <w:style w:type="character" w:customStyle="1" w:styleId="CommentTextChar">
    <w:name w:val="Comment Text Char"/>
    <w:basedOn w:val="DefaultParagraphFont"/>
    <w:link w:val="CommentText"/>
    <w:uiPriority w:val="99"/>
    <w:rsid w:val="00C16CC2"/>
    <w:rPr>
      <w:rFonts w:ascii="Arial" w:hAnsi="Arial"/>
    </w:rPr>
  </w:style>
  <w:style w:type="paragraph" w:styleId="CommentSubject">
    <w:name w:val="annotation subject"/>
    <w:basedOn w:val="CommentText"/>
    <w:next w:val="CommentText"/>
    <w:link w:val="CommentSubjectChar"/>
    <w:uiPriority w:val="99"/>
    <w:unhideWhenUsed/>
    <w:rsid w:val="00C16CC2"/>
    <w:rPr>
      <w:b/>
      <w:bCs/>
    </w:rPr>
  </w:style>
  <w:style w:type="character" w:customStyle="1" w:styleId="CommentSubjectChar">
    <w:name w:val="Comment Subject Char"/>
    <w:basedOn w:val="CommentTextChar"/>
    <w:link w:val="CommentSubject"/>
    <w:uiPriority w:val="99"/>
    <w:rsid w:val="00C16CC2"/>
    <w:rPr>
      <w:rFonts w:ascii="Arial" w:hAnsi="Arial"/>
      <w:b/>
      <w:bCs/>
    </w:rPr>
  </w:style>
  <w:style w:type="paragraph" w:customStyle="1" w:styleId="Default">
    <w:name w:val="Default"/>
    <w:rsid w:val="00E05744"/>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qFormat/>
    <w:rsid w:val="00FC3873"/>
    <w:rPr>
      <w:i/>
      <w:iCs/>
    </w:rPr>
  </w:style>
  <w:style w:type="table" w:customStyle="1" w:styleId="MediumShading1-Accent61">
    <w:name w:val="Medium Shading 1 - Accent 61"/>
    <w:basedOn w:val="TableNormal"/>
    <w:next w:val="MediumShading1-Accent6"/>
    <w:uiPriority w:val="63"/>
    <w:rsid w:val="006B44D0"/>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paragraph" w:customStyle="1" w:styleId="Heading4b">
    <w:name w:val="Heading 4b"/>
    <w:basedOn w:val="Normal"/>
    <w:qFormat/>
    <w:rsid w:val="00B86FD3"/>
    <w:pPr>
      <w:keepNext/>
      <w:tabs>
        <w:tab w:val="num" w:pos="720"/>
        <w:tab w:val="left" w:pos="1080"/>
        <w:tab w:val="left" w:pos="1440"/>
      </w:tabs>
      <w:spacing w:before="240" w:after="240" w:line="240" w:lineRule="auto"/>
      <w:outlineLvl w:val="3"/>
    </w:pPr>
    <w:rPr>
      <w:rFonts w:ascii="Arial Narrow" w:hAnsi="Arial Narrow"/>
      <w:b/>
      <w:bCs/>
      <w:i/>
      <w:color w:val="6F6754"/>
    </w:rPr>
  </w:style>
  <w:style w:type="character" w:customStyle="1" w:styleId="acicollapsed1">
    <w:name w:val="acicollapsed1"/>
    <w:basedOn w:val="DefaultParagraphFont"/>
    <w:rsid w:val="006B44D0"/>
    <w:rPr>
      <w:vanish/>
      <w:webHidden w:val="0"/>
      <w:specVanish w:val="0"/>
    </w:rPr>
  </w:style>
  <w:style w:type="character" w:styleId="Strong">
    <w:name w:val="Strong"/>
    <w:basedOn w:val="DefaultParagraphFont"/>
    <w:qFormat/>
    <w:rsid w:val="006B44D0"/>
    <w:rPr>
      <w:rFonts w:ascii="Palatino Linotype" w:hAnsi="Palatino Linotype"/>
      <w:b/>
      <w:bCs/>
      <w:sz w:val="20"/>
    </w:rPr>
  </w:style>
  <w:style w:type="paragraph" w:styleId="Quote">
    <w:name w:val="Quote"/>
    <w:basedOn w:val="Normal"/>
    <w:next w:val="Normal"/>
    <w:link w:val="QuoteChar"/>
    <w:uiPriority w:val="29"/>
    <w:qFormat/>
    <w:rsid w:val="006B44D0"/>
    <w:pPr>
      <w:spacing w:line="240" w:lineRule="auto"/>
    </w:pPr>
    <w:rPr>
      <w:rFonts w:ascii="Palatino Linotype" w:hAnsi="Palatino Linotype"/>
      <w:i/>
      <w:iCs/>
      <w:color w:val="000000" w:themeColor="text1"/>
    </w:rPr>
  </w:style>
  <w:style w:type="character" w:customStyle="1" w:styleId="QuoteChar">
    <w:name w:val="Quote Char"/>
    <w:basedOn w:val="DefaultParagraphFont"/>
    <w:link w:val="Quote"/>
    <w:uiPriority w:val="29"/>
    <w:rsid w:val="006B44D0"/>
    <w:rPr>
      <w:rFonts w:ascii="Palatino Linotype" w:hAnsi="Palatino Linotype"/>
      <w:i/>
      <w:iCs/>
      <w:color w:val="000000" w:themeColor="text1"/>
      <w:szCs w:val="24"/>
    </w:rPr>
  </w:style>
  <w:style w:type="table" w:customStyle="1" w:styleId="TableGridLight1">
    <w:name w:val="Table Grid Light1"/>
    <w:basedOn w:val="TableNormal"/>
    <w:uiPriority w:val="40"/>
    <w:rsid w:val="006B44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semiHidden/>
    <w:unhideWhenUsed/>
    <w:rsid w:val="006B44D0"/>
    <w:rPr>
      <w:color w:val="954F72" w:themeColor="followedHyperlink"/>
      <w:u w:val="single"/>
    </w:rPr>
  </w:style>
  <w:style w:type="character" w:customStyle="1" w:styleId="st1">
    <w:name w:val="st1"/>
    <w:basedOn w:val="DefaultParagraphFont"/>
    <w:rsid w:val="006B44D0"/>
  </w:style>
  <w:style w:type="table" w:customStyle="1" w:styleId="TableGridLight2">
    <w:name w:val="Table Grid Light2"/>
    <w:basedOn w:val="TableNormal"/>
    <w:uiPriority w:val="40"/>
    <w:rsid w:val="006B44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6B44D0"/>
  </w:style>
  <w:style w:type="table" w:customStyle="1" w:styleId="PlainTable11">
    <w:name w:val="Plain Table 11"/>
    <w:basedOn w:val="TableNormal"/>
    <w:uiPriority w:val="41"/>
    <w:rsid w:val="006B44D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D0F35"/>
    <w:pPr>
      <w:spacing w:before="100" w:beforeAutospacing="1" w:after="100" w:afterAutospacing="1" w:line="240" w:lineRule="auto"/>
    </w:pPr>
    <w:rPr>
      <w:rFonts w:ascii="Times New Roman" w:hAnsi="Times New Roman"/>
      <w:sz w:val="24"/>
      <w:lang w:eastAsia="zh-CN"/>
    </w:rPr>
  </w:style>
  <w:style w:type="table" w:customStyle="1" w:styleId="PlainTable110">
    <w:name w:val="Plain Table 11"/>
    <w:basedOn w:val="TableNormal"/>
    <w:uiPriority w:val="41"/>
    <w:rsid w:val="004A09CC"/>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rsid w:val="00ED211E"/>
    <w:rPr>
      <w:rFonts w:asciiTheme="minorHAnsi" w:eastAsiaTheme="minorHAnsi" w:hAnsiTheme="minorHAnsi" w:cstheme="minorBidi"/>
      <w:sz w:val="22"/>
      <w:szCs w:val="22"/>
    </w:rPr>
    <w:tblPr>
      <w:tblStyleRowBandSize w:val="1"/>
      <w:tblStyleColBandSize w:val="1"/>
      <w:tblInd w:w="0" w:type="nil"/>
      <w:tblBorders>
        <w:top w:val="single" w:sz="2" w:space="0" w:color="ACDE50" w:themeColor="accent2" w:themeTint="99"/>
        <w:bottom w:val="single" w:sz="2" w:space="0" w:color="ACDE50" w:themeColor="accent2" w:themeTint="99"/>
        <w:insideH w:val="single" w:sz="2" w:space="0" w:color="ACDE50" w:themeColor="accent2" w:themeTint="99"/>
        <w:insideV w:val="single" w:sz="2" w:space="0" w:color="ACDE50" w:themeColor="accent2" w:themeTint="99"/>
      </w:tblBorders>
    </w:tblPr>
    <w:tblStylePr w:type="firstRow">
      <w:rPr>
        <w:b/>
        <w:bCs/>
      </w:rPr>
      <w:tblPr/>
      <w:tcPr>
        <w:tcBorders>
          <w:top w:val="nil"/>
          <w:bottom w:val="single" w:sz="12" w:space="0" w:color="ACDE50" w:themeColor="accent2" w:themeTint="99"/>
          <w:insideH w:val="nil"/>
          <w:insideV w:val="nil"/>
        </w:tcBorders>
        <w:shd w:val="clear" w:color="auto" w:fill="FFFFFF" w:themeFill="background1"/>
      </w:tcPr>
    </w:tblStylePr>
    <w:tblStylePr w:type="lastRow">
      <w:rPr>
        <w:b/>
        <w:bCs/>
      </w:rPr>
      <w:tblPr/>
      <w:tcPr>
        <w:tcBorders>
          <w:top w:val="double" w:sz="2" w:space="0" w:color="ACDE5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C4" w:themeFill="accent2" w:themeFillTint="33"/>
      </w:tcPr>
    </w:tblStylePr>
    <w:tblStylePr w:type="band1Horz">
      <w:tblPr/>
      <w:tcPr>
        <w:shd w:val="clear" w:color="auto" w:fill="E3F4C4" w:themeFill="accent2" w:themeFillTint="33"/>
      </w:tcPr>
    </w:tblStylePr>
  </w:style>
  <w:style w:type="table" w:customStyle="1" w:styleId="EnergyTable2">
    <w:name w:val="Energy Table2"/>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3">
    <w:name w:val="Energy Table3"/>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4">
    <w:name w:val="Energy Table4"/>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5">
    <w:name w:val="Energy Table5"/>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6">
    <w:name w:val="Energy Table6"/>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7">
    <w:name w:val="Energy Table7"/>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8">
    <w:name w:val="Energy Table8"/>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9">
    <w:name w:val="Energy Table9"/>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0">
    <w:name w:val="Energy Table10"/>
    <w:basedOn w:val="TableNormal"/>
    <w:uiPriority w:val="99"/>
    <w:qFormat/>
    <w:rsid w:val="00E01C42"/>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TOC5">
    <w:name w:val="toc 5"/>
    <w:basedOn w:val="Normal"/>
    <w:next w:val="Normal"/>
    <w:autoRedefine/>
    <w:uiPriority w:val="39"/>
    <w:unhideWhenUsed/>
    <w:rsid w:val="00CD245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245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245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245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2457"/>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76486252">
      <w:bodyDiv w:val="1"/>
      <w:marLeft w:val="0"/>
      <w:marRight w:val="0"/>
      <w:marTop w:val="0"/>
      <w:marBottom w:val="0"/>
      <w:divBdr>
        <w:top w:val="none" w:sz="0" w:space="0" w:color="auto"/>
        <w:left w:val="none" w:sz="0" w:space="0" w:color="auto"/>
        <w:bottom w:val="none" w:sz="0" w:space="0" w:color="auto"/>
        <w:right w:val="none" w:sz="0" w:space="0" w:color="auto"/>
      </w:divBdr>
    </w:div>
    <w:div w:id="97458032">
      <w:bodyDiv w:val="1"/>
      <w:marLeft w:val="0"/>
      <w:marRight w:val="0"/>
      <w:marTop w:val="0"/>
      <w:marBottom w:val="0"/>
      <w:divBdr>
        <w:top w:val="none" w:sz="0" w:space="0" w:color="auto"/>
        <w:left w:val="none" w:sz="0" w:space="0" w:color="auto"/>
        <w:bottom w:val="none" w:sz="0" w:space="0" w:color="auto"/>
        <w:right w:val="none" w:sz="0" w:space="0" w:color="auto"/>
      </w:divBdr>
    </w:div>
    <w:div w:id="99104744">
      <w:bodyDiv w:val="1"/>
      <w:marLeft w:val="0"/>
      <w:marRight w:val="0"/>
      <w:marTop w:val="0"/>
      <w:marBottom w:val="0"/>
      <w:divBdr>
        <w:top w:val="none" w:sz="0" w:space="0" w:color="auto"/>
        <w:left w:val="none" w:sz="0" w:space="0" w:color="auto"/>
        <w:bottom w:val="none" w:sz="0" w:space="0" w:color="auto"/>
        <w:right w:val="none" w:sz="0" w:space="0" w:color="auto"/>
      </w:divBdr>
    </w:div>
    <w:div w:id="113058201">
      <w:bodyDiv w:val="1"/>
      <w:marLeft w:val="0"/>
      <w:marRight w:val="0"/>
      <w:marTop w:val="0"/>
      <w:marBottom w:val="0"/>
      <w:divBdr>
        <w:top w:val="none" w:sz="0" w:space="0" w:color="auto"/>
        <w:left w:val="none" w:sz="0" w:space="0" w:color="auto"/>
        <w:bottom w:val="none" w:sz="0" w:space="0" w:color="auto"/>
        <w:right w:val="none" w:sz="0" w:space="0" w:color="auto"/>
      </w:divBdr>
    </w:div>
    <w:div w:id="179897636">
      <w:bodyDiv w:val="1"/>
      <w:marLeft w:val="0"/>
      <w:marRight w:val="0"/>
      <w:marTop w:val="0"/>
      <w:marBottom w:val="0"/>
      <w:divBdr>
        <w:top w:val="none" w:sz="0" w:space="0" w:color="auto"/>
        <w:left w:val="none" w:sz="0" w:space="0" w:color="auto"/>
        <w:bottom w:val="none" w:sz="0" w:space="0" w:color="auto"/>
        <w:right w:val="none" w:sz="0" w:space="0" w:color="auto"/>
      </w:divBdr>
    </w:div>
    <w:div w:id="188296594">
      <w:bodyDiv w:val="1"/>
      <w:marLeft w:val="0"/>
      <w:marRight w:val="0"/>
      <w:marTop w:val="0"/>
      <w:marBottom w:val="0"/>
      <w:divBdr>
        <w:top w:val="none" w:sz="0" w:space="0" w:color="auto"/>
        <w:left w:val="none" w:sz="0" w:space="0" w:color="auto"/>
        <w:bottom w:val="none" w:sz="0" w:space="0" w:color="auto"/>
        <w:right w:val="none" w:sz="0" w:space="0" w:color="auto"/>
      </w:divBdr>
    </w:div>
    <w:div w:id="202865353">
      <w:bodyDiv w:val="1"/>
      <w:marLeft w:val="0"/>
      <w:marRight w:val="0"/>
      <w:marTop w:val="0"/>
      <w:marBottom w:val="0"/>
      <w:divBdr>
        <w:top w:val="none" w:sz="0" w:space="0" w:color="auto"/>
        <w:left w:val="none" w:sz="0" w:space="0" w:color="auto"/>
        <w:bottom w:val="none" w:sz="0" w:space="0" w:color="auto"/>
        <w:right w:val="none" w:sz="0" w:space="0" w:color="auto"/>
      </w:divBdr>
      <w:divsChild>
        <w:div w:id="84614125">
          <w:marLeft w:val="446"/>
          <w:marRight w:val="0"/>
          <w:marTop w:val="0"/>
          <w:marBottom w:val="0"/>
          <w:divBdr>
            <w:top w:val="none" w:sz="0" w:space="0" w:color="auto"/>
            <w:left w:val="none" w:sz="0" w:space="0" w:color="auto"/>
            <w:bottom w:val="none" w:sz="0" w:space="0" w:color="auto"/>
            <w:right w:val="none" w:sz="0" w:space="0" w:color="auto"/>
          </w:divBdr>
        </w:div>
      </w:divsChild>
    </w:div>
    <w:div w:id="210727943">
      <w:bodyDiv w:val="1"/>
      <w:marLeft w:val="0"/>
      <w:marRight w:val="0"/>
      <w:marTop w:val="0"/>
      <w:marBottom w:val="0"/>
      <w:divBdr>
        <w:top w:val="none" w:sz="0" w:space="0" w:color="auto"/>
        <w:left w:val="none" w:sz="0" w:space="0" w:color="auto"/>
        <w:bottom w:val="none" w:sz="0" w:space="0" w:color="auto"/>
        <w:right w:val="none" w:sz="0" w:space="0" w:color="auto"/>
      </w:divBdr>
    </w:div>
    <w:div w:id="244077289">
      <w:bodyDiv w:val="1"/>
      <w:marLeft w:val="0"/>
      <w:marRight w:val="0"/>
      <w:marTop w:val="0"/>
      <w:marBottom w:val="0"/>
      <w:divBdr>
        <w:top w:val="none" w:sz="0" w:space="0" w:color="auto"/>
        <w:left w:val="none" w:sz="0" w:space="0" w:color="auto"/>
        <w:bottom w:val="none" w:sz="0" w:space="0" w:color="auto"/>
        <w:right w:val="none" w:sz="0" w:space="0" w:color="auto"/>
      </w:divBdr>
    </w:div>
    <w:div w:id="256132663">
      <w:bodyDiv w:val="1"/>
      <w:marLeft w:val="0"/>
      <w:marRight w:val="0"/>
      <w:marTop w:val="0"/>
      <w:marBottom w:val="0"/>
      <w:divBdr>
        <w:top w:val="none" w:sz="0" w:space="0" w:color="auto"/>
        <w:left w:val="none" w:sz="0" w:space="0" w:color="auto"/>
        <w:bottom w:val="none" w:sz="0" w:space="0" w:color="auto"/>
        <w:right w:val="none" w:sz="0" w:space="0" w:color="auto"/>
      </w:divBdr>
    </w:div>
    <w:div w:id="265617639">
      <w:bodyDiv w:val="1"/>
      <w:marLeft w:val="0"/>
      <w:marRight w:val="0"/>
      <w:marTop w:val="0"/>
      <w:marBottom w:val="0"/>
      <w:divBdr>
        <w:top w:val="none" w:sz="0" w:space="0" w:color="auto"/>
        <w:left w:val="none" w:sz="0" w:space="0" w:color="auto"/>
        <w:bottom w:val="none" w:sz="0" w:space="0" w:color="auto"/>
        <w:right w:val="none" w:sz="0" w:space="0" w:color="auto"/>
      </w:divBdr>
    </w:div>
    <w:div w:id="300810834">
      <w:bodyDiv w:val="1"/>
      <w:marLeft w:val="0"/>
      <w:marRight w:val="0"/>
      <w:marTop w:val="0"/>
      <w:marBottom w:val="0"/>
      <w:divBdr>
        <w:top w:val="none" w:sz="0" w:space="0" w:color="auto"/>
        <w:left w:val="none" w:sz="0" w:space="0" w:color="auto"/>
        <w:bottom w:val="none" w:sz="0" w:space="0" w:color="auto"/>
        <w:right w:val="none" w:sz="0" w:space="0" w:color="auto"/>
      </w:divBdr>
    </w:div>
    <w:div w:id="304816913">
      <w:bodyDiv w:val="1"/>
      <w:marLeft w:val="0"/>
      <w:marRight w:val="0"/>
      <w:marTop w:val="0"/>
      <w:marBottom w:val="0"/>
      <w:divBdr>
        <w:top w:val="none" w:sz="0" w:space="0" w:color="auto"/>
        <w:left w:val="none" w:sz="0" w:space="0" w:color="auto"/>
        <w:bottom w:val="none" w:sz="0" w:space="0" w:color="auto"/>
        <w:right w:val="none" w:sz="0" w:space="0" w:color="auto"/>
      </w:divBdr>
    </w:div>
    <w:div w:id="317341403">
      <w:bodyDiv w:val="1"/>
      <w:marLeft w:val="0"/>
      <w:marRight w:val="0"/>
      <w:marTop w:val="0"/>
      <w:marBottom w:val="0"/>
      <w:divBdr>
        <w:top w:val="none" w:sz="0" w:space="0" w:color="auto"/>
        <w:left w:val="none" w:sz="0" w:space="0" w:color="auto"/>
        <w:bottom w:val="none" w:sz="0" w:space="0" w:color="auto"/>
        <w:right w:val="none" w:sz="0" w:space="0" w:color="auto"/>
      </w:divBdr>
    </w:div>
    <w:div w:id="321936535">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08">
      <w:bodyDiv w:val="1"/>
      <w:marLeft w:val="0"/>
      <w:marRight w:val="0"/>
      <w:marTop w:val="0"/>
      <w:marBottom w:val="0"/>
      <w:divBdr>
        <w:top w:val="none" w:sz="0" w:space="0" w:color="auto"/>
        <w:left w:val="none" w:sz="0" w:space="0" w:color="auto"/>
        <w:bottom w:val="none" w:sz="0" w:space="0" w:color="auto"/>
        <w:right w:val="none" w:sz="0" w:space="0" w:color="auto"/>
      </w:divBdr>
    </w:div>
    <w:div w:id="418644694">
      <w:bodyDiv w:val="1"/>
      <w:marLeft w:val="0"/>
      <w:marRight w:val="0"/>
      <w:marTop w:val="0"/>
      <w:marBottom w:val="0"/>
      <w:divBdr>
        <w:top w:val="none" w:sz="0" w:space="0" w:color="auto"/>
        <w:left w:val="none" w:sz="0" w:space="0" w:color="auto"/>
        <w:bottom w:val="none" w:sz="0" w:space="0" w:color="auto"/>
        <w:right w:val="none" w:sz="0" w:space="0" w:color="auto"/>
      </w:divBdr>
    </w:div>
    <w:div w:id="428158871">
      <w:bodyDiv w:val="1"/>
      <w:marLeft w:val="0"/>
      <w:marRight w:val="0"/>
      <w:marTop w:val="0"/>
      <w:marBottom w:val="0"/>
      <w:divBdr>
        <w:top w:val="none" w:sz="0" w:space="0" w:color="auto"/>
        <w:left w:val="none" w:sz="0" w:space="0" w:color="auto"/>
        <w:bottom w:val="none" w:sz="0" w:space="0" w:color="auto"/>
        <w:right w:val="none" w:sz="0" w:space="0" w:color="auto"/>
      </w:divBdr>
    </w:div>
    <w:div w:id="499855073">
      <w:bodyDiv w:val="1"/>
      <w:marLeft w:val="0"/>
      <w:marRight w:val="0"/>
      <w:marTop w:val="0"/>
      <w:marBottom w:val="0"/>
      <w:divBdr>
        <w:top w:val="none" w:sz="0" w:space="0" w:color="auto"/>
        <w:left w:val="none" w:sz="0" w:space="0" w:color="auto"/>
        <w:bottom w:val="none" w:sz="0" w:space="0" w:color="auto"/>
        <w:right w:val="none" w:sz="0" w:space="0" w:color="auto"/>
      </w:divBdr>
    </w:div>
    <w:div w:id="509953344">
      <w:bodyDiv w:val="1"/>
      <w:marLeft w:val="0"/>
      <w:marRight w:val="0"/>
      <w:marTop w:val="0"/>
      <w:marBottom w:val="0"/>
      <w:divBdr>
        <w:top w:val="none" w:sz="0" w:space="0" w:color="auto"/>
        <w:left w:val="none" w:sz="0" w:space="0" w:color="auto"/>
        <w:bottom w:val="none" w:sz="0" w:space="0" w:color="auto"/>
        <w:right w:val="none" w:sz="0" w:space="0" w:color="auto"/>
      </w:divBdr>
    </w:div>
    <w:div w:id="549465608">
      <w:bodyDiv w:val="1"/>
      <w:marLeft w:val="0"/>
      <w:marRight w:val="0"/>
      <w:marTop w:val="0"/>
      <w:marBottom w:val="0"/>
      <w:divBdr>
        <w:top w:val="none" w:sz="0" w:space="0" w:color="auto"/>
        <w:left w:val="none" w:sz="0" w:space="0" w:color="auto"/>
        <w:bottom w:val="none" w:sz="0" w:space="0" w:color="auto"/>
        <w:right w:val="none" w:sz="0" w:space="0" w:color="auto"/>
      </w:divBdr>
    </w:div>
    <w:div w:id="549658079">
      <w:bodyDiv w:val="1"/>
      <w:marLeft w:val="0"/>
      <w:marRight w:val="0"/>
      <w:marTop w:val="0"/>
      <w:marBottom w:val="0"/>
      <w:divBdr>
        <w:top w:val="none" w:sz="0" w:space="0" w:color="auto"/>
        <w:left w:val="none" w:sz="0" w:space="0" w:color="auto"/>
        <w:bottom w:val="none" w:sz="0" w:space="0" w:color="auto"/>
        <w:right w:val="none" w:sz="0" w:space="0" w:color="auto"/>
      </w:divBdr>
    </w:div>
    <w:div w:id="559052479">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633801590">
      <w:bodyDiv w:val="1"/>
      <w:marLeft w:val="0"/>
      <w:marRight w:val="0"/>
      <w:marTop w:val="0"/>
      <w:marBottom w:val="0"/>
      <w:divBdr>
        <w:top w:val="none" w:sz="0" w:space="0" w:color="auto"/>
        <w:left w:val="none" w:sz="0" w:space="0" w:color="auto"/>
        <w:bottom w:val="none" w:sz="0" w:space="0" w:color="auto"/>
        <w:right w:val="none" w:sz="0" w:space="0" w:color="auto"/>
      </w:divBdr>
    </w:div>
    <w:div w:id="646713194">
      <w:bodyDiv w:val="1"/>
      <w:marLeft w:val="0"/>
      <w:marRight w:val="0"/>
      <w:marTop w:val="0"/>
      <w:marBottom w:val="0"/>
      <w:divBdr>
        <w:top w:val="none" w:sz="0" w:space="0" w:color="auto"/>
        <w:left w:val="none" w:sz="0" w:space="0" w:color="auto"/>
        <w:bottom w:val="none" w:sz="0" w:space="0" w:color="auto"/>
        <w:right w:val="none" w:sz="0" w:space="0" w:color="auto"/>
      </w:divBdr>
    </w:div>
    <w:div w:id="711078671">
      <w:bodyDiv w:val="1"/>
      <w:marLeft w:val="0"/>
      <w:marRight w:val="0"/>
      <w:marTop w:val="0"/>
      <w:marBottom w:val="0"/>
      <w:divBdr>
        <w:top w:val="none" w:sz="0" w:space="0" w:color="auto"/>
        <w:left w:val="none" w:sz="0" w:space="0" w:color="auto"/>
        <w:bottom w:val="none" w:sz="0" w:space="0" w:color="auto"/>
        <w:right w:val="none" w:sz="0" w:space="0" w:color="auto"/>
      </w:divBdr>
      <w:divsChild>
        <w:div w:id="638806296">
          <w:marLeft w:val="446"/>
          <w:marRight w:val="0"/>
          <w:marTop w:val="0"/>
          <w:marBottom w:val="0"/>
          <w:divBdr>
            <w:top w:val="none" w:sz="0" w:space="0" w:color="auto"/>
            <w:left w:val="none" w:sz="0" w:space="0" w:color="auto"/>
            <w:bottom w:val="none" w:sz="0" w:space="0" w:color="auto"/>
            <w:right w:val="none" w:sz="0" w:space="0" w:color="auto"/>
          </w:divBdr>
        </w:div>
      </w:divsChild>
    </w:div>
    <w:div w:id="725102384">
      <w:bodyDiv w:val="1"/>
      <w:marLeft w:val="0"/>
      <w:marRight w:val="0"/>
      <w:marTop w:val="0"/>
      <w:marBottom w:val="0"/>
      <w:divBdr>
        <w:top w:val="none" w:sz="0" w:space="0" w:color="auto"/>
        <w:left w:val="none" w:sz="0" w:space="0" w:color="auto"/>
        <w:bottom w:val="none" w:sz="0" w:space="0" w:color="auto"/>
        <w:right w:val="none" w:sz="0" w:space="0" w:color="auto"/>
      </w:divBdr>
      <w:divsChild>
        <w:div w:id="1853911015">
          <w:marLeft w:val="446"/>
          <w:marRight w:val="0"/>
          <w:marTop w:val="0"/>
          <w:marBottom w:val="0"/>
          <w:divBdr>
            <w:top w:val="none" w:sz="0" w:space="0" w:color="auto"/>
            <w:left w:val="none" w:sz="0" w:space="0" w:color="auto"/>
            <w:bottom w:val="none" w:sz="0" w:space="0" w:color="auto"/>
            <w:right w:val="none" w:sz="0" w:space="0" w:color="auto"/>
          </w:divBdr>
        </w:div>
      </w:divsChild>
    </w:div>
    <w:div w:id="739449826">
      <w:bodyDiv w:val="1"/>
      <w:marLeft w:val="0"/>
      <w:marRight w:val="0"/>
      <w:marTop w:val="0"/>
      <w:marBottom w:val="0"/>
      <w:divBdr>
        <w:top w:val="none" w:sz="0" w:space="0" w:color="auto"/>
        <w:left w:val="none" w:sz="0" w:space="0" w:color="auto"/>
        <w:bottom w:val="none" w:sz="0" w:space="0" w:color="auto"/>
        <w:right w:val="none" w:sz="0" w:space="0" w:color="auto"/>
      </w:divBdr>
    </w:div>
    <w:div w:id="834764678">
      <w:bodyDiv w:val="1"/>
      <w:marLeft w:val="0"/>
      <w:marRight w:val="0"/>
      <w:marTop w:val="0"/>
      <w:marBottom w:val="0"/>
      <w:divBdr>
        <w:top w:val="none" w:sz="0" w:space="0" w:color="auto"/>
        <w:left w:val="none" w:sz="0" w:space="0" w:color="auto"/>
        <w:bottom w:val="none" w:sz="0" w:space="0" w:color="auto"/>
        <w:right w:val="none" w:sz="0" w:space="0" w:color="auto"/>
      </w:divBdr>
    </w:div>
    <w:div w:id="841092223">
      <w:bodyDiv w:val="1"/>
      <w:marLeft w:val="0"/>
      <w:marRight w:val="0"/>
      <w:marTop w:val="0"/>
      <w:marBottom w:val="0"/>
      <w:divBdr>
        <w:top w:val="none" w:sz="0" w:space="0" w:color="auto"/>
        <w:left w:val="none" w:sz="0" w:space="0" w:color="auto"/>
        <w:bottom w:val="none" w:sz="0" w:space="0" w:color="auto"/>
        <w:right w:val="none" w:sz="0" w:space="0" w:color="auto"/>
      </w:divBdr>
    </w:div>
    <w:div w:id="877163568">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924805031">
      <w:bodyDiv w:val="1"/>
      <w:marLeft w:val="0"/>
      <w:marRight w:val="0"/>
      <w:marTop w:val="0"/>
      <w:marBottom w:val="0"/>
      <w:divBdr>
        <w:top w:val="none" w:sz="0" w:space="0" w:color="auto"/>
        <w:left w:val="none" w:sz="0" w:space="0" w:color="auto"/>
        <w:bottom w:val="none" w:sz="0" w:space="0" w:color="auto"/>
        <w:right w:val="none" w:sz="0" w:space="0" w:color="auto"/>
      </w:divBdr>
    </w:div>
    <w:div w:id="959191358">
      <w:bodyDiv w:val="1"/>
      <w:marLeft w:val="0"/>
      <w:marRight w:val="0"/>
      <w:marTop w:val="0"/>
      <w:marBottom w:val="0"/>
      <w:divBdr>
        <w:top w:val="none" w:sz="0" w:space="0" w:color="auto"/>
        <w:left w:val="none" w:sz="0" w:space="0" w:color="auto"/>
        <w:bottom w:val="none" w:sz="0" w:space="0" w:color="auto"/>
        <w:right w:val="none" w:sz="0" w:space="0" w:color="auto"/>
      </w:divBdr>
    </w:div>
    <w:div w:id="998731864">
      <w:bodyDiv w:val="1"/>
      <w:marLeft w:val="0"/>
      <w:marRight w:val="0"/>
      <w:marTop w:val="0"/>
      <w:marBottom w:val="0"/>
      <w:divBdr>
        <w:top w:val="none" w:sz="0" w:space="0" w:color="auto"/>
        <w:left w:val="none" w:sz="0" w:space="0" w:color="auto"/>
        <w:bottom w:val="none" w:sz="0" w:space="0" w:color="auto"/>
        <w:right w:val="none" w:sz="0" w:space="0" w:color="auto"/>
      </w:divBdr>
    </w:div>
    <w:div w:id="1003045247">
      <w:bodyDiv w:val="1"/>
      <w:marLeft w:val="0"/>
      <w:marRight w:val="0"/>
      <w:marTop w:val="0"/>
      <w:marBottom w:val="0"/>
      <w:divBdr>
        <w:top w:val="none" w:sz="0" w:space="0" w:color="auto"/>
        <w:left w:val="none" w:sz="0" w:space="0" w:color="auto"/>
        <w:bottom w:val="none" w:sz="0" w:space="0" w:color="auto"/>
        <w:right w:val="none" w:sz="0" w:space="0" w:color="auto"/>
      </w:divBdr>
    </w:div>
    <w:div w:id="1049384072">
      <w:bodyDiv w:val="1"/>
      <w:marLeft w:val="0"/>
      <w:marRight w:val="0"/>
      <w:marTop w:val="0"/>
      <w:marBottom w:val="0"/>
      <w:divBdr>
        <w:top w:val="none" w:sz="0" w:space="0" w:color="auto"/>
        <w:left w:val="none" w:sz="0" w:space="0" w:color="auto"/>
        <w:bottom w:val="none" w:sz="0" w:space="0" w:color="auto"/>
        <w:right w:val="none" w:sz="0" w:space="0" w:color="auto"/>
      </w:divBdr>
    </w:div>
    <w:div w:id="1109278370">
      <w:bodyDiv w:val="1"/>
      <w:marLeft w:val="0"/>
      <w:marRight w:val="0"/>
      <w:marTop w:val="0"/>
      <w:marBottom w:val="0"/>
      <w:divBdr>
        <w:top w:val="none" w:sz="0" w:space="0" w:color="auto"/>
        <w:left w:val="none" w:sz="0" w:space="0" w:color="auto"/>
        <w:bottom w:val="none" w:sz="0" w:space="0" w:color="auto"/>
        <w:right w:val="none" w:sz="0" w:space="0" w:color="auto"/>
      </w:divBdr>
    </w:div>
    <w:div w:id="1191068088">
      <w:bodyDiv w:val="1"/>
      <w:marLeft w:val="0"/>
      <w:marRight w:val="0"/>
      <w:marTop w:val="0"/>
      <w:marBottom w:val="0"/>
      <w:divBdr>
        <w:top w:val="none" w:sz="0" w:space="0" w:color="auto"/>
        <w:left w:val="none" w:sz="0" w:space="0" w:color="auto"/>
        <w:bottom w:val="none" w:sz="0" w:space="0" w:color="auto"/>
        <w:right w:val="none" w:sz="0" w:space="0" w:color="auto"/>
      </w:divBdr>
    </w:div>
    <w:div w:id="1200704873">
      <w:bodyDiv w:val="1"/>
      <w:marLeft w:val="0"/>
      <w:marRight w:val="0"/>
      <w:marTop w:val="0"/>
      <w:marBottom w:val="0"/>
      <w:divBdr>
        <w:top w:val="none" w:sz="0" w:space="0" w:color="auto"/>
        <w:left w:val="none" w:sz="0" w:space="0" w:color="auto"/>
        <w:bottom w:val="none" w:sz="0" w:space="0" w:color="auto"/>
        <w:right w:val="none" w:sz="0" w:space="0" w:color="auto"/>
      </w:divBdr>
    </w:div>
    <w:div w:id="1202591638">
      <w:bodyDiv w:val="1"/>
      <w:marLeft w:val="0"/>
      <w:marRight w:val="0"/>
      <w:marTop w:val="0"/>
      <w:marBottom w:val="0"/>
      <w:divBdr>
        <w:top w:val="none" w:sz="0" w:space="0" w:color="auto"/>
        <w:left w:val="none" w:sz="0" w:space="0" w:color="auto"/>
        <w:bottom w:val="none" w:sz="0" w:space="0" w:color="auto"/>
        <w:right w:val="none" w:sz="0" w:space="0" w:color="auto"/>
      </w:divBdr>
    </w:div>
    <w:div w:id="1245532611">
      <w:bodyDiv w:val="1"/>
      <w:marLeft w:val="0"/>
      <w:marRight w:val="0"/>
      <w:marTop w:val="0"/>
      <w:marBottom w:val="0"/>
      <w:divBdr>
        <w:top w:val="none" w:sz="0" w:space="0" w:color="auto"/>
        <w:left w:val="none" w:sz="0" w:space="0" w:color="auto"/>
        <w:bottom w:val="none" w:sz="0" w:space="0" w:color="auto"/>
        <w:right w:val="none" w:sz="0" w:space="0" w:color="auto"/>
      </w:divBdr>
    </w:div>
    <w:div w:id="1266383462">
      <w:bodyDiv w:val="1"/>
      <w:marLeft w:val="0"/>
      <w:marRight w:val="0"/>
      <w:marTop w:val="0"/>
      <w:marBottom w:val="0"/>
      <w:divBdr>
        <w:top w:val="none" w:sz="0" w:space="0" w:color="auto"/>
        <w:left w:val="none" w:sz="0" w:space="0" w:color="auto"/>
        <w:bottom w:val="none" w:sz="0" w:space="0" w:color="auto"/>
        <w:right w:val="none" w:sz="0" w:space="0" w:color="auto"/>
      </w:divBdr>
    </w:div>
    <w:div w:id="1323046932">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363748620">
      <w:bodyDiv w:val="1"/>
      <w:marLeft w:val="0"/>
      <w:marRight w:val="0"/>
      <w:marTop w:val="0"/>
      <w:marBottom w:val="0"/>
      <w:divBdr>
        <w:top w:val="none" w:sz="0" w:space="0" w:color="auto"/>
        <w:left w:val="none" w:sz="0" w:space="0" w:color="auto"/>
        <w:bottom w:val="none" w:sz="0" w:space="0" w:color="auto"/>
        <w:right w:val="none" w:sz="0" w:space="0" w:color="auto"/>
      </w:divBdr>
    </w:div>
    <w:div w:id="1427458493">
      <w:bodyDiv w:val="1"/>
      <w:marLeft w:val="0"/>
      <w:marRight w:val="0"/>
      <w:marTop w:val="0"/>
      <w:marBottom w:val="0"/>
      <w:divBdr>
        <w:top w:val="none" w:sz="0" w:space="0" w:color="auto"/>
        <w:left w:val="none" w:sz="0" w:space="0" w:color="auto"/>
        <w:bottom w:val="none" w:sz="0" w:space="0" w:color="auto"/>
        <w:right w:val="none" w:sz="0" w:space="0" w:color="auto"/>
      </w:divBdr>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959">
      <w:bodyDiv w:val="1"/>
      <w:marLeft w:val="0"/>
      <w:marRight w:val="0"/>
      <w:marTop w:val="0"/>
      <w:marBottom w:val="0"/>
      <w:divBdr>
        <w:top w:val="none" w:sz="0" w:space="0" w:color="auto"/>
        <w:left w:val="none" w:sz="0" w:space="0" w:color="auto"/>
        <w:bottom w:val="none" w:sz="0" w:space="0" w:color="auto"/>
        <w:right w:val="none" w:sz="0" w:space="0" w:color="auto"/>
      </w:divBdr>
    </w:div>
    <w:div w:id="1497919141">
      <w:bodyDiv w:val="1"/>
      <w:marLeft w:val="0"/>
      <w:marRight w:val="0"/>
      <w:marTop w:val="0"/>
      <w:marBottom w:val="0"/>
      <w:divBdr>
        <w:top w:val="none" w:sz="0" w:space="0" w:color="auto"/>
        <w:left w:val="none" w:sz="0" w:space="0" w:color="auto"/>
        <w:bottom w:val="none" w:sz="0" w:space="0" w:color="auto"/>
        <w:right w:val="none" w:sz="0" w:space="0" w:color="auto"/>
      </w:divBdr>
    </w:div>
    <w:div w:id="1511673237">
      <w:bodyDiv w:val="1"/>
      <w:marLeft w:val="0"/>
      <w:marRight w:val="0"/>
      <w:marTop w:val="0"/>
      <w:marBottom w:val="0"/>
      <w:divBdr>
        <w:top w:val="none" w:sz="0" w:space="0" w:color="auto"/>
        <w:left w:val="none" w:sz="0" w:space="0" w:color="auto"/>
        <w:bottom w:val="none" w:sz="0" w:space="0" w:color="auto"/>
        <w:right w:val="none" w:sz="0" w:space="0" w:color="auto"/>
      </w:divBdr>
    </w:div>
    <w:div w:id="1612592859">
      <w:bodyDiv w:val="1"/>
      <w:marLeft w:val="0"/>
      <w:marRight w:val="0"/>
      <w:marTop w:val="0"/>
      <w:marBottom w:val="0"/>
      <w:divBdr>
        <w:top w:val="none" w:sz="0" w:space="0" w:color="auto"/>
        <w:left w:val="none" w:sz="0" w:space="0" w:color="auto"/>
        <w:bottom w:val="none" w:sz="0" w:space="0" w:color="auto"/>
        <w:right w:val="none" w:sz="0" w:space="0" w:color="auto"/>
      </w:divBdr>
    </w:div>
    <w:div w:id="1708018657">
      <w:bodyDiv w:val="1"/>
      <w:marLeft w:val="0"/>
      <w:marRight w:val="0"/>
      <w:marTop w:val="0"/>
      <w:marBottom w:val="0"/>
      <w:divBdr>
        <w:top w:val="none" w:sz="0" w:space="0" w:color="auto"/>
        <w:left w:val="none" w:sz="0" w:space="0" w:color="auto"/>
        <w:bottom w:val="none" w:sz="0" w:space="0" w:color="auto"/>
        <w:right w:val="none" w:sz="0" w:space="0" w:color="auto"/>
      </w:divBdr>
    </w:div>
    <w:div w:id="1717387127">
      <w:bodyDiv w:val="1"/>
      <w:marLeft w:val="0"/>
      <w:marRight w:val="0"/>
      <w:marTop w:val="0"/>
      <w:marBottom w:val="0"/>
      <w:divBdr>
        <w:top w:val="none" w:sz="0" w:space="0" w:color="auto"/>
        <w:left w:val="none" w:sz="0" w:space="0" w:color="auto"/>
        <w:bottom w:val="none" w:sz="0" w:space="0" w:color="auto"/>
        <w:right w:val="none" w:sz="0" w:space="0" w:color="auto"/>
      </w:divBdr>
    </w:div>
    <w:div w:id="1765611887">
      <w:bodyDiv w:val="1"/>
      <w:marLeft w:val="0"/>
      <w:marRight w:val="0"/>
      <w:marTop w:val="0"/>
      <w:marBottom w:val="0"/>
      <w:divBdr>
        <w:top w:val="none" w:sz="0" w:space="0" w:color="auto"/>
        <w:left w:val="none" w:sz="0" w:space="0" w:color="auto"/>
        <w:bottom w:val="none" w:sz="0" w:space="0" w:color="auto"/>
        <w:right w:val="none" w:sz="0" w:space="0" w:color="auto"/>
      </w:divBdr>
    </w:div>
    <w:div w:id="1805463525">
      <w:bodyDiv w:val="1"/>
      <w:marLeft w:val="0"/>
      <w:marRight w:val="0"/>
      <w:marTop w:val="0"/>
      <w:marBottom w:val="0"/>
      <w:divBdr>
        <w:top w:val="none" w:sz="0" w:space="0" w:color="auto"/>
        <w:left w:val="none" w:sz="0" w:space="0" w:color="auto"/>
        <w:bottom w:val="none" w:sz="0" w:space="0" w:color="auto"/>
        <w:right w:val="none" w:sz="0" w:space="0" w:color="auto"/>
      </w:divBdr>
    </w:div>
    <w:div w:id="1863594986">
      <w:bodyDiv w:val="1"/>
      <w:marLeft w:val="0"/>
      <w:marRight w:val="0"/>
      <w:marTop w:val="0"/>
      <w:marBottom w:val="0"/>
      <w:divBdr>
        <w:top w:val="none" w:sz="0" w:space="0" w:color="auto"/>
        <w:left w:val="none" w:sz="0" w:space="0" w:color="auto"/>
        <w:bottom w:val="none" w:sz="0" w:space="0" w:color="auto"/>
        <w:right w:val="none" w:sz="0" w:space="0" w:color="auto"/>
      </w:divBdr>
    </w:div>
    <w:div w:id="1903756026">
      <w:bodyDiv w:val="1"/>
      <w:marLeft w:val="0"/>
      <w:marRight w:val="0"/>
      <w:marTop w:val="0"/>
      <w:marBottom w:val="0"/>
      <w:divBdr>
        <w:top w:val="none" w:sz="0" w:space="0" w:color="auto"/>
        <w:left w:val="none" w:sz="0" w:space="0" w:color="auto"/>
        <w:bottom w:val="none" w:sz="0" w:space="0" w:color="auto"/>
        <w:right w:val="none" w:sz="0" w:space="0" w:color="auto"/>
      </w:divBdr>
    </w:div>
    <w:div w:id="1910116945">
      <w:bodyDiv w:val="1"/>
      <w:marLeft w:val="0"/>
      <w:marRight w:val="0"/>
      <w:marTop w:val="0"/>
      <w:marBottom w:val="0"/>
      <w:divBdr>
        <w:top w:val="none" w:sz="0" w:space="0" w:color="auto"/>
        <w:left w:val="none" w:sz="0" w:space="0" w:color="auto"/>
        <w:bottom w:val="none" w:sz="0" w:space="0" w:color="auto"/>
        <w:right w:val="none" w:sz="0" w:space="0" w:color="auto"/>
      </w:divBdr>
    </w:div>
    <w:div w:id="1912494872">
      <w:bodyDiv w:val="1"/>
      <w:marLeft w:val="0"/>
      <w:marRight w:val="0"/>
      <w:marTop w:val="0"/>
      <w:marBottom w:val="0"/>
      <w:divBdr>
        <w:top w:val="none" w:sz="0" w:space="0" w:color="auto"/>
        <w:left w:val="none" w:sz="0" w:space="0" w:color="auto"/>
        <w:bottom w:val="none" w:sz="0" w:space="0" w:color="auto"/>
        <w:right w:val="none" w:sz="0" w:space="0" w:color="auto"/>
      </w:divBdr>
    </w:div>
    <w:div w:id="1985817010">
      <w:bodyDiv w:val="1"/>
      <w:marLeft w:val="0"/>
      <w:marRight w:val="0"/>
      <w:marTop w:val="0"/>
      <w:marBottom w:val="0"/>
      <w:divBdr>
        <w:top w:val="none" w:sz="0" w:space="0" w:color="auto"/>
        <w:left w:val="none" w:sz="0" w:space="0" w:color="auto"/>
        <w:bottom w:val="none" w:sz="0" w:space="0" w:color="auto"/>
        <w:right w:val="none" w:sz="0" w:space="0" w:color="auto"/>
      </w:divBdr>
      <w:divsChild>
        <w:div w:id="344670929">
          <w:marLeft w:val="907"/>
          <w:marRight w:val="0"/>
          <w:marTop w:val="0"/>
          <w:marBottom w:val="0"/>
          <w:divBdr>
            <w:top w:val="none" w:sz="0" w:space="0" w:color="auto"/>
            <w:left w:val="none" w:sz="0" w:space="0" w:color="auto"/>
            <w:bottom w:val="none" w:sz="0" w:space="0" w:color="auto"/>
            <w:right w:val="none" w:sz="0" w:space="0" w:color="auto"/>
          </w:divBdr>
        </w:div>
        <w:div w:id="470753546">
          <w:marLeft w:val="547"/>
          <w:marRight w:val="0"/>
          <w:marTop w:val="0"/>
          <w:marBottom w:val="0"/>
          <w:divBdr>
            <w:top w:val="none" w:sz="0" w:space="0" w:color="auto"/>
            <w:left w:val="none" w:sz="0" w:space="0" w:color="auto"/>
            <w:bottom w:val="none" w:sz="0" w:space="0" w:color="auto"/>
            <w:right w:val="none" w:sz="0" w:space="0" w:color="auto"/>
          </w:divBdr>
        </w:div>
        <w:div w:id="562526345">
          <w:marLeft w:val="547"/>
          <w:marRight w:val="0"/>
          <w:marTop w:val="0"/>
          <w:marBottom w:val="0"/>
          <w:divBdr>
            <w:top w:val="none" w:sz="0" w:space="0" w:color="auto"/>
            <w:left w:val="none" w:sz="0" w:space="0" w:color="auto"/>
            <w:bottom w:val="none" w:sz="0" w:space="0" w:color="auto"/>
            <w:right w:val="none" w:sz="0" w:space="0" w:color="auto"/>
          </w:divBdr>
        </w:div>
        <w:div w:id="909193958">
          <w:marLeft w:val="907"/>
          <w:marRight w:val="0"/>
          <w:marTop w:val="0"/>
          <w:marBottom w:val="0"/>
          <w:divBdr>
            <w:top w:val="none" w:sz="0" w:space="0" w:color="auto"/>
            <w:left w:val="none" w:sz="0" w:space="0" w:color="auto"/>
            <w:bottom w:val="none" w:sz="0" w:space="0" w:color="auto"/>
            <w:right w:val="none" w:sz="0" w:space="0" w:color="auto"/>
          </w:divBdr>
        </w:div>
        <w:div w:id="1146625880">
          <w:marLeft w:val="907"/>
          <w:marRight w:val="0"/>
          <w:marTop w:val="0"/>
          <w:marBottom w:val="0"/>
          <w:divBdr>
            <w:top w:val="none" w:sz="0" w:space="0" w:color="auto"/>
            <w:left w:val="none" w:sz="0" w:space="0" w:color="auto"/>
            <w:bottom w:val="none" w:sz="0" w:space="0" w:color="auto"/>
            <w:right w:val="none" w:sz="0" w:space="0" w:color="auto"/>
          </w:divBdr>
        </w:div>
        <w:div w:id="1547059186">
          <w:marLeft w:val="547"/>
          <w:marRight w:val="0"/>
          <w:marTop w:val="0"/>
          <w:marBottom w:val="0"/>
          <w:divBdr>
            <w:top w:val="none" w:sz="0" w:space="0" w:color="auto"/>
            <w:left w:val="none" w:sz="0" w:space="0" w:color="auto"/>
            <w:bottom w:val="none" w:sz="0" w:space="0" w:color="auto"/>
            <w:right w:val="none" w:sz="0" w:space="0" w:color="auto"/>
          </w:divBdr>
        </w:div>
        <w:div w:id="2097633183">
          <w:marLeft w:val="907"/>
          <w:marRight w:val="0"/>
          <w:marTop w:val="0"/>
          <w:marBottom w:val="0"/>
          <w:divBdr>
            <w:top w:val="none" w:sz="0" w:space="0" w:color="auto"/>
            <w:left w:val="none" w:sz="0" w:space="0" w:color="auto"/>
            <w:bottom w:val="none" w:sz="0" w:space="0" w:color="auto"/>
            <w:right w:val="none" w:sz="0" w:space="0" w:color="auto"/>
          </w:divBdr>
        </w:div>
      </w:divsChild>
    </w:div>
    <w:div w:id="2009016320">
      <w:bodyDiv w:val="1"/>
      <w:marLeft w:val="0"/>
      <w:marRight w:val="0"/>
      <w:marTop w:val="0"/>
      <w:marBottom w:val="0"/>
      <w:divBdr>
        <w:top w:val="none" w:sz="0" w:space="0" w:color="auto"/>
        <w:left w:val="none" w:sz="0" w:space="0" w:color="auto"/>
        <w:bottom w:val="none" w:sz="0" w:space="0" w:color="auto"/>
        <w:right w:val="none" w:sz="0" w:space="0" w:color="auto"/>
      </w:divBdr>
    </w:div>
    <w:div w:id="2041125737">
      <w:bodyDiv w:val="1"/>
      <w:marLeft w:val="0"/>
      <w:marRight w:val="0"/>
      <w:marTop w:val="0"/>
      <w:marBottom w:val="0"/>
      <w:divBdr>
        <w:top w:val="none" w:sz="0" w:space="0" w:color="auto"/>
        <w:left w:val="none" w:sz="0" w:space="0" w:color="auto"/>
        <w:bottom w:val="none" w:sz="0" w:space="0" w:color="auto"/>
        <w:right w:val="none" w:sz="0" w:space="0" w:color="auto"/>
      </w:divBdr>
    </w:div>
    <w:div w:id="2056732134">
      <w:bodyDiv w:val="1"/>
      <w:marLeft w:val="0"/>
      <w:marRight w:val="0"/>
      <w:marTop w:val="0"/>
      <w:marBottom w:val="0"/>
      <w:divBdr>
        <w:top w:val="none" w:sz="0" w:space="0" w:color="auto"/>
        <w:left w:val="none" w:sz="0" w:space="0" w:color="auto"/>
        <w:bottom w:val="none" w:sz="0" w:space="0" w:color="auto"/>
        <w:right w:val="none" w:sz="0" w:space="0" w:color="auto"/>
      </w:divBdr>
    </w:div>
    <w:div w:id="208063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3.png"/><Relationship Id="rId21" Type="http://schemas.openxmlformats.org/officeDocument/2006/relationships/image" Target="media/image9.png"/><Relationship Id="rId42" Type="http://schemas.openxmlformats.org/officeDocument/2006/relationships/hyperlink" Target="http://newbuildings.org/getting-zero-2012-status-update-first-look-costs-and-features-zero-energy-commercial-buildings" TargetMode="External"/><Relationship Id="rId47" Type="http://schemas.openxmlformats.org/officeDocument/2006/relationships/hyperlink" Target="http://www.energy.ca.gov/title24/2016standards/rulemaking/documents/NOPA_title24_parts_01_06.pdf"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file:///C:\Users\asathe1\Desktop\2018%20and%20BeyondPotentialandGoalsResults_DRAFT_INTERNAL_FULL_060617.xlsm" TargetMode="External"/><Relationship Id="rId89" Type="http://schemas.openxmlformats.org/officeDocument/2006/relationships/hyperlink" Target="file:///C:\Users\asathe1\Desktop\2018%20and%20BeyondPotentialandGoalsResults_DRAFT_INTERNAL_FULL_060617.xlsm" TargetMode="External"/><Relationship Id="rId112" Type="http://schemas.openxmlformats.org/officeDocument/2006/relationships/hyperlink" Target="file:///C:\Users\asathe1\Desktop\2018%20and%20BeyondPotentialandGoalsResults_DRAFT_INTERNAL_FULL_060617.xlsm" TargetMode="External"/><Relationship Id="rId16" Type="http://schemas.openxmlformats.org/officeDocument/2006/relationships/image" Target="media/image4.jpeg"/><Relationship Id="rId107" Type="http://schemas.openxmlformats.org/officeDocument/2006/relationships/hyperlink" Target="file:///C:\Users\asathe1\Desktop\2018%20and%20BeyondPotentialandGoalsResults_DRAFT_INTERNAL_FULL_060617.xlsm" TargetMode="External"/><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diagramLayout" Target="diagrams/layout1.xml"/><Relationship Id="rId58" Type="http://schemas.openxmlformats.org/officeDocument/2006/relationships/diagramLayout" Target="diagrams/layout2.xml"/><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hyperlink" Target="file:///C:\Users\asathe1\Desktop\2018%20and%20BeyondPotentialandGoalsResults_DRAFT_INTERNAL_FULL_060617.xlsm" TargetMode="External"/><Relationship Id="rId123" Type="http://schemas.openxmlformats.org/officeDocument/2006/relationships/theme" Target="theme/theme1.xml"/><Relationship Id="rId5" Type="http://schemas.openxmlformats.org/officeDocument/2006/relationships/numbering" Target="numbering.xml"/><Relationship Id="rId61" Type="http://schemas.microsoft.com/office/2007/relationships/diagramDrawing" Target="diagrams/drawing2.xml"/><Relationship Id="rId82" Type="http://schemas.openxmlformats.org/officeDocument/2006/relationships/hyperlink" Target="file:///C:\Users\asathe1\Desktop\2018%20and%20BeyondPotentialandGoalsResults_DRAFT_INTERNAL_FULL_060617.xlsm" TargetMode="External"/><Relationship Id="rId90" Type="http://schemas.openxmlformats.org/officeDocument/2006/relationships/hyperlink" Target="file:///C:\Users\asathe1\Desktop\2018%20and%20BeyondPotentialandGoalsResults_DRAFT_INTERNAL_FULL_060617.xlsm" TargetMode="External"/><Relationship Id="rId95" Type="http://schemas.openxmlformats.org/officeDocument/2006/relationships/hyperlink" Target="file:///C:\Users\asathe1\Desktop\2018%20and%20BeyondPotentialandGoalsResults_DRAFT_INTERNAL_FULL_060617.xlsm" TargetMode="Externa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rsmeansonline.com" TargetMode="External"/><Relationship Id="rId48" Type="http://schemas.openxmlformats.org/officeDocument/2006/relationships/hyperlink" Target="http://www.energy.ca.gov/title24/2013standards/rulemaking/documents/final_rulemaking_documents/05_Impact_Analysis.pdf" TargetMode="External"/><Relationship Id="rId56" Type="http://schemas.microsoft.com/office/2007/relationships/diagramDrawing" Target="diagrams/drawing1.xml"/><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hyperlink" Target="file:///C:\Users\asathe1\Desktop\2018%20and%20BeyondPotentialandGoalsResults_DRAFT_INTERNAL_FULL_060617.xlsm" TargetMode="External"/><Relationship Id="rId105" Type="http://schemas.openxmlformats.org/officeDocument/2006/relationships/hyperlink" Target="file:///C:\Users\asathe1\Desktop\2018%20and%20BeyondPotentialandGoalsResults_DRAFT_INTERNAL_FULL_060617.xlsm" TargetMode="External"/><Relationship Id="rId113" Type="http://schemas.openxmlformats.org/officeDocument/2006/relationships/hyperlink" Target="file:///C:\Users\asathe1\Desktop\2018%20and%20BeyondPotentialandGoalsResults_DRAFT_INTERNAL_FULL_060617.xlsm" TargetMode="External"/><Relationship Id="rId118"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yperlink" Target="file:///C:\Users\asathe1\Desktop\2018%20and%20BeyondPotentialandGoalsResults_DRAFT_INTERNAL_FULL_060617.xlsm" TargetMode="External"/><Relationship Id="rId93" Type="http://schemas.openxmlformats.org/officeDocument/2006/relationships/hyperlink" Target="file:///C:\Users\asathe1\Desktop\2018%20and%20BeyondPotentialandGoalsResults_DRAFT_INTERNAL_FULL_060617.xlsm" TargetMode="External"/><Relationship Id="rId98" Type="http://schemas.openxmlformats.org/officeDocument/2006/relationships/hyperlink" Target="file:///C:\Users\asathe1\Desktop\2018%20and%20BeyondPotentialandGoalsResults_DRAFT_INTERNAL_FULL_060617.xlsm" TargetMode="External"/><Relationship Id="rId121"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energy.ca.gov/title24/2013standards/rulemaking/documents/final_rulemaking_documents/05_Impact_Analysis.pdf" TargetMode="External"/><Relationship Id="rId59" Type="http://schemas.openxmlformats.org/officeDocument/2006/relationships/diagramQuickStyle" Target="diagrams/quickStyle2.xml"/><Relationship Id="rId67" Type="http://schemas.openxmlformats.org/officeDocument/2006/relationships/image" Target="media/image35.png"/><Relationship Id="rId103" Type="http://schemas.openxmlformats.org/officeDocument/2006/relationships/hyperlink" Target="file:///C:\Users\asathe1\Desktop\2018%20and%20BeyondPotentialandGoalsResults_DRAFT_INTERNAL_FULL_060617.xlsm" TargetMode="External"/><Relationship Id="rId108" Type="http://schemas.openxmlformats.org/officeDocument/2006/relationships/hyperlink" Target="file:///C:\Users\asathe1\Desktop\2018%20and%20BeyondPotentialandGoalsResults_DRAFT_INTERNAL_FULL_060617.xlsm" TargetMode="External"/><Relationship Id="rId116"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hyperlink" Target="http://www.energy.ca.gov/title24/2016standards/rulemaking/documents/NOPA_title24_parts_01_06.pdf" TargetMode="External"/><Relationship Id="rId54" Type="http://schemas.openxmlformats.org/officeDocument/2006/relationships/diagramQuickStyle" Target="diagrams/quickStyle1.xml"/><Relationship Id="rId62" Type="http://schemas.openxmlformats.org/officeDocument/2006/relationships/image" Target="media/image30.emf"/><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yperlink" Target="file:///C:\Users\asathe1\Desktop\2018%20and%20BeyondPotentialandGoalsResults_DRAFT_INTERNAL_FULL_060617.xlsm" TargetMode="External"/><Relationship Id="rId88" Type="http://schemas.openxmlformats.org/officeDocument/2006/relationships/hyperlink" Target="file:///C:\Users\asathe1\Desktop\2018%20and%20BeyondPotentialandGoalsResults_DRAFT_INTERNAL_FULL_060617.xlsm" TargetMode="External"/><Relationship Id="rId91" Type="http://schemas.openxmlformats.org/officeDocument/2006/relationships/hyperlink" Target="file:///C:\Users\asathe1\Desktop\2018%20and%20BeyondPotentialandGoalsResults_DRAFT_INTERNAL_FULL_060617.xlsm" TargetMode="External"/><Relationship Id="rId96" Type="http://schemas.openxmlformats.org/officeDocument/2006/relationships/hyperlink" Target="file:///C:\Users\asathe1\Desktop\2018%20and%20BeyondPotentialandGoalsResults_DRAFT_INTERNAL_FULL_060617.xlsm" TargetMode="External"/><Relationship Id="rId111" Type="http://schemas.openxmlformats.org/officeDocument/2006/relationships/hyperlink" Target="file:///C:\Users\asathe1\Desktop\2018%20and%20BeyondPotentialandGoalsResults_DRAFT_INTERNAL_FULL_060617.xls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8.png"/><Relationship Id="rId57" Type="http://schemas.openxmlformats.org/officeDocument/2006/relationships/diagramData" Target="diagrams/data2.xml"/><Relationship Id="rId106" Type="http://schemas.openxmlformats.org/officeDocument/2006/relationships/hyperlink" Target="file:///C:\Users\asathe1\Desktop\2018%20and%20BeyondPotentialandGoalsResults_DRAFT_INTERNAL_FULL_060617.xlsm" TargetMode="External"/><Relationship Id="rId114" Type="http://schemas.openxmlformats.org/officeDocument/2006/relationships/image" Target="media/image50.png"/><Relationship Id="rId119"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www.energy.ca.gov/2013publications/CEC-400-2013-008/CEC-400-2013-008.pdf" TargetMode="External"/><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file:///C:\Users\asathe1\Desktop\2018%20and%20BeyondPotentialandGoalsResults_DRAFT_INTERNAL_FULL_060617.xlsm" TargetMode="External"/><Relationship Id="rId94" Type="http://schemas.openxmlformats.org/officeDocument/2006/relationships/hyperlink" Target="file:///C:\Users\asathe1\Desktop\2018%20and%20BeyondPotentialandGoalsResults_DRAFT_INTERNAL_FULL_060617.xlsm" TargetMode="External"/><Relationship Id="rId99" Type="http://schemas.openxmlformats.org/officeDocument/2006/relationships/hyperlink" Target="file:///C:\Users\asathe1\Desktop\2018%20and%20BeyondPotentialandGoalsResults_DRAFT_INTERNAL_FULL_060617.xlsm" TargetMode="External"/><Relationship Id="rId101" Type="http://schemas.openxmlformats.org/officeDocument/2006/relationships/hyperlink" Target="file:///C:\Users\asathe1\Desktop\2018%20and%20BeyondPotentialandGoalsResults_DRAFT_INTERNAL_FULL_060617.xlsm"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yperlink" Target="file:///C:\Users\asathe1\Desktop\2018%20and%20BeyondPotentialandGoalsResults_DRAFT_INTERNAL_FULL_060617.xlsm" TargetMode="External"/><Relationship Id="rId34" Type="http://schemas.openxmlformats.org/officeDocument/2006/relationships/image" Target="media/image22.png"/><Relationship Id="rId50" Type="http://schemas.openxmlformats.org/officeDocument/2006/relationships/hyperlink" Target="http://www.calmac.org/publications/CPUC_HUP_Focused_Evaluation-FINAL_05-03-16atr.pdf" TargetMode="External"/><Relationship Id="rId55" Type="http://schemas.openxmlformats.org/officeDocument/2006/relationships/diagramColors" Target="diagrams/colors1.xml"/><Relationship Id="rId76" Type="http://schemas.openxmlformats.org/officeDocument/2006/relationships/image" Target="media/image44.png"/><Relationship Id="rId97" Type="http://schemas.openxmlformats.org/officeDocument/2006/relationships/hyperlink" Target="file:///C:\Users\asathe1\Desktop\2018%20and%20BeyondPotentialandGoalsResults_DRAFT_INTERNAL_FULL_060617.xlsm" TargetMode="External"/><Relationship Id="rId104" Type="http://schemas.openxmlformats.org/officeDocument/2006/relationships/hyperlink" Target="file:///C:\Users\asathe1\Desktop\2018%20and%20BeyondPotentialandGoalsResults_DRAFT_INTERNAL_FULL_060617.xlsm" TargetMode="External"/><Relationship Id="rId120"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hyperlink" Target="file:///C:\Users\asathe1\Desktop\2018%20and%20BeyondPotentialandGoalsResults_DRAFT_INTERNAL_FULL_060617.xlsm"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www.energy.ca.gov/title24/2013standards/rulemaking/documents/final_rulemaking_documents/05_Impact_Analysis.pdf" TargetMode="External"/><Relationship Id="rId45" Type="http://schemas.openxmlformats.org/officeDocument/2006/relationships/hyperlink" Target="http://www.energy.ca.gov/title24/2016standards/rulemaking/documents/15-day_language/impact_analysis/2016_Impact_Analysis_2015-06-03.pdf" TargetMode="External"/><Relationship Id="rId66" Type="http://schemas.openxmlformats.org/officeDocument/2006/relationships/image" Target="media/image34.png"/><Relationship Id="rId87" Type="http://schemas.openxmlformats.org/officeDocument/2006/relationships/hyperlink" Target="file:///C:\Users\asathe1\Desktop\2018%20and%20BeyondPotentialandGoalsResults_DRAFT_INTERNAL_FULL_060617.xlsm" TargetMode="External"/><Relationship Id="rId110" Type="http://schemas.openxmlformats.org/officeDocument/2006/relationships/hyperlink" Target="file:///C:\Users\asathe1\Desktop\2018%20and%20BeyondPotentialandGoalsResults_DRAFT_INTERNAL_FULL_060617.xlsm" TargetMode="External"/><Relationship Id="rId115" Type="http://schemas.openxmlformats.org/officeDocument/2006/relationships/image" Target="media/image51.png"/></Relationships>
</file>

<file path=word/_rels/footnotes.xml.rels><?xml version="1.0" encoding="UTF-8" standalone="yes"?>
<Relationships xmlns="http://schemas.openxmlformats.org/package/2006/relationships"><Relationship Id="rId8" Type="http://schemas.openxmlformats.org/officeDocument/2006/relationships/hyperlink" Target="http://demandanalysisworkinggroup.org/event/energy-savings-pup-cpuc-2018-beyond-ee-potential-goals-study-model-calibration-and-forecasting-scenarios/?instance_id=445" TargetMode="External"/><Relationship Id="rId13" Type="http://schemas.openxmlformats.org/officeDocument/2006/relationships/hyperlink" Target="http://eestats.cpuc.ca.gov/Views/EEDataPortal.aspx" TargetMode="External"/><Relationship Id="rId18" Type="http://schemas.openxmlformats.org/officeDocument/2006/relationships/hyperlink" Target="http://www.ilsag.info/technical-reference-manual.html" TargetMode="External"/><Relationship Id="rId26" Type="http://schemas.openxmlformats.org/officeDocument/2006/relationships/hyperlink" Target="http://www.energydataweb.com/cpuc/search.aspx" TargetMode="External"/><Relationship Id="rId3" Type="http://schemas.openxmlformats.org/officeDocument/2006/relationships/hyperlink" Target="https://mail.cpuc.ca.gov/owa/redir.aspx?C=72sV4y8u715XkXKj1CiYzy4dculKYjpKBYOvgu5p991iJJvHOKXUCA..&amp;URL=http%3a%2f%2fdocs.cpuc.ca.gov%2fPublishedDocs%2fEfile%2fG000%2fM185%2fK576%2f185576217.PDF" TargetMode="External"/><Relationship Id="rId21" Type="http://schemas.openxmlformats.org/officeDocument/2006/relationships/hyperlink" Target="http://eestats.cpuc.ca.gov/Default.aspx" TargetMode="External"/><Relationship Id="rId7" Type="http://schemas.openxmlformats.org/officeDocument/2006/relationships/hyperlink" Target="https://www.wbdg.org/FFC/FED/OMB/OMB-Circular-A94.pdf" TargetMode="External"/><Relationship Id="rId12" Type="http://schemas.openxmlformats.org/officeDocument/2006/relationships/hyperlink" Target="https://mail.cpuc.ca.gov/owa/redir.aspx?C=72sV4y8u715XkXKj1CiYzy4dculKYjpKBYOvgu5p991iJJvHOKXUCA..&amp;URL=http%3a%2f%2fdocs.cpuc.ca.gov%2fPublishedDocs%2fEfile%2fG000%2fM185%2fK576%2f185576217.PDF" TargetMode="External"/><Relationship Id="rId17" Type="http://schemas.openxmlformats.org/officeDocument/2006/relationships/hyperlink" Target="http://www.cpuc.ca.gov/General.aspx?id=6442452619" TargetMode="External"/><Relationship Id="rId25" Type="http://schemas.openxmlformats.org/officeDocument/2006/relationships/hyperlink" Target="http://eestats.cpuc.ca.gov/" TargetMode="External"/><Relationship Id="rId2" Type="http://schemas.openxmlformats.org/officeDocument/2006/relationships/hyperlink" Target="http://demandanalysisworkinggroup.org/" TargetMode="External"/><Relationship Id="rId16" Type="http://schemas.openxmlformats.org/officeDocument/2006/relationships/hyperlink" Target="http://apps1.eere.energy.gov/buildings/publications/pdfs/ssl/2010-lmc-final-jan-2012.pdf" TargetMode="External"/><Relationship Id="rId20" Type="http://schemas.openxmlformats.org/officeDocument/2006/relationships/hyperlink" Target="https://energy.gov/sites/prod/files/2015/05/f22/energysavingsforecast14.pdf" TargetMode="External"/><Relationship Id="rId1" Type="http://schemas.openxmlformats.org/officeDocument/2006/relationships/hyperlink" Target="http://docs.cpuc.ca.gov/SearchRes.aspx?DocFormat=ALL&amp;DocID=173203676" TargetMode="External"/><Relationship Id="rId6" Type="http://schemas.openxmlformats.org/officeDocument/2006/relationships/hyperlink" Target="http://www.cpuc.ca.gov/General.aspx?id=6442452619" TargetMode="External"/><Relationship Id="rId11" Type="http://schemas.openxmlformats.org/officeDocument/2006/relationships/hyperlink" Target="http://docs.cpuc.ca.gov/PublishedDocs/Efile/G000/M182/K363/182363230.PDF" TargetMode="External"/><Relationship Id="rId24" Type="http://schemas.openxmlformats.org/officeDocument/2006/relationships/hyperlink" Target="https://www4.eere.energy.gov/seeaction/system/files/documents/publications/chapters/onbill_financing_appendix.pdf" TargetMode="External"/><Relationship Id="rId5" Type="http://schemas.openxmlformats.org/officeDocument/2006/relationships/hyperlink" Target="http://demandanalysisworkinggroup.org/" TargetMode="External"/><Relationship Id="rId15" Type="http://schemas.openxmlformats.org/officeDocument/2006/relationships/hyperlink" Target="http://apps1.eere.energy.gov/buildings/publications/pdfs/ssl/2010-lmc-final-jan-2012.pdf" TargetMode="External"/><Relationship Id="rId23" Type="http://schemas.openxmlformats.org/officeDocument/2006/relationships/hyperlink" Target="http://www.gao.gov/assets/690/682586.pdf" TargetMode="External"/><Relationship Id="rId10" Type="http://schemas.openxmlformats.org/officeDocument/2006/relationships/hyperlink" Target="http://ecdms.energy.ca.gov/" TargetMode="External"/><Relationship Id="rId19" Type="http://schemas.openxmlformats.org/officeDocument/2006/relationships/hyperlink" Target="http://www.michigan.gov/mpsc/0,4639,7-159-52495_55129---,00.html" TargetMode="External"/><Relationship Id="rId4" Type="http://schemas.openxmlformats.org/officeDocument/2006/relationships/hyperlink" Target="http://docs.cpuc.ca.gov/SearchRes.aspx?DocFormat=ALL&amp;DocID=173203676" TargetMode="External"/><Relationship Id="rId9" Type="http://schemas.openxmlformats.org/officeDocument/2006/relationships/hyperlink" Target="https://mail.cpuc.ca.gov/owa/redir.aspx?C=72sV4y8u715XkXKj1CiYzy4dculKYjpKBYOvgu5p991iJJvHOKXUCA..&amp;URL=http%3a%2f%2fdocs.cpuc.ca.gov%2fPublishedDocs%2fEfile%2fG000%2fM185%2fK576%2f185576217.PDF" TargetMode="External"/><Relationship Id="rId14" Type="http://schemas.openxmlformats.org/officeDocument/2006/relationships/hyperlink" Target="http://eestats.cpuc.ca.gov/Views/EEDataPortal.aspx" TargetMode="External"/><Relationship Id="rId22" Type="http://schemas.openxmlformats.org/officeDocument/2006/relationships/hyperlink" Target="http://www.thecheef.com/lender-ch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23B17A-1B97-4857-BA77-63171F3CBA7C}" type="doc">
      <dgm:prSet loTypeId="urn:microsoft.com/office/officeart/2005/8/layout/hProcess7" loCatId="process" qsTypeId="urn:microsoft.com/office/officeart/2005/8/quickstyle/simple1" qsCatId="simple" csTypeId="urn:microsoft.com/office/officeart/2005/8/colors/accent1_1" csCatId="accent1" phldr="1"/>
      <dgm:spPr/>
      <dgm:t>
        <a:bodyPr/>
        <a:lstStyle/>
        <a:p>
          <a:endParaRPr lang="en-US"/>
        </a:p>
      </dgm:t>
    </dgm:pt>
    <dgm:pt modelId="{3B649C3D-2C17-4017-9899-7FA1594CA1CC}">
      <dgm:prSet phldrT="[Text]" custT="1"/>
      <dgm:spPr/>
      <dgm:t>
        <a:bodyPr/>
        <a:lstStyle/>
        <a:p>
          <a:r>
            <a:rPr lang="en-US" sz="1800" dirty="0">
              <a:effectLst/>
              <a:latin typeface="Arial" panose="020B0604020202020204" pitchFamily="34" charset="0"/>
              <a:cs typeface="Arial" panose="020B0604020202020204" pitchFamily="34" charset="0"/>
            </a:rPr>
            <a:t>DAWG Meeting</a:t>
          </a:r>
        </a:p>
      </dgm:t>
    </dgm:pt>
    <dgm:pt modelId="{1C566021-B9B2-4025-A47A-82E19134D0F2}" type="parTrans" cxnId="{DB5260DB-50AC-4BA6-ACC9-424AE2E5E823}">
      <dgm:prSet/>
      <dgm:spPr/>
      <dgm:t>
        <a:bodyPr/>
        <a:lstStyle/>
        <a:p>
          <a:endParaRPr lang="en-US" sz="1200">
            <a:effectLst/>
          </a:endParaRPr>
        </a:p>
      </dgm:t>
    </dgm:pt>
    <dgm:pt modelId="{D61F0250-9B52-43AD-85B7-702626558915}" type="sibTrans" cxnId="{DB5260DB-50AC-4BA6-ACC9-424AE2E5E823}">
      <dgm:prSet/>
      <dgm:spPr/>
      <dgm:t>
        <a:bodyPr/>
        <a:lstStyle/>
        <a:p>
          <a:endParaRPr lang="en-US" sz="1200">
            <a:effectLst/>
          </a:endParaRPr>
        </a:p>
      </dgm:t>
    </dgm:pt>
    <dgm:pt modelId="{C17D4567-5E5B-4B14-8B12-E5707FE8935A}">
      <dgm:prSet phldrT="[Tex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Audits</a:t>
          </a:r>
          <a:endParaRPr lang="en-US" sz="1200" b="0" dirty="0">
            <a:effectLst/>
            <a:latin typeface="Arial" panose="020B0604020202020204" pitchFamily="34" charset="0"/>
            <a:cs typeface="Arial" panose="020B0604020202020204" pitchFamily="34" charset="0"/>
          </a:endParaRPr>
        </a:p>
      </dgm:t>
    </dgm:pt>
    <dgm:pt modelId="{A9FC905F-0DF0-4356-9D8A-C83C00D60F36}" type="parTrans" cxnId="{35D57550-1336-4B52-992C-B218597B9F0D}">
      <dgm:prSet/>
      <dgm:spPr/>
      <dgm:t>
        <a:bodyPr/>
        <a:lstStyle/>
        <a:p>
          <a:endParaRPr lang="en-US" sz="1200">
            <a:effectLst/>
          </a:endParaRPr>
        </a:p>
      </dgm:t>
    </dgm:pt>
    <dgm:pt modelId="{E9D5FDF1-B8E4-450A-A1A9-2D5D357CC97A}" type="sibTrans" cxnId="{35D57550-1336-4B52-992C-B218597B9F0D}">
      <dgm:prSet/>
      <dgm:spPr/>
      <dgm:t>
        <a:bodyPr/>
        <a:lstStyle/>
        <a:p>
          <a:endParaRPr lang="en-US" sz="1200">
            <a:effectLst/>
          </a:endParaRPr>
        </a:p>
      </dgm:t>
    </dgm:pt>
    <dgm:pt modelId="{C1B64A8C-1D2D-4580-9D8B-19859210B2C4}">
      <dgm:prSet phldrT="[Text]" custT="1"/>
      <dgm:spPr/>
      <dgm:t>
        <a:bodyPr/>
        <a:lstStyle/>
        <a:p>
          <a:r>
            <a:rPr lang="en-US" sz="1800" dirty="0">
              <a:effectLst/>
              <a:latin typeface="Arial" panose="020B0604020202020204" pitchFamily="34" charset="0"/>
              <a:cs typeface="Arial" panose="020B0604020202020204" pitchFamily="34" charset="0"/>
            </a:rPr>
            <a:t>Final Model</a:t>
          </a:r>
        </a:p>
      </dgm:t>
    </dgm:pt>
    <dgm:pt modelId="{4B29DD7A-8BEB-4F9D-851F-BA243064BDF8}" type="parTrans" cxnId="{96018F68-E5A8-46EE-977E-D436A03647AA}">
      <dgm:prSet/>
      <dgm:spPr/>
      <dgm:t>
        <a:bodyPr/>
        <a:lstStyle/>
        <a:p>
          <a:endParaRPr lang="en-US" sz="1200">
            <a:effectLst/>
          </a:endParaRPr>
        </a:p>
      </dgm:t>
    </dgm:pt>
    <dgm:pt modelId="{8A7A2A5F-E925-4132-A4D1-1891932FFC2B}" type="sibTrans" cxnId="{96018F68-E5A8-46EE-977E-D436A03647AA}">
      <dgm:prSet/>
      <dgm:spPr/>
      <dgm:t>
        <a:bodyPr/>
        <a:lstStyle/>
        <a:p>
          <a:endParaRPr lang="en-US" sz="1200">
            <a:effectLst/>
          </a:endParaRPr>
        </a:p>
      </dgm:t>
    </dgm:pt>
    <dgm:pt modelId="{F6AB8458-BE0B-4378-BAB3-05B04341E319}">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Home Energy Reports</a:t>
          </a:r>
        </a:p>
      </dgm:t>
    </dgm:pt>
    <dgm:pt modelId="{7E93F9AA-05AA-4F23-9A83-BBD05EB3A731}" type="parTrans" cxnId="{37A25221-1662-4269-9C94-2B323452FB20}">
      <dgm:prSet/>
      <dgm:spPr/>
      <dgm:t>
        <a:bodyPr/>
        <a:lstStyle/>
        <a:p>
          <a:endParaRPr lang="en-US" sz="1200">
            <a:effectLst/>
          </a:endParaRPr>
        </a:p>
      </dgm:t>
    </dgm:pt>
    <dgm:pt modelId="{8965968E-9048-4C74-8BCF-024CB9B5ADE2}" type="sibTrans" cxnId="{37A25221-1662-4269-9C94-2B323452FB20}">
      <dgm:prSet/>
      <dgm:spPr/>
      <dgm:t>
        <a:bodyPr/>
        <a:lstStyle/>
        <a:p>
          <a:endParaRPr lang="en-US" sz="1200">
            <a:effectLst/>
          </a:endParaRPr>
        </a:p>
      </dgm:t>
    </dgm:pt>
    <dgm:pt modelId="{D4B8BDEA-3E96-4508-A989-896B3F462971}">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Mailed Feedback</a:t>
          </a:r>
          <a:endParaRPr lang="en-US" sz="1200" dirty="0">
            <a:effectLst/>
            <a:latin typeface="Arial" panose="020B0604020202020204" pitchFamily="34" charset="0"/>
            <a:cs typeface="Arial" panose="020B0604020202020204" pitchFamily="34" charset="0"/>
          </a:endParaRPr>
        </a:p>
      </dgm:t>
    </dgm:pt>
    <dgm:pt modelId="{A6B821F2-519B-4B74-9B38-AAD5057D7267}" type="parTrans" cxnId="{DEE4496D-E7E3-475D-8A17-839FF71CA978}">
      <dgm:prSet/>
      <dgm:spPr/>
      <dgm:t>
        <a:bodyPr/>
        <a:lstStyle/>
        <a:p>
          <a:endParaRPr lang="en-US" sz="1200">
            <a:effectLst/>
          </a:endParaRPr>
        </a:p>
      </dgm:t>
    </dgm:pt>
    <dgm:pt modelId="{20393421-E099-431E-B647-A0DD1B269D32}" type="sibTrans" cxnId="{DEE4496D-E7E3-475D-8A17-839FF71CA978}">
      <dgm:prSet/>
      <dgm:spPr/>
      <dgm:t>
        <a:bodyPr/>
        <a:lstStyle/>
        <a:p>
          <a:endParaRPr lang="en-US" sz="1200">
            <a:effectLst/>
          </a:endParaRPr>
        </a:p>
      </dgm:t>
    </dgm:pt>
    <dgm:pt modelId="{7CFF9BD8-6BC6-43BF-B637-2FAEBCD951B0}">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Real-Time Feedback</a:t>
          </a:r>
          <a:endParaRPr lang="en-US" sz="1200" dirty="0">
            <a:effectLst/>
            <a:latin typeface="Arial" panose="020B0604020202020204" pitchFamily="34" charset="0"/>
            <a:cs typeface="Arial" panose="020B0604020202020204" pitchFamily="34" charset="0"/>
          </a:endParaRPr>
        </a:p>
      </dgm:t>
    </dgm:pt>
    <dgm:pt modelId="{E5B69FBC-4387-4020-AF71-B290CAA46515}" type="parTrans" cxnId="{DC904ACB-980D-431E-B685-4427904D320D}">
      <dgm:prSet/>
      <dgm:spPr/>
      <dgm:t>
        <a:bodyPr/>
        <a:lstStyle/>
        <a:p>
          <a:endParaRPr lang="en-US" sz="1200">
            <a:effectLst/>
          </a:endParaRPr>
        </a:p>
      </dgm:t>
    </dgm:pt>
    <dgm:pt modelId="{F8DBF108-5E05-44E0-AE8D-FB7CF2D23251}" type="sibTrans" cxnId="{DC904ACB-980D-431E-B685-4427904D320D}">
      <dgm:prSet/>
      <dgm:spPr/>
      <dgm:t>
        <a:bodyPr/>
        <a:lstStyle/>
        <a:p>
          <a:endParaRPr lang="en-US" sz="1200">
            <a:effectLst/>
          </a:endParaRPr>
        </a:p>
      </dgm:t>
    </dgm:pt>
    <dgm:pt modelId="{E6177255-E85B-4C14-BFB4-7E1FB88E45AC}">
      <dgm:prSet custT="1"/>
      <dgm:spPr/>
      <dgm:t>
        <a:bodyPr/>
        <a:lstStyle/>
        <a:p>
          <a:pPr marL="0" marR="0" lvl="0" indent="0" defTabSz="914400" eaLnBrk="1" fontAlgn="auto" latinLnBrk="0" hangingPunct="1">
            <a:lnSpc>
              <a:spcPct val="100000"/>
            </a:lnSpc>
            <a:spcBef>
              <a:spcPts val="0"/>
            </a:spcBef>
            <a:spcAft>
              <a:spcPts val="600"/>
            </a:spcAft>
            <a:buClrTx/>
            <a:buSzTx/>
            <a:buFontTx/>
            <a:buNone/>
            <a:tabLst/>
            <a:defRPr/>
          </a:pPr>
          <a:r>
            <a:rPr lang="en-US" sz="1200" b="0" i="0" u="none" dirty="0">
              <a:effectLst/>
              <a:latin typeface="Arial" panose="020B0604020202020204" pitchFamily="34" charset="0"/>
              <a:cs typeface="Arial" panose="020B0604020202020204" pitchFamily="34" charset="0"/>
            </a:rPr>
            <a:t>Web-Based</a:t>
          </a:r>
          <a:r>
            <a:rPr lang="en-US" sz="1200" b="0" i="0" u="none" baseline="0" dirty="0">
              <a:effectLst/>
              <a:latin typeface="Arial" panose="020B0604020202020204" pitchFamily="34" charset="0"/>
              <a:cs typeface="Arial" panose="020B0604020202020204" pitchFamily="34" charset="0"/>
            </a:rPr>
            <a:t> Feedback</a:t>
          </a:r>
        </a:p>
        <a:p>
          <a:pPr marL="0" marR="0" lvl="0" indent="0" defTabSz="914400" eaLnBrk="1" fontAlgn="auto" latinLnBrk="0" hangingPunct="1">
            <a:lnSpc>
              <a:spcPct val="100000"/>
            </a:lnSpc>
            <a:spcBef>
              <a:spcPts val="0"/>
            </a:spcBef>
            <a:spcAft>
              <a:spcPts val="600"/>
            </a:spcAft>
            <a:buClrTx/>
            <a:buSzTx/>
            <a:buFontTx/>
            <a:buNone/>
            <a:tabLst/>
            <a:defRPr/>
          </a:pPr>
          <a:r>
            <a:rPr lang="en-US" sz="1200" b="0" i="0" u="none" dirty="0">
              <a:effectLst/>
              <a:latin typeface="Arial" panose="020B0604020202020204" pitchFamily="34" charset="0"/>
              <a:cs typeface="Arial" panose="020B0604020202020204" pitchFamily="34" charset="0"/>
            </a:rPr>
            <a:t>Prepay (e.g. </a:t>
          </a:r>
          <a:r>
            <a:rPr lang="en-US" sz="1200" b="0" i="0" u="none" dirty="0" err="1">
              <a:effectLst/>
              <a:latin typeface="Arial" panose="020B0604020202020204" pitchFamily="34" charset="0"/>
              <a:cs typeface="Arial" panose="020B0604020202020204" pitchFamily="34" charset="0"/>
            </a:rPr>
            <a:t>mPower</a:t>
          </a:r>
          <a:r>
            <a:rPr lang="en-US" sz="1200" b="0" i="0" u="none" dirty="0">
              <a:effectLst/>
              <a:latin typeface="Arial" panose="020B0604020202020204" pitchFamily="34" charset="0"/>
              <a:cs typeface="Arial" panose="020B0604020202020204" pitchFamily="34" charset="0"/>
            </a:rPr>
            <a:t>)</a:t>
          </a:r>
          <a:endParaRPr lang="en-US" sz="1200" dirty="0">
            <a:effectLst/>
            <a:latin typeface="Arial" panose="020B0604020202020204" pitchFamily="34" charset="0"/>
            <a:cs typeface="Arial" panose="020B0604020202020204" pitchFamily="34" charset="0"/>
          </a:endParaRPr>
        </a:p>
      </dgm:t>
    </dgm:pt>
    <dgm:pt modelId="{CD9AEA71-7182-4979-8007-C70484296D62}" type="parTrans" cxnId="{92CAC7DC-4F6F-49D6-B6CA-575BFF4AF01F}">
      <dgm:prSet/>
      <dgm:spPr/>
      <dgm:t>
        <a:bodyPr/>
        <a:lstStyle/>
        <a:p>
          <a:endParaRPr lang="en-US" sz="1200">
            <a:effectLst/>
          </a:endParaRPr>
        </a:p>
      </dgm:t>
    </dgm:pt>
    <dgm:pt modelId="{73A3FA1C-A9C6-4EF0-9114-650EC3651EFB}" type="sibTrans" cxnId="{92CAC7DC-4F6F-49D6-B6CA-575BFF4AF01F}">
      <dgm:prSet/>
      <dgm:spPr/>
      <dgm:t>
        <a:bodyPr/>
        <a:lstStyle/>
        <a:p>
          <a:endParaRPr lang="en-US" sz="1200">
            <a:effectLst/>
          </a:endParaRPr>
        </a:p>
      </dgm:t>
    </dgm:pt>
    <dgm:pt modelId="{245F0654-5ADE-49E1-92BE-75ADA5B5D4B8}">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Smart Thermostats</a:t>
          </a:r>
          <a:endParaRPr lang="en-US" sz="1200" dirty="0">
            <a:effectLst/>
            <a:latin typeface="Arial" panose="020B0604020202020204" pitchFamily="34" charset="0"/>
            <a:cs typeface="Arial" panose="020B0604020202020204" pitchFamily="34" charset="0"/>
          </a:endParaRPr>
        </a:p>
      </dgm:t>
    </dgm:pt>
    <dgm:pt modelId="{EC11A982-4586-40BB-B845-39546A7272F5}" type="parTrans" cxnId="{DDF15C49-59E3-4A32-9A51-394067522BDC}">
      <dgm:prSet/>
      <dgm:spPr/>
      <dgm:t>
        <a:bodyPr/>
        <a:lstStyle/>
        <a:p>
          <a:endParaRPr lang="en-US" sz="1200">
            <a:effectLst/>
          </a:endParaRPr>
        </a:p>
      </dgm:t>
    </dgm:pt>
    <dgm:pt modelId="{C7FC9387-D108-458F-AD9E-C6F8CF988E4B}" type="sibTrans" cxnId="{DDF15C49-59E3-4A32-9A51-394067522BDC}">
      <dgm:prSet/>
      <dgm:spPr/>
      <dgm:t>
        <a:bodyPr/>
        <a:lstStyle/>
        <a:p>
          <a:endParaRPr lang="en-US" sz="1200">
            <a:effectLst/>
          </a:endParaRPr>
        </a:p>
      </dgm:t>
    </dgm:pt>
    <dgm:pt modelId="{0570B450-15C8-43CF-9328-0E49EFFAD4BC}">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Challenges/Competitions</a:t>
          </a:r>
          <a:endParaRPr lang="en-US" sz="1200" dirty="0">
            <a:effectLst/>
            <a:latin typeface="Arial" panose="020B0604020202020204" pitchFamily="34" charset="0"/>
            <a:cs typeface="Arial" panose="020B0604020202020204" pitchFamily="34" charset="0"/>
          </a:endParaRPr>
        </a:p>
      </dgm:t>
    </dgm:pt>
    <dgm:pt modelId="{1A30E1A1-289F-43E0-B05F-DDC6C75B9D18}" type="parTrans" cxnId="{EC11CC09-17B2-444D-90F4-9B6D2618F246}">
      <dgm:prSet/>
      <dgm:spPr/>
      <dgm:t>
        <a:bodyPr/>
        <a:lstStyle/>
        <a:p>
          <a:endParaRPr lang="en-US" sz="1200">
            <a:effectLst/>
          </a:endParaRPr>
        </a:p>
      </dgm:t>
    </dgm:pt>
    <dgm:pt modelId="{33118019-85E5-44A6-89A9-67E5AAA25383}" type="sibTrans" cxnId="{EC11CC09-17B2-444D-90F4-9B6D2618F246}">
      <dgm:prSet/>
      <dgm:spPr/>
      <dgm:t>
        <a:bodyPr/>
        <a:lstStyle/>
        <a:p>
          <a:endParaRPr lang="en-US" sz="1200">
            <a:effectLst/>
          </a:endParaRPr>
        </a:p>
      </dgm:t>
    </dgm:pt>
    <dgm:pt modelId="{8C9C0E58-8E43-4408-AB40-18AEC5BEF49C}">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Community-</a:t>
          </a:r>
          <a:r>
            <a:rPr lang="en-US" sz="1200" b="0" i="0" u="none" baseline="0" dirty="0">
              <a:effectLst/>
              <a:latin typeface="Arial" panose="020B0604020202020204" pitchFamily="34" charset="0"/>
              <a:cs typeface="Arial" panose="020B0604020202020204" pitchFamily="34" charset="0"/>
            </a:rPr>
            <a:t>Based Social Marketing</a:t>
          </a:r>
          <a:endParaRPr lang="en-US" sz="1200" dirty="0">
            <a:effectLst/>
            <a:latin typeface="Arial" panose="020B0604020202020204" pitchFamily="34" charset="0"/>
            <a:cs typeface="Arial" panose="020B0604020202020204" pitchFamily="34" charset="0"/>
          </a:endParaRPr>
        </a:p>
      </dgm:t>
    </dgm:pt>
    <dgm:pt modelId="{70F31B2C-7273-4319-8A12-7C4861A216A1}" type="parTrans" cxnId="{B557E6D8-AC91-4366-A68B-2D9FEB6C5703}">
      <dgm:prSet/>
      <dgm:spPr/>
      <dgm:t>
        <a:bodyPr/>
        <a:lstStyle/>
        <a:p>
          <a:endParaRPr lang="en-US" sz="1200">
            <a:effectLst/>
          </a:endParaRPr>
        </a:p>
      </dgm:t>
    </dgm:pt>
    <dgm:pt modelId="{6DA3C80E-7A8C-4935-A058-D0F451587612}" type="sibTrans" cxnId="{B557E6D8-AC91-4366-A68B-2D9FEB6C5703}">
      <dgm:prSet/>
      <dgm:spPr/>
      <dgm:t>
        <a:bodyPr/>
        <a:lstStyle/>
        <a:p>
          <a:endParaRPr lang="en-US" sz="1200">
            <a:effectLst/>
          </a:endParaRPr>
        </a:p>
      </dgm:t>
    </dgm:pt>
    <dgm:pt modelId="{3A53E6A4-233A-4633-BAB1-A01557C1CACC}">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Social Media</a:t>
          </a:r>
        </a:p>
      </dgm:t>
    </dgm:pt>
    <dgm:pt modelId="{89CA76AD-0452-48E1-AAB3-6D92FADB8EAB}" type="parTrans" cxnId="{0A0BF386-D9F8-4C27-8821-15FCBA36C672}">
      <dgm:prSet/>
      <dgm:spPr/>
      <dgm:t>
        <a:bodyPr/>
        <a:lstStyle/>
        <a:p>
          <a:endParaRPr lang="en-US" sz="1200">
            <a:effectLst/>
          </a:endParaRPr>
        </a:p>
      </dgm:t>
    </dgm:pt>
    <dgm:pt modelId="{4ACFF82A-FCD2-4C70-AADD-E831564CC232}" type="sibTrans" cxnId="{0A0BF386-D9F8-4C27-8821-15FCBA36C672}">
      <dgm:prSet/>
      <dgm:spPr/>
      <dgm:t>
        <a:bodyPr/>
        <a:lstStyle/>
        <a:p>
          <a:endParaRPr lang="en-US" sz="1200">
            <a:effectLst/>
          </a:endParaRPr>
        </a:p>
      </dgm:t>
    </dgm:pt>
    <dgm:pt modelId="{141009FD-D769-4B1E-8D84-FEA46786A28F}">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Web-Based Real-Time Feedback</a:t>
          </a:r>
        </a:p>
      </dgm:t>
    </dgm:pt>
    <dgm:pt modelId="{519158DD-8FD7-4F42-909E-209DE329D4E2}" type="parTrans" cxnId="{1822B4E7-8E92-4BB5-BD20-771D15F828BC}">
      <dgm:prSet/>
      <dgm:spPr/>
      <dgm:t>
        <a:bodyPr/>
        <a:lstStyle/>
        <a:p>
          <a:endParaRPr lang="en-US" sz="1200">
            <a:effectLst/>
          </a:endParaRPr>
        </a:p>
      </dgm:t>
    </dgm:pt>
    <dgm:pt modelId="{FB302A87-5C18-4AA4-AAA0-6E1B6F020F4F}" type="sibTrans" cxnId="{1822B4E7-8E92-4BB5-BD20-771D15F828BC}">
      <dgm:prSet/>
      <dgm:spPr/>
      <dgm:t>
        <a:bodyPr/>
        <a:lstStyle/>
        <a:p>
          <a:endParaRPr lang="en-US" sz="1200">
            <a:effectLst/>
          </a:endParaRPr>
        </a:p>
      </dgm:t>
    </dgm:pt>
    <dgm:pt modelId="{D61336A3-08B7-47F9-AA7B-C26472669C9E}">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*In Home Display </a:t>
          </a:r>
          <a:br>
            <a:rPr lang="en-US" sz="1200" b="0" i="0" u="none" kern="1200" dirty="0">
              <a:effectLst/>
              <a:latin typeface="Arial" panose="020B0604020202020204" pitchFamily="34" charset="0"/>
              <a:ea typeface="+mn-ea"/>
              <a:cs typeface="Arial" panose="020B0604020202020204" pitchFamily="34" charset="0"/>
            </a:rPr>
          </a:br>
          <a:r>
            <a:rPr lang="en-US" sz="1200" b="0" i="0" u="none" kern="1200" dirty="0">
              <a:effectLst/>
              <a:latin typeface="Arial" panose="020B0604020202020204" pitchFamily="34" charset="0"/>
              <a:ea typeface="+mn-ea"/>
              <a:cs typeface="Arial" panose="020B0604020202020204" pitchFamily="34" charset="0"/>
            </a:rPr>
            <a:t>Real-Time Feedback</a:t>
          </a:r>
        </a:p>
      </dgm:t>
    </dgm:pt>
    <dgm:pt modelId="{70A4B408-1E68-4472-9F95-69AB96540B97}" type="parTrans" cxnId="{E4FFB68E-FD34-4408-AD4F-93649A475289}">
      <dgm:prSet/>
      <dgm:spPr/>
      <dgm:t>
        <a:bodyPr/>
        <a:lstStyle/>
        <a:p>
          <a:endParaRPr lang="en-US" sz="1200">
            <a:effectLst/>
          </a:endParaRPr>
        </a:p>
      </dgm:t>
    </dgm:pt>
    <dgm:pt modelId="{0A7B9A88-4A4C-4EBF-9D79-415D4063B950}" type="sibTrans" cxnId="{E4FFB68E-FD34-4408-AD4F-93649A475289}">
      <dgm:prSet/>
      <dgm:spPr/>
      <dgm:t>
        <a:bodyPr/>
        <a:lstStyle/>
        <a:p>
          <a:endParaRPr lang="en-US" sz="1200">
            <a:effectLst/>
          </a:endParaRPr>
        </a:p>
      </dgm:t>
    </dgm:pt>
    <dgm:pt modelId="{6FC95303-59F9-4E13-828E-3C33ECBDD74A}">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Small Residential Competitions</a:t>
          </a:r>
        </a:p>
      </dgm:t>
    </dgm:pt>
    <dgm:pt modelId="{077D3155-8B84-4353-8D1D-DBBF79B5F136}" type="parTrans" cxnId="{91BA617F-A9BA-4E3C-840D-F4B55BE5332B}">
      <dgm:prSet/>
      <dgm:spPr/>
      <dgm:t>
        <a:bodyPr/>
        <a:lstStyle/>
        <a:p>
          <a:endParaRPr lang="en-US" sz="1200">
            <a:effectLst/>
          </a:endParaRPr>
        </a:p>
      </dgm:t>
    </dgm:pt>
    <dgm:pt modelId="{228B6A20-35FE-4855-9BBA-513063584BAD}" type="sibTrans" cxnId="{91BA617F-A9BA-4E3C-840D-F4B55BE5332B}">
      <dgm:prSet/>
      <dgm:spPr/>
      <dgm:t>
        <a:bodyPr/>
        <a:lstStyle/>
        <a:p>
          <a:endParaRPr lang="en-US" sz="1200">
            <a:effectLst/>
          </a:endParaRPr>
        </a:p>
      </dgm:t>
    </dgm:pt>
    <dgm:pt modelId="{3C72E894-D8B4-4891-A4B3-3C7C4D75D0B1}">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Large Residential Competitions</a:t>
          </a:r>
        </a:p>
      </dgm:t>
    </dgm:pt>
    <dgm:pt modelId="{158F029B-3004-479B-8631-78709A78B517}" type="parTrans" cxnId="{02E43419-89D1-49D2-94AC-036C4B24404A}">
      <dgm:prSet/>
      <dgm:spPr/>
      <dgm:t>
        <a:bodyPr/>
        <a:lstStyle/>
        <a:p>
          <a:endParaRPr lang="en-US" sz="1200">
            <a:effectLst/>
          </a:endParaRPr>
        </a:p>
      </dgm:t>
    </dgm:pt>
    <dgm:pt modelId="{D4259DC4-3607-45A8-AC40-8B2249185663}" type="sibTrans" cxnId="{02E43419-89D1-49D2-94AC-036C4B24404A}">
      <dgm:prSet/>
      <dgm:spPr/>
      <dgm:t>
        <a:bodyPr/>
        <a:lstStyle/>
        <a:p>
          <a:endParaRPr lang="en-US" sz="1200">
            <a:effectLst/>
          </a:endParaRPr>
        </a:p>
      </dgm:t>
    </dgm:pt>
    <dgm:pt modelId="{C834922D-0535-4F69-9D98-35817F48BF2B}" type="pres">
      <dgm:prSet presAssocID="{0323B17A-1B97-4857-BA77-63171F3CBA7C}" presName="Name0" presStyleCnt="0">
        <dgm:presLayoutVars>
          <dgm:dir/>
          <dgm:animLvl val="lvl"/>
          <dgm:resizeHandles val="exact"/>
        </dgm:presLayoutVars>
      </dgm:prSet>
      <dgm:spPr/>
    </dgm:pt>
    <dgm:pt modelId="{2D780D10-913F-4957-9F5E-3AFD470FEE16}" type="pres">
      <dgm:prSet presAssocID="{3B649C3D-2C17-4017-9899-7FA1594CA1CC}" presName="compositeNode" presStyleCnt="0">
        <dgm:presLayoutVars>
          <dgm:bulletEnabled val="1"/>
        </dgm:presLayoutVars>
      </dgm:prSet>
      <dgm:spPr/>
    </dgm:pt>
    <dgm:pt modelId="{4395670E-8DBC-4395-BB38-EF659C71AA25}" type="pres">
      <dgm:prSet presAssocID="{3B649C3D-2C17-4017-9899-7FA1594CA1CC}" presName="bgRect" presStyleLbl="node1" presStyleIdx="0" presStyleCnt="2"/>
      <dgm:spPr/>
    </dgm:pt>
    <dgm:pt modelId="{F17FD801-69BD-4ECC-A36E-F28A3E8682E1}" type="pres">
      <dgm:prSet presAssocID="{3B649C3D-2C17-4017-9899-7FA1594CA1CC}" presName="parentNode" presStyleLbl="node1" presStyleIdx="0" presStyleCnt="2">
        <dgm:presLayoutVars>
          <dgm:chMax val="0"/>
          <dgm:bulletEnabled val="1"/>
        </dgm:presLayoutVars>
      </dgm:prSet>
      <dgm:spPr/>
    </dgm:pt>
    <dgm:pt modelId="{39BB9AB1-3A61-453F-B231-98D464FD5EDD}" type="pres">
      <dgm:prSet presAssocID="{3B649C3D-2C17-4017-9899-7FA1594CA1CC}" presName="childNode" presStyleLbl="node1" presStyleIdx="0" presStyleCnt="2">
        <dgm:presLayoutVars>
          <dgm:bulletEnabled val="1"/>
        </dgm:presLayoutVars>
      </dgm:prSet>
      <dgm:spPr/>
    </dgm:pt>
    <dgm:pt modelId="{CE007C6A-EDF0-4173-82C6-C4E84E2EB0E6}" type="pres">
      <dgm:prSet presAssocID="{D61F0250-9B52-43AD-85B7-702626558915}" presName="hSp" presStyleCnt="0"/>
      <dgm:spPr/>
    </dgm:pt>
    <dgm:pt modelId="{FEBA2D54-0B2F-4C00-BB25-EFDAEA79BFE0}" type="pres">
      <dgm:prSet presAssocID="{D61F0250-9B52-43AD-85B7-702626558915}" presName="vProcSp" presStyleCnt="0"/>
      <dgm:spPr/>
    </dgm:pt>
    <dgm:pt modelId="{928F13DC-9809-40AA-ACC7-73C721B8F493}" type="pres">
      <dgm:prSet presAssocID="{D61F0250-9B52-43AD-85B7-702626558915}" presName="vSp1" presStyleCnt="0"/>
      <dgm:spPr/>
    </dgm:pt>
    <dgm:pt modelId="{4CB86EB9-1637-413E-BFC7-7012CBD6C28D}" type="pres">
      <dgm:prSet presAssocID="{D61F0250-9B52-43AD-85B7-702626558915}" presName="simulatedConn" presStyleLbl="solidFgAcc1" presStyleIdx="0" presStyleCnt="1"/>
      <dgm:spPr/>
    </dgm:pt>
    <dgm:pt modelId="{263E0347-CB7F-4245-9358-3EF2622CF6FD}" type="pres">
      <dgm:prSet presAssocID="{D61F0250-9B52-43AD-85B7-702626558915}" presName="vSp2" presStyleCnt="0"/>
      <dgm:spPr/>
    </dgm:pt>
    <dgm:pt modelId="{09E04D2F-FF6D-4E9E-8267-B5ACA6BF9C4D}" type="pres">
      <dgm:prSet presAssocID="{D61F0250-9B52-43AD-85B7-702626558915}" presName="sibTrans" presStyleCnt="0"/>
      <dgm:spPr/>
    </dgm:pt>
    <dgm:pt modelId="{B61E5E0F-3CDD-4F0C-9900-633E2EF937F7}" type="pres">
      <dgm:prSet presAssocID="{C1B64A8C-1D2D-4580-9D8B-19859210B2C4}" presName="compositeNode" presStyleCnt="0">
        <dgm:presLayoutVars>
          <dgm:bulletEnabled val="1"/>
        </dgm:presLayoutVars>
      </dgm:prSet>
      <dgm:spPr/>
    </dgm:pt>
    <dgm:pt modelId="{2E3DDD08-58A3-4E25-B2DC-2F076F5980BB}" type="pres">
      <dgm:prSet presAssocID="{C1B64A8C-1D2D-4580-9D8B-19859210B2C4}" presName="bgRect" presStyleLbl="node1" presStyleIdx="1" presStyleCnt="2"/>
      <dgm:spPr/>
    </dgm:pt>
    <dgm:pt modelId="{8F066C72-3B40-46EC-88C9-DB2BDF678CB2}" type="pres">
      <dgm:prSet presAssocID="{C1B64A8C-1D2D-4580-9D8B-19859210B2C4}" presName="parentNode" presStyleLbl="node1" presStyleIdx="1" presStyleCnt="2">
        <dgm:presLayoutVars>
          <dgm:chMax val="0"/>
          <dgm:bulletEnabled val="1"/>
        </dgm:presLayoutVars>
      </dgm:prSet>
      <dgm:spPr/>
    </dgm:pt>
    <dgm:pt modelId="{A045B125-1AAC-4EBB-B444-999B4D9FD76C}" type="pres">
      <dgm:prSet presAssocID="{C1B64A8C-1D2D-4580-9D8B-19859210B2C4}" presName="childNode" presStyleLbl="node1" presStyleIdx="1" presStyleCnt="2">
        <dgm:presLayoutVars>
          <dgm:bulletEnabled val="1"/>
        </dgm:presLayoutVars>
      </dgm:prSet>
      <dgm:spPr/>
    </dgm:pt>
  </dgm:ptLst>
  <dgm:cxnLst>
    <dgm:cxn modelId="{BC0A2032-E6BD-4460-9815-19CDCC46B226}" type="presOf" srcId="{3B649C3D-2C17-4017-9899-7FA1594CA1CC}" destId="{F17FD801-69BD-4ECC-A36E-F28A3E8682E1}" srcOrd="1" destOrd="0" presId="urn:microsoft.com/office/officeart/2005/8/layout/hProcess7"/>
    <dgm:cxn modelId="{02E43419-89D1-49D2-94AC-036C4B24404A}" srcId="{C1B64A8C-1D2D-4580-9D8B-19859210B2C4}" destId="{3C72E894-D8B4-4891-A4B3-3C7C4D75D0B1}" srcOrd="4" destOrd="0" parTransId="{158F029B-3004-479B-8631-78709A78B517}" sibTransId="{D4259DC4-3607-45A8-AC40-8B2249185663}"/>
    <dgm:cxn modelId="{00AB1DF1-D6C9-46EE-85BE-CB93C5BA0C2E}" type="presOf" srcId="{0570B450-15C8-43CF-9328-0E49EFFAD4BC}" destId="{39BB9AB1-3A61-453F-B231-98D464FD5EDD}" srcOrd="0" destOrd="5" presId="urn:microsoft.com/office/officeart/2005/8/layout/hProcess7"/>
    <dgm:cxn modelId="{EC11CC09-17B2-444D-90F4-9B6D2618F246}" srcId="{3B649C3D-2C17-4017-9899-7FA1594CA1CC}" destId="{0570B450-15C8-43CF-9328-0E49EFFAD4BC}" srcOrd="5" destOrd="0" parTransId="{1A30E1A1-289F-43E0-B05F-DDC6C75B9D18}" sibTransId="{33118019-85E5-44A6-89A9-67E5AAA25383}"/>
    <dgm:cxn modelId="{5387FE3E-C96F-4D1B-BEC2-021038DD9FD0}" type="presOf" srcId="{C1B64A8C-1D2D-4580-9D8B-19859210B2C4}" destId="{8F066C72-3B40-46EC-88C9-DB2BDF678CB2}" srcOrd="1" destOrd="0" presId="urn:microsoft.com/office/officeart/2005/8/layout/hProcess7"/>
    <dgm:cxn modelId="{E4FFB68E-FD34-4408-AD4F-93649A475289}" srcId="{C1B64A8C-1D2D-4580-9D8B-19859210B2C4}" destId="{D61336A3-08B7-47F9-AA7B-C26472669C9E}" srcOrd="2" destOrd="0" parTransId="{70A4B408-1E68-4472-9F95-69AB96540B97}" sibTransId="{0A7B9A88-4A4C-4EBF-9D79-415D4063B950}"/>
    <dgm:cxn modelId="{E4A1D43B-B973-4AC3-AD01-107EB9F6759E}" type="presOf" srcId="{245F0654-5ADE-49E1-92BE-75ADA5B5D4B8}" destId="{39BB9AB1-3A61-453F-B231-98D464FD5EDD}" srcOrd="0" destOrd="4" presId="urn:microsoft.com/office/officeart/2005/8/layout/hProcess7"/>
    <dgm:cxn modelId="{35D57550-1336-4B52-992C-B218597B9F0D}" srcId="{3B649C3D-2C17-4017-9899-7FA1594CA1CC}" destId="{C17D4567-5E5B-4B14-8B12-E5707FE8935A}" srcOrd="0" destOrd="0" parTransId="{A9FC905F-0DF0-4356-9D8A-C83C00D60F36}" sibTransId="{E9D5FDF1-B8E4-450A-A1A9-2D5D357CC97A}"/>
    <dgm:cxn modelId="{1822B4E7-8E92-4BB5-BD20-771D15F828BC}" srcId="{C1B64A8C-1D2D-4580-9D8B-19859210B2C4}" destId="{141009FD-D769-4B1E-8D84-FEA46786A28F}" srcOrd="1" destOrd="0" parTransId="{519158DD-8FD7-4F42-909E-209DE329D4E2}" sibTransId="{FB302A87-5C18-4AA4-AAA0-6E1B6F020F4F}"/>
    <dgm:cxn modelId="{5039A0BD-D864-4EFF-BE74-03F7C8F79456}" type="presOf" srcId="{C17D4567-5E5B-4B14-8B12-E5707FE8935A}" destId="{39BB9AB1-3A61-453F-B231-98D464FD5EDD}" srcOrd="0" destOrd="0" presId="urn:microsoft.com/office/officeart/2005/8/layout/hProcess7"/>
    <dgm:cxn modelId="{FCEDAA6A-C7D7-4120-B24C-CDDE45301664}" type="presOf" srcId="{8C9C0E58-8E43-4408-AB40-18AEC5BEF49C}" destId="{39BB9AB1-3A61-453F-B231-98D464FD5EDD}" srcOrd="0" destOrd="6" presId="urn:microsoft.com/office/officeart/2005/8/layout/hProcess7"/>
    <dgm:cxn modelId="{92CAC7DC-4F6F-49D6-B6CA-575BFF4AF01F}" srcId="{3B649C3D-2C17-4017-9899-7FA1594CA1CC}" destId="{E6177255-E85B-4C14-BFB4-7E1FB88E45AC}" srcOrd="3" destOrd="0" parTransId="{CD9AEA71-7182-4979-8007-C70484296D62}" sibTransId="{73A3FA1C-A9C6-4EF0-9114-650EC3651EFB}"/>
    <dgm:cxn modelId="{DDF15C49-59E3-4A32-9A51-394067522BDC}" srcId="{3B649C3D-2C17-4017-9899-7FA1594CA1CC}" destId="{245F0654-5ADE-49E1-92BE-75ADA5B5D4B8}" srcOrd="4" destOrd="0" parTransId="{EC11A982-4586-40BB-B845-39546A7272F5}" sibTransId="{C7FC9387-D108-458F-AD9E-C6F8CF988E4B}"/>
    <dgm:cxn modelId="{DC904ACB-980D-431E-B685-4427904D320D}" srcId="{3B649C3D-2C17-4017-9899-7FA1594CA1CC}" destId="{7CFF9BD8-6BC6-43BF-B637-2FAEBCD951B0}" srcOrd="2" destOrd="0" parTransId="{E5B69FBC-4387-4020-AF71-B290CAA46515}" sibTransId="{F8DBF108-5E05-44E0-AE8D-FB7CF2D23251}"/>
    <dgm:cxn modelId="{DB5260DB-50AC-4BA6-ACC9-424AE2E5E823}" srcId="{0323B17A-1B97-4857-BA77-63171F3CBA7C}" destId="{3B649C3D-2C17-4017-9899-7FA1594CA1CC}" srcOrd="0" destOrd="0" parTransId="{1C566021-B9B2-4025-A47A-82E19134D0F2}" sibTransId="{D61F0250-9B52-43AD-85B7-702626558915}"/>
    <dgm:cxn modelId="{7CAE027B-21B9-4FC6-AAA2-6D9DA88D9A35}" type="presOf" srcId="{E6177255-E85B-4C14-BFB4-7E1FB88E45AC}" destId="{39BB9AB1-3A61-453F-B231-98D464FD5EDD}" srcOrd="0" destOrd="3" presId="urn:microsoft.com/office/officeart/2005/8/layout/hProcess7"/>
    <dgm:cxn modelId="{96018F68-E5A8-46EE-977E-D436A03647AA}" srcId="{0323B17A-1B97-4857-BA77-63171F3CBA7C}" destId="{C1B64A8C-1D2D-4580-9D8B-19859210B2C4}" srcOrd="1" destOrd="0" parTransId="{4B29DD7A-8BEB-4F9D-851F-BA243064BDF8}" sibTransId="{8A7A2A5F-E925-4132-A4D1-1891932FFC2B}"/>
    <dgm:cxn modelId="{DD3AE6F0-023D-4ABC-958C-5B9BC8A60D5C}" type="presOf" srcId="{3A53E6A4-233A-4633-BAB1-A01557C1CACC}" destId="{39BB9AB1-3A61-453F-B231-98D464FD5EDD}" srcOrd="0" destOrd="7" presId="urn:microsoft.com/office/officeart/2005/8/layout/hProcess7"/>
    <dgm:cxn modelId="{7630C11A-1DE3-4FFC-869F-867C7ABF293F}" type="presOf" srcId="{D61336A3-08B7-47F9-AA7B-C26472669C9E}" destId="{A045B125-1AAC-4EBB-B444-999B4D9FD76C}" srcOrd="0" destOrd="2" presId="urn:microsoft.com/office/officeart/2005/8/layout/hProcess7"/>
    <dgm:cxn modelId="{0A0BF386-D9F8-4C27-8821-15FCBA36C672}" srcId="{3B649C3D-2C17-4017-9899-7FA1594CA1CC}" destId="{3A53E6A4-233A-4633-BAB1-A01557C1CACC}" srcOrd="7" destOrd="0" parTransId="{89CA76AD-0452-48E1-AAB3-6D92FADB8EAB}" sibTransId="{4ACFF82A-FCD2-4C70-AADD-E831564CC232}"/>
    <dgm:cxn modelId="{DEE4496D-E7E3-475D-8A17-839FF71CA978}" srcId="{3B649C3D-2C17-4017-9899-7FA1594CA1CC}" destId="{D4B8BDEA-3E96-4508-A989-896B3F462971}" srcOrd="1" destOrd="0" parTransId="{A6B821F2-519B-4B74-9B38-AAD5057D7267}" sibTransId="{20393421-E099-431E-B647-A0DD1B269D32}"/>
    <dgm:cxn modelId="{073FB535-878F-4A68-B8DE-01326768CB72}" type="presOf" srcId="{3B649C3D-2C17-4017-9899-7FA1594CA1CC}" destId="{4395670E-8DBC-4395-BB38-EF659C71AA25}" srcOrd="0" destOrd="0" presId="urn:microsoft.com/office/officeart/2005/8/layout/hProcess7"/>
    <dgm:cxn modelId="{C50DCB18-2471-4334-8BB7-F668621D15A2}" type="presOf" srcId="{7CFF9BD8-6BC6-43BF-B637-2FAEBCD951B0}" destId="{39BB9AB1-3A61-453F-B231-98D464FD5EDD}" srcOrd="0" destOrd="2" presId="urn:microsoft.com/office/officeart/2005/8/layout/hProcess7"/>
    <dgm:cxn modelId="{128D712F-7B84-493A-86E2-C13E4712D552}" type="presOf" srcId="{3C72E894-D8B4-4891-A4B3-3C7C4D75D0B1}" destId="{A045B125-1AAC-4EBB-B444-999B4D9FD76C}" srcOrd="0" destOrd="4" presId="urn:microsoft.com/office/officeart/2005/8/layout/hProcess7"/>
    <dgm:cxn modelId="{D7EC8691-4E66-4E1C-8BBF-A1F175DCA856}" type="presOf" srcId="{141009FD-D769-4B1E-8D84-FEA46786A28F}" destId="{A045B125-1AAC-4EBB-B444-999B4D9FD76C}" srcOrd="0" destOrd="1" presId="urn:microsoft.com/office/officeart/2005/8/layout/hProcess7"/>
    <dgm:cxn modelId="{91BA617F-A9BA-4E3C-840D-F4B55BE5332B}" srcId="{C1B64A8C-1D2D-4580-9D8B-19859210B2C4}" destId="{6FC95303-59F9-4E13-828E-3C33ECBDD74A}" srcOrd="3" destOrd="0" parTransId="{077D3155-8B84-4353-8D1D-DBBF79B5F136}" sibTransId="{228B6A20-35FE-4855-9BBA-513063584BAD}"/>
    <dgm:cxn modelId="{D0C14DE0-44B7-4482-A539-DB34959B8840}" type="presOf" srcId="{6FC95303-59F9-4E13-828E-3C33ECBDD74A}" destId="{A045B125-1AAC-4EBB-B444-999B4D9FD76C}" srcOrd="0" destOrd="3" presId="urn:microsoft.com/office/officeart/2005/8/layout/hProcess7"/>
    <dgm:cxn modelId="{B886E3AC-E16C-43C5-A0E5-E8F6EE4E1906}" type="presOf" srcId="{F6AB8458-BE0B-4378-BAB3-05B04341E319}" destId="{A045B125-1AAC-4EBB-B444-999B4D9FD76C}" srcOrd="0" destOrd="0" presId="urn:microsoft.com/office/officeart/2005/8/layout/hProcess7"/>
    <dgm:cxn modelId="{B557E6D8-AC91-4366-A68B-2D9FEB6C5703}" srcId="{3B649C3D-2C17-4017-9899-7FA1594CA1CC}" destId="{8C9C0E58-8E43-4408-AB40-18AEC5BEF49C}" srcOrd="6" destOrd="0" parTransId="{70F31B2C-7273-4319-8A12-7C4861A216A1}" sibTransId="{6DA3C80E-7A8C-4935-A058-D0F451587612}"/>
    <dgm:cxn modelId="{DF116B55-4553-47CF-8488-8FD38C3E8A27}" type="presOf" srcId="{C1B64A8C-1D2D-4580-9D8B-19859210B2C4}" destId="{2E3DDD08-58A3-4E25-B2DC-2F076F5980BB}" srcOrd="0" destOrd="0" presId="urn:microsoft.com/office/officeart/2005/8/layout/hProcess7"/>
    <dgm:cxn modelId="{37A25221-1662-4269-9C94-2B323452FB20}" srcId="{C1B64A8C-1D2D-4580-9D8B-19859210B2C4}" destId="{F6AB8458-BE0B-4378-BAB3-05B04341E319}" srcOrd="0" destOrd="0" parTransId="{7E93F9AA-05AA-4F23-9A83-BBD05EB3A731}" sibTransId="{8965968E-9048-4C74-8BCF-024CB9B5ADE2}"/>
    <dgm:cxn modelId="{C3E4DD09-D226-43B4-99B5-7017B3176602}" type="presOf" srcId="{D4B8BDEA-3E96-4508-A989-896B3F462971}" destId="{39BB9AB1-3A61-453F-B231-98D464FD5EDD}" srcOrd="0" destOrd="1" presId="urn:microsoft.com/office/officeart/2005/8/layout/hProcess7"/>
    <dgm:cxn modelId="{F7155E19-78D2-4819-BC1A-0B89F5D11C26}" type="presOf" srcId="{0323B17A-1B97-4857-BA77-63171F3CBA7C}" destId="{C834922D-0535-4F69-9D98-35817F48BF2B}" srcOrd="0" destOrd="0" presId="urn:microsoft.com/office/officeart/2005/8/layout/hProcess7"/>
    <dgm:cxn modelId="{4ECCBFDC-3907-4BD4-B1E5-0A21AFE9A110}" type="presParOf" srcId="{C834922D-0535-4F69-9D98-35817F48BF2B}" destId="{2D780D10-913F-4957-9F5E-3AFD470FEE16}" srcOrd="0" destOrd="0" presId="urn:microsoft.com/office/officeart/2005/8/layout/hProcess7"/>
    <dgm:cxn modelId="{61984B34-EDCA-4F47-873C-DD71B5321911}" type="presParOf" srcId="{2D780D10-913F-4957-9F5E-3AFD470FEE16}" destId="{4395670E-8DBC-4395-BB38-EF659C71AA25}" srcOrd="0" destOrd="0" presId="urn:microsoft.com/office/officeart/2005/8/layout/hProcess7"/>
    <dgm:cxn modelId="{D45856A4-15C9-40D1-85D0-A90F27C3DA3C}" type="presParOf" srcId="{2D780D10-913F-4957-9F5E-3AFD470FEE16}" destId="{F17FD801-69BD-4ECC-A36E-F28A3E8682E1}" srcOrd="1" destOrd="0" presId="urn:microsoft.com/office/officeart/2005/8/layout/hProcess7"/>
    <dgm:cxn modelId="{3D8CD06F-2198-4425-9D74-7CFDF189D19B}" type="presParOf" srcId="{2D780D10-913F-4957-9F5E-3AFD470FEE16}" destId="{39BB9AB1-3A61-453F-B231-98D464FD5EDD}" srcOrd="2" destOrd="0" presId="urn:microsoft.com/office/officeart/2005/8/layout/hProcess7"/>
    <dgm:cxn modelId="{84A42FA9-84B9-4FFB-98B2-83A9ABB6F3FF}" type="presParOf" srcId="{C834922D-0535-4F69-9D98-35817F48BF2B}" destId="{CE007C6A-EDF0-4173-82C6-C4E84E2EB0E6}" srcOrd="1" destOrd="0" presId="urn:microsoft.com/office/officeart/2005/8/layout/hProcess7"/>
    <dgm:cxn modelId="{E2EEFBAE-A485-4239-A1CF-109B0A69C78D}" type="presParOf" srcId="{C834922D-0535-4F69-9D98-35817F48BF2B}" destId="{FEBA2D54-0B2F-4C00-BB25-EFDAEA79BFE0}" srcOrd="2" destOrd="0" presId="urn:microsoft.com/office/officeart/2005/8/layout/hProcess7"/>
    <dgm:cxn modelId="{AC791595-8560-42B7-BD69-A93F290FCB08}" type="presParOf" srcId="{FEBA2D54-0B2F-4C00-BB25-EFDAEA79BFE0}" destId="{928F13DC-9809-40AA-ACC7-73C721B8F493}" srcOrd="0" destOrd="0" presId="urn:microsoft.com/office/officeart/2005/8/layout/hProcess7"/>
    <dgm:cxn modelId="{BC7F00BB-21F6-4377-A34D-2A0715C31979}" type="presParOf" srcId="{FEBA2D54-0B2F-4C00-BB25-EFDAEA79BFE0}" destId="{4CB86EB9-1637-413E-BFC7-7012CBD6C28D}" srcOrd="1" destOrd="0" presId="urn:microsoft.com/office/officeart/2005/8/layout/hProcess7"/>
    <dgm:cxn modelId="{D8875276-EA58-4B0C-B7A2-1E522D84B440}" type="presParOf" srcId="{FEBA2D54-0B2F-4C00-BB25-EFDAEA79BFE0}" destId="{263E0347-CB7F-4245-9358-3EF2622CF6FD}" srcOrd="2" destOrd="0" presId="urn:microsoft.com/office/officeart/2005/8/layout/hProcess7"/>
    <dgm:cxn modelId="{5411F694-0681-49BE-83E8-84EA28242991}" type="presParOf" srcId="{C834922D-0535-4F69-9D98-35817F48BF2B}" destId="{09E04D2F-FF6D-4E9E-8267-B5ACA6BF9C4D}" srcOrd="3" destOrd="0" presId="urn:microsoft.com/office/officeart/2005/8/layout/hProcess7"/>
    <dgm:cxn modelId="{98AC5242-3D9E-41D1-871C-8695B2150210}" type="presParOf" srcId="{C834922D-0535-4F69-9D98-35817F48BF2B}" destId="{B61E5E0F-3CDD-4F0C-9900-633E2EF937F7}" srcOrd="4" destOrd="0" presId="urn:microsoft.com/office/officeart/2005/8/layout/hProcess7"/>
    <dgm:cxn modelId="{25B6F493-5664-4933-A6E6-FC9E7822DCDA}" type="presParOf" srcId="{B61E5E0F-3CDD-4F0C-9900-633E2EF937F7}" destId="{2E3DDD08-58A3-4E25-B2DC-2F076F5980BB}" srcOrd="0" destOrd="0" presId="urn:microsoft.com/office/officeart/2005/8/layout/hProcess7"/>
    <dgm:cxn modelId="{EC4881FB-D57A-4F33-8D35-BDB38C3C6FD2}" type="presParOf" srcId="{B61E5E0F-3CDD-4F0C-9900-633E2EF937F7}" destId="{8F066C72-3B40-46EC-88C9-DB2BDF678CB2}" srcOrd="1" destOrd="0" presId="urn:microsoft.com/office/officeart/2005/8/layout/hProcess7"/>
    <dgm:cxn modelId="{293DEE7C-2F46-42FC-80B4-A89C1B150483}" type="presParOf" srcId="{B61E5E0F-3CDD-4F0C-9900-633E2EF937F7}" destId="{A045B125-1AAC-4EBB-B444-999B4D9FD76C}" srcOrd="2" destOrd="0" presId="urn:microsoft.com/office/officeart/2005/8/layout/hProcess7"/>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23B17A-1B97-4857-BA77-63171F3CBA7C}" type="doc">
      <dgm:prSet loTypeId="urn:microsoft.com/office/officeart/2005/8/layout/hProcess7" loCatId="process" qsTypeId="urn:microsoft.com/office/officeart/2005/8/quickstyle/simple1" qsCatId="simple" csTypeId="urn:microsoft.com/office/officeart/2005/8/colors/accent1_1" csCatId="accent1" phldr="1"/>
      <dgm:spPr/>
      <dgm:t>
        <a:bodyPr/>
        <a:lstStyle/>
        <a:p>
          <a:endParaRPr lang="en-US"/>
        </a:p>
      </dgm:t>
    </dgm:pt>
    <dgm:pt modelId="{3B649C3D-2C17-4017-9899-7FA1594CA1CC}">
      <dgm:prSet phldrT="[Text]" custT="1"/>
      <dgm:spPr/>
      <dgm:t>
        <a:bodyPr/>
        <a:lstStyle/>
        <a:p>
          <a:r>
            <a:rPr lang="en-US" sz="1800" b="0" dirty="0">
              <a:ln/>
              <a:effectLst/>
              <a:latin typeface="Arial" panose="020B0604020202020204" pitchFamily="34" charset="0"/>
              <a:cs typeface="Arial" panose="020B0604020202020204" pitchFamily="34" charset="0"/>
            </a:rPr>
            <a:t>DAWG Meeting</a:t>
          </a:r>
        </a:p>
      </dgm:t>
    </dgm:pt>
    <dgm:pt modelId="{1C566021-B9B2-4025-A47A-82E19134D0F2}" type="parTrans" cxnId="{DB5260DB-50AC-4BA6-ACC9-424AE2E5E823}">
      <dgm:prSet/>
      <dgm:spPr/>
      <dgm:t>
        <a:bodyPr/>
        <a:lstStyle/>
        <a:p>
          <a:endParaRPr lang="en-US" sz="1200" b="0">
            <a:ln>
              <a:noFill/>
            </a:ln>
            <a:effectLst/>
          </a:endParaRPr>
        </a:p>
      </dgm:t>
    </dgm:pt>
    <dgm:pt modelId="{D61F0250-9B52-43AD-85B7-702626558915}" type="sibTrans" cxnId="{DB5260DB-50AC-4BA6-ACC9-424AE2E5E823}">
      <dgm:prSet/>
      <dgm:spPr/>
      <dgm:t>
        <a:bodyPr/>
        <a:lstStyle/>
        <a:p>
          <a:endParaRPr lang="en-US" sz="1200" b="0">
            <a:ln>
              <a:noFill/>
            </a:ln>
            <a:effectLst/>
          </a:endParaRPr>
        </a:p>
      </dgm:t>
    </dgm:pt>
    <dgm:pt modelId="{C1B64A8C-1D2D-4580-9D8B-19859210B2C4}">
      <dgm:prSet phldrT="[Text]" custT="1"/>
      <dgm:spPr/>
      <dgm:t>
        <a:bodyPr/>
        <a:lstStyle/>
        <a:p>
          <a:r>
            <a:rPr lang="en-US" sz="1800" b="0" dirty="0">
              <a:ln/>
              <a:effectLst/>
              <a:latin typeface="Arial" panose="020B0604020202020204" pitchFamily="34" charset="0"/>
              <a:cs typeface="Arial" panose="020B0604020202020204" pitchFamily="34" charset="0"/>
            </a:rPr>
            <a:t>Final Model</a:t>
          </a:r>
        </a:p>
      </dgm:t>
    </dgm:pt>
    <dgm:pt modelId="{4B29DD7A-8BEB-4F9D-851F-BA243064BDF8}" type="parTrans" cxnId="{96018F68-E5A8-46EE-977E-D436A03647AA}">
      <dgm:prSet/>
      <dgm:spPr/>
      <dgm:t>
        <a:bodyPr/>
        <a:lstStyle/>
        <a:p>
          <a:endParaRPr lang="en-US" sz="1200" b="0">
            <a:ln>
              <a:noFill/>
            </a:ln>
            <a:effectLst/>
          </a:endParaRPr>
        </a:p>
      </dgm:t>
    </dgm:pt>
    <dgm:pt modelId="{8A7A2A5F-E925-4132-A4D1-1891932FFC2B}" type="sibTrans" cxnId="{96018F68-E5A8-46EE-977E-D436A03647AA}">
      <dgm:prSet/>
      <dgm:spPr/>
      <dgm:t>
        <a:bodyPr/>
        <a:lstStyle/>
        <a:p>
          <a:endParaRPr lang="en-US" sz="1200" b="0">
            <a:ln>
              <a:noFill/>
            </a:ln>
            <a:effectLst/>
          </a:endParaRPr>
        </a:p>
      </dgm:t>
    </dgm:pt>
    <dgm:pt modelId="{F6AB8458-BE0B-4378-BAB3-05B04341E319}">
      <dgm:prSet phldrT="[Text]" custT="1"/>
      <dgm:spPr/>
      <dgm:t>
        <a:bodyPr/>
        <a:lstStyle/>
        <a:p>
          <a:pPr marL="0" marR="0" lvl="0" indent="0" defTabSz="914400" eaLnBrk="1" fontAlgn="auto" latinLnBrk="0" hangingPunct="1">
            <a:lnSpc>
              <a:spcPct val="100000"/>
            </a:lnSpc>
            <a:spcBef>
              <a:spcPts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Building Operator Certification</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Business Energy Reports</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BEIMS</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Commercial Competitions</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Strategic Energy Management (including Industrial sector)</a:t>
          </a:r>
        </a:p>
      </dgm:t>
    </dgm:pt>
    <dgm:pt modelId="{7E93F9AA-05AA-4F23-9A83-BBD05EB3A731}" type="parTrans" cxnId="{37A25221-1662-4269-9C94-2B323452FB20}">
      <dgm:prSet/>
      <dgm:spPr/>
      <dgm:t>
        <a:bodyPr/>
        <a:lstStyle/>
        <a:p>
          <a:endParaRPr lang="en-US" sz="1200" b="0">
            <a:ln>
              <a:noFill/>
            </a:ln>
            <a:effectLst/>
          </a:endParaRPr>
        </a:p>
      </dgm:t>
    </dgm:pt>
    <dgm:pt modelId="{8965968E-9048-4C74-8BCF-024CB9B5ADE2}" type="sibTrans" cxnId="{37A25221-1662-4269-9C94-2B323452FB20}">
      <dgm:prSet/>
      <dgm:spPr/>
      <dgm:t>
        <a:bodyPr/>
        <a:lstStyle/>
        <a:p>
          <a:endParaRPr lang="en-US" sz="1200" b="0">
            <a:ln>
              <a:noFill/>
            </a:ln>
            <a:effectLst/>
          </a:endParaRPr>
        </a:p>
      </dgm:t>
    </dgm:pt>
    <dgm:pt modelId="{0387CCBA-3A1D-4216-BD43-18A58A906ED3}">
      <dgm:prSet phldrT="[Text]" custT="1"/>
      <dgm:spPr/>
      <dgm:t>
        <a:bodyPr/>
        <a:lstStyle/>
        <a:p>
          <a:r>
            <a:rPr lang="en-US" sz="1200" b="0" i="0" u="none" dirty="0">
              <a:ln/>
              <a:effectLst/>
              <a:latin typeface="Arial" panose="020B0604020202020204" pitchFamily="34" charset="0"/>
              <a:cs typeface="Arial" panose="020B0604020202020204" pitchFamily="34" charset="0"/>
            </a:rPr>
            <a:t>Audits</a:t>
          </a:r>
          <a:endParaRPr lang="en-US" sz="1200" b="0" dirty="0">
            <a:ln/>
            <a:effectLst/>
            <a:latin typeface="Arial" panose="020B0604020202020204" pitchFamily="34" charset="0"/>
            <a:cs typeface="Arial" panose="020B0604020202020204" pitchFamily="34" charset="0"/>
          </a:endParaRPr>
        </a:p>
      </dgm:t>
    </dgm:pt>
    <dgm:pt modelId="{2EE8FB44-C373-45CA-B010-A63690B0123B}" type="parTrans" cxnId="{232F940C-DB7C-4942-897B-47A264837D57}">
      <dgm:prSet/>
      <dgm:spPr/>
      <dgm:t>
        <a:bodyPr/>
        <a:lstStyle/>
        <a:p>
          <a:endParaRPr lang="en-US" sz="1200" b="0">
            <a:ln>
              <a:noFill/>
            </a:ln>
            <a:effectLst/>
          </a:endParaRPr>
        </a:p>
      </dgm:t>
    </dgm:pt>
    <dgm:pt modelId="{1EAF7054-A6D7-4617-A4B2-4C22991996B9}" type="sibTrans" cxnId="{232F940C-DB7C-4942-897B-47A264837D57}">
      <dgm:prSet/>
      <dgm:spPr/>
      <dgm:t>
        <a:bodyPr/>
        <a:lstStyle/>
        <a:p>
          <a:endParaRPr lang="en-US" sz="1200" b="0">
            <a:ln>
              <a:noFill/>
            </a:ln>
            <a:effectLst/>
          </a:endParaRPr>
        </a:p>
      </dgm:t>
    </dgm:pt>
    <dgm:pt modelId="{7F7C532D-D610-48D7-9FD7-146F089F5FB2}">
      <dgm:prSet custT="1"/>
      <dgm:spPr/>
      <dgm:t>
        <a:bodyPr/>
        <a:lstStyle/>
        <a:p>
          <a:r>
            <a:rPr lang="en-US" sz="1200" b="0" i="0" u="none" dirty="0">
              <a:ln/>
              <a:effectLst/>
              <a:latin typeface="Arial" panose="020B0604020202020204" pitchFamily="34" charset="0"/>
              <a:cs typeface="Arial" panose="020B0604020202020204" pitchFamily="34" charset="0"/>
            </a:rPr>
            <a:t>Building Operator Training</a:t>
          </a:r>
        </a:p>
      </dgm:t>
    </dgm:pt>
    <dgm:pt modelId="{A2C46738-D42E-46E9-9137-38CC1720BE7B}" type="parTrans" cxnId="{82EBAEFD-393A-43BD-875F-12CB54CDCF19}">
      <dgm:prSet/>
      <dgm:spPr/>
      <dgm:t>
        <a:bodyPr/>
        <a:lstStyle/>
        <a:p>
          <a:endParaRPr lang="en-US" sz="1200" b="0">
            <a:ln>
              <a:noFill/>
            </a:ln>
            <a:effectLst/>
          </a:endParaRPr>
        </a:p>
      </dgm:t>
    </dgm:pt>
    <dgm:pt modelId="{E844708F-26E4-4261-989C-9B8A3D2E6EA6}" type="sibTrans" cxnId="{82EBAEFD-393A-43BD-875F-12CB54CDCF19}">
      <dgm:prSet/>
      <dgm:spPr/>
      <dgm:t>
        <a:bodyPr/>
        <a:lstStyle/>
        <a:p>
          <a:endParaRPr lang="en-US" sz="1200" b="0">
            <a:ln>
              <a:noFill/>
            </a:ln>
            <a:effectLst/>
          </a:endParaRPr>
        </a:p>
      </dgm:t>
    </dgm:pt>
    <dgm:pt modelId="{43134FFB-E623-45AB-9485-082634E254E1}">
      <dgm:prSet custT="1"/>
      <dgm:spPr/>
      <dgm:t>
        <a:bodyPr/>
        <a:lstStyle/>
        <a:p>
          <a:r>
            <a:rPr lang="en-US" sz="1200" b="0" i="0" u="none" dirty="0">
              <a:ln/>
              <a:effectLst/>
              <a:latin typeface="Arial" panose="020B0604020202020204" pitchFamily="34" charset="0"/>
              <a:cs typeface="Arial" panose="020B0604020202020204" pitchFamily="34" charset="0"/>
            </a:rPr>
            <a:t>Feedback /</a:t>
          </a:r>
          <a:r>
            <a:rPr lang="en-US" sz="1200" b="0" i="0" u="none" baseline="0" dirty="0">
              <a:ln/>
              <a:effectLst/>
              <a:latin typeface="Arial" panose="020B0604020202020204" pitchFamily="34" charset="0"/>
              <a:cs typeface="Arial" panose="020B0604020202020204" pitchFamily="34" charset="0"/>
            </a:rPr>
            <a:t> Business Energy Reports / BEIMS</a:t>
          </a:r>
          <a:endParaRPr lang="en-US" sz="1200" b="0" i="0" u="none" dirty="0">
            <a:ln/>
            <a:effectLst/>
            <a:latin typeface="Arial" panose="020B0604020202020204" pitchFamily="34" charset="0"/>
            <a:cs typeface="Arial" panose="020B0604020202020204" pitchFamily="34" charset="0"/>
          </a:endParaRPr>
        </a:p>
      </dgm:t>
    </dgm:pt>
    <dgm:pt modelId="{2A161E24-D1C0-4595-B3EC-2DCBFBE25C74}" type="parTrans" cxnId="{3FB93AD4-6C4C-4575-89EC-20A5B8A5A828}">
      <dgm:prSet/>
      <dgm:spPr/>
      <dgm:t>
        <a:bodyPr/>
        <a:lstStyle/>
        <a:p>
          <a:endParaRPr lang="en-US" sz="1200" b="0">
            <a:ln>
              <a:noFill/>
            </a:ln>
            <a:effectLst/>
          </a:endParaRPr>
        </a:p>
      </dgm:t>
    </dgm:pt>
    <dgm:pt modelId="{B1B89BE7-99D3-433C-B6A8-9F2FED7F8A13}" type="sibTrans" cxnId="{3FB93AD4-6C4C-4575-89EC-20A5B8A5A828}">
      <dgm:prSet/>
      <dgm:spPr/>
      <dgm:t>
        <a:bodyPr/>
        <a:lstStyle/>
        <a:p>
          <a:endParaRPr lang="en-US" sz="1200" b="0">
            <a:ln>
              <a:noFill/>
            </a:ln>
            <a:effectLst/>
          </a:endParaRPr>
        </a:p>
      </dgm:t>
    </dgm:pt>
    <dgm:pt modelId="{673F5A4B-6876-4292-B7B0-E85781FAAE9F}">
      <dgm:prSet custT="1"/>
      <dgm:spPr/>
      <dgm:t>
        <a:bodyPr/>
        <a:lstStyle/>
        <a:p>
          <a:r>
            <a:rPr lang="en-US" sz="1200" b="0" i="0" u="none" dirty="0">
              <a:ln/>
              <a:effectLst/>
              <a:latin typeface="Arial" panose="020B0604020202020204" pitchFamily="34" charset="0"/>
              <a:cs typeface="Arial" panose="020B0604020202020204" pitchFamily="34" charset="0"/>
            </a:rPr>
            <a:t>Challenges/Competitions</a:t>
          </a:r>
        </a:p>
      </dgm:t>
    </dgm:pt>
    <dgm:pt modelId="{62C0E350-A748-44AA-8004-605DD37595F5}" type="parTrans" cxnId="{AA05C7E9-C72B-42EB-9AE6-207204E4E8EF}">
      <dgm:prSet/>
      <dgm:spPr/>
      <dgm:t>
        <a:bodyPr/>
        <a:lstStyle/>
        <a:p>
          <a:endParaRPr lang="en-US" sz="1200" b="0">
            <a:ln>
              <a:noFill/>
            </a:ln>
            <a:effectLst/>
          </a:endParaRPr>
        </a:p>
      </dgm:t>
    </dgm:pt>
    <dgm:pt modelId="{12F829BB-18C5-4379-90A1-6376A7BA6847}" type="sibTrans" cxnId="{AA05C7E9-C72B-42EB-9AE6-207204E4E8EF}">
      <dgm:prSet/>
      <dgm:spPr/>
      <dgm:t>
        <a:bodyPr/>
        <a:lstStyle/>
        <a:p>
          <a:endParaRPr lang="en-US" sz="1200" b="0">
            <a:ln>
              <a:noFill/>
            </a:ln>
            <a:effectLst/>
          </a:endParaRPr>
        </a:p>
      </dgm:t>
    </dgm:pt>
    <dgm:pt modelId="{1EB70B80-AF09-475B-AD2F-20A923C514D8}">
      <dgm:prSet custT="1"/>
      <dgm:spPr/>
      <dgm:t>
        <a:bodyPr/>
        <a:lstStyle/>
        <a:p>
          <a:r>
            <a:rPr lang="en-US" sz="1200" b="0" i="0" u="none" dirty="0">
              <a:ln/>
              <a:effectLst/>
              <a:latin typeface="Arial" panose="020B0604020202020204" pitchFamily="34" charset="0"/>
              <a:cs typeface="Arial" panose="020B0604020202020204" pitchFamily="34" charset="0"/>
            </a:rPr>
            <a:t>Community-Based Social Media</a:t>
          </a:r>
        </a:p>
      </dgm:t>
    </dgm:pt>
    <dgm:pt modelId="{51F568F1-BA6D-4B6F-AB10-A29F6CBFBC6F}" type="parTrans" cxnId="{01015727-D2A9-4ED4-ABD0-7B54A8A71669}">
      <dgm:prSet/>
      <dgm:spPr/>
      <dgm:t>
        <a:bodyPr/>
        <a:lstStyle/>
        <a:p>
          <a:endParaRPr lang="en-US" sz="1200" b="0">
            <a:ln>
              <a:noFill/>
            </a:ln>
            <a:effectLst/>
          </a:endParaRPr>
        </a:p>
      </dgm:t>
    </dgm:pt>
    <dgm:pt modelId="{F5F1541B-4A69-4A01-B1B7-6F1A3A2F5B06}" type="sibTrans" cxnId="{01015727-D2A9-4ED4-ABD0-7B54A8A71669}">
      <dgm:prSet/>
      <dgm:spPr/>
      <dgm:t>
        <a:bodyPr/>
        <a:lstStyle/>
        <a:p>
          <a:endParaRPr lang="en-US" sz="1200" b="0">
            <a:ln>
              <a:noFill/>
            </a:ln>
            <a:effectLst/>
          </a:endParaRPr>
        </a:p>
      </dgm:t>
    </dgm:pt>
    <dgm:pt modelId="{30CF25F5-8658-401C-985B-752E00EA1B47}">
      <dgm:prSet custT="1"/>
      <dgm:spPr/>
      <dgm:t>
        <a:bodyPr/>
        <a:lstStyle/>
        <a:p>
          <a:r>
            <a:rPr lang="en-US" sz="1200" b="0" i="0" u="none" dirty="0">
              <a:ln/>
              <a:effectLst/>
              <a:latin typeface="Arial" panose="020B0604020202020204" pitchFamily="34" charset="0"/>
              <a:cs typeface="Arial" panose="020B0604020202020204" pitchFamily="34" charset="0"/>
            </a:rPr>
            <a:t>Strategic Energy Management</a:t>
          </a:r>
        </a:p>
      </dgm:t>
    </dgm:pt>
    <dgm:pt modelId="{2EA906CF-1117-4684-A7AC-2953B67828F4}" type="parTrans" cxnId="{2031528E-64D0-4D64-A614-9BE9888EBCE3}">
      <dgm:prSet/>
      <dgm:spPr/>
      <dgm:t>
        <a:bodyPr/>
        <a:lstStyle/>
        <a:p>
          <a:endParaRPr lang="en-US" sz="1200" b="0">
            <a:ln>
              <a:noFill/>
            </a:ln>
            <a:effectLst/>
          </a:endParaRPr>
        </a:p>
      </dgm:t>
    </dgm:pt>
    <dgm:pt modelId="{659DD838-4F86-4DD3-BB61-86742E525061}" type="sibTrans" cxnId="{2031528E-64D0-4D64-A614-9BE9888EBCE3}">
      <dgm:prSet/>
      <dgm:spPr/>
      <dgm:t>
        <a:bodyPr/>
        <a:lstStyle/>
        <a:p>
          <a:endParaRPr lang="en-US" sz="1200" b="0">
            <a:ln>
              <a:noFill/>
            </a:ln>
            <a:effectLst/>
          </a:endParaRPr>
        </a:p>
      </dgm:t>
    </dgm:pt>
    <dgm:pt modelId="{B40A23C2-69ED-4B43-B4F2-BE7145B1E443}">
      <dgm:prSet custT="1"/>
      <dgm:spPr/>
      <dgm:t>
        <a:bodyPr/>
        <a:lstStyle/>
        <a:p>
          <a:r>
            <a:rPr lang="en-US" sz="1200" b="0" i="0" u="none" dirty="0">
              <a:ln/>
              <a:effectLst/>
              <a:latin typeface="Arial" panose="020B0604020202020204" pitchFamily="34" charset="0"/>
              <a:cs typeface="Arial" panose="020B0604020202020204" pitchFamily="34" charset="0"/>
            </a:rPr>
            <a:t>Green Leases</a:t>
          </a:r>
        </a:p>
      </dgm:t>
    </dgm:pt>
    <dgm:pt modelId="{518ACFDC-12B6-40FB-AFA2-EE083C537425}" type="parTrans" cxnId="{32C1101C-E558-4B4A-81A5-DB8A1DE06916}">
      <dgm:prSet/>
      <dgm:spPr/>
      <dgm:t>
        <a:bodyPr/>
        <a:lstStyle/>
        <a:p>
          <a:endParaRPr lang="en-US" sz="1200" b="0">
            <a:ln>
              <a:noFill/>
            </a:ln>
            <a:effectLst/>
          </a:endParaRPr>
        </a:p>
      </dgm:t>
    </dgm:pt>
    <dgm:pt modelId="{37C7E821-05F2-44D7-AE59-92DA9EB25A84}" type="sibTrans" cxnId="{32C1101C-E558-4B4A-81A5-DB8A1DE06916}">
      <dgm:prSet/>
      <dgm:spPr/>
      <dgm:t>
        <a:bodyPr/>
        <a:lstStyle/>
        <a:p>
          <a:endParaRPr lang="en-US" sz="1200" b="0">
            <a:ln>
              <a:noFill/>
            </a:ln>
            <a:effectLst/>
          </a:endParaRPr>
        </a:p>
      </dgm:t>
    </dgm:pt>
    <dgm:pt modelId="{5F1F5691-A985-43A9-99BA-E94ABD9FFB7C}">
      <dgm:prSet custT="1"/>
      <dgm:spPr/>
      <dgm:t>
        <a:bodyPr/>
        <a:lstStyle/>
        <a:p>
          <a:r>
            <a:rPr lang="en-US" sz="1200" b="0" i="0" u="none" dirty="0">
              <a:ln/>
              <a:effectLst/>
              <a:latin typeface="Arial" panose="020B0604020202020204" pitchFamily="34" charset="0"/>
              <a:cs typeface="Arial" panose="020B0604020202020204" pitchFamily="34" charset="0"/>
            </a:rPr>
            <a:t>Building</a:t>
          </a:r>
          <a:r>
            <a:rPr lang="en-US" sz="1200" b="0" i="0" u="none" baseline="0" dirty="0">
              <a:ln/>
              <a:effectLst/>
              <a:latin typeface="Arial" panose="020B0604020202020204" pitchFamily="34" charset="0"/>
              <a:cs typeface="Arial" panose="020B0604020202020204" pitchFamily="34" charset="0"/>
            </a:rPr>
            <a:t> Benchmarking</a:t>
          </a:r>
          <a:endParaRPr lang="en-US" sz="1200" b="0" i="0" u="none" dirty="0">
            <a:ln/>
            <a:effectLst/>
            <a:latin typeface="Arial" panose="020B0604020202020204" pitchFamily="34" charset="0"/>
            <a:cs typeface="Arial" panose="020B0604020202020204" pitchFamily="34" charset="0"/>
          </a:endParaRPr>
        </a:p>
      </dgm:t>
    </dgm:pt>
    <dgm:pt modelId="{F1BBA27D-DCA4-4E57-A321-EA4DA813C6D8}" type="parTrans" cxnId="{FFC2E9F3-6095-454F-BCB1-8796F4185E6F}">
      <dgm:prSet/>
      <dgm:spPr/>
      <dgm:t>
        <a:bodyPr/>
        <a:lstStyle/>
        <a:p>
          <a:endParaRPr lang="en-US" sz="1200" b="0">
            <a:ln>
              <a:noFill/>
            </a:ln>
            <a:effectLst/>
          </a:endParaRPr>
        </a:p>
      </dgm:t>
    </dgm:pt>
    <dgm:pt modelId="{DEA23E13-D6E9-4760-B762-B427723909E4}" type="sibTrans" cxnId="{FFC2E9F3-6095-454F-BCB1-8796F4185E6F}">
      <dgm:prSet/>
      <dgm:spPr/>
      <dgm:t>
        <a:bodyPr/>
        <a:lstStyle/>
        <a:p>
          <a:endParaRPr lang="en-US" sz="1200" b="0">
            <a:ln>
              <a:noFill/>
            </a:ln>
            <a:effectLst/>
          </a:endParaRPr>
        </a:p>
      </dgm:t>
    </dgm:pt>
    <dgm:pt modelId="{F3566B34-F60A-4009-978D-32DAFF94AD02}">
      <dgm:prSet custT="1"/>
      <dgm:spPr/>
      <dgm:t>
        <a:bodyPr/>
        <a:lstStyle/>
        <a:p>
          <a:r>
            <a:rPr lang="en-US" sz="1200" b="0" i="0" u="none" dirty="0">
              <a:ln/>
              <a:effectLst/>
              <a:latin typeface="Arial" panose="020B0604020202020204" pitchFamily="34" charset="0"/>
              <a:cs typeface="Arial" panose="020B0604020202020204" pitchFamily="34" charset="0"/>
            </a:rPr>
            <a:t>Tenant-Operator</a:t>
          </a:r>
          <a:r>
            <a:rPr lang="en-US" sz="1200" b="0" i="0" u="none" baseline="0" dirty="0">
              <a:ln/>
              <a:effectLst/>
              <a:latin typeface="Arial" panose="020B0604020202020204" pitchFamily="34" charset="0"/>
              <a:cs typeface="Arial" panose="020B0604020202020204" pitchFamily="34" charset="0"/>
            </a:rPr>
            <a:t> Engagement (COMFY)</a:t>
          </a:r>
          <a:endParaRPr lang="en-US" sz="1200" b="0" i="0" u="none" dirty="0">
            <a:ln/>
            <a:effectLst/>
            <a:latin typeface="Arial" panose="020B0604020202020204" pitchFamily="34" charset="0"/>
            <a:cs typeface="Arial" panose="020B0604020202020204" pitchFamily="34" charset="0"/>
          </a:endParaRPr>
        </a:p>
      </dgm:t>
    </dgm:pt>
    <dgm:pt modelId="{B8C9F231-C30F-4C84-A812-BF1A08595A26}" type="parTrans" cxnId="{DCDC5CC0-241D-4DA2-848B-05BBA5B25F10}">
      <dgm:prSet/>
      <dgm:spPr/>
      <dgm:t>
        <a:bodyPr/>
        <a:lstStyle/>
        <a:p>
          <a:endParaRPr lang="en-US" sz="1200" b="0">
            <a:ln>
              <a:noFill/>
            </a:ln>
            <a:effectLst/>
          </a:endParaRPr>
        </a:p>
      </dgm:t>
    </dgm:pt>
    <dgm:pt modelId="{87DAA3BA-34E1-4DE4-BB13-A5105482F18B}" type="sibTrans" cxnId="{DCDC5CC0-241D-4DA2-848B-05BBA5B25F10}">
      <dgm:prSet/>
      <dgm:spPr/>
      <dgm:t>
        <a:bodyPr/>
        <a:lstStyle/>
        <a:p>
          <a:endParaRPr lang="en-US" sz="1200" b="0">
            <a:ln>
              <a:noFill/>
            </a:ln>
            <a:effectLst/>
          </a:endParaRPr>
        </a:p>
      </dgm:t>
    </dgm:pt>
    <dgm:pt modelId="{0C49F671-D008-4408-95A8-A4326E243BF1}">
      <dgm:prSet phldrT="[Text]" custT="1"/>
      <dgm:spPr/>
      <dgm:t>
        <a:bodyPr/>
        <a:lstStyle/>
        <a:p>
          <a:pPr marL="0" lvl="0" defTabSz="933450">
            <a:lnSpc>
              <a:spcPct val="100000"/>
            </a:lnSpc>
            <a:spcBef>
              <a:spcPct val="0"/>
            </a:spcBef>
            <a:spcAft>
              <a:spcPts val="600"/>
            </a:spcAft>
            <a:buNone/>
          </a:pPr>
          <a:r>
            <a:rPr lang="en-US" sz="1200" b="0" dirty="0">
              <a:ln/>
              <a:effectLst/>
              <a:latin typeface="Arial" panose="020B0604020202020204" pitchFamily="34" charset="0"/>
              <a:cs typeface="Arial" panose="020B0604020202020204" pitchFamily="34" charset="0"/>
            </a:rPr>
            <a:t>*Building Benchmarking</a:t>
          </a:r>
        </a:p>
        <a:p>
          <a:pPr marL="0" lvl="0" defTabSz="933450">
            <a:lnSpc>
              <a:spcPct val="100000"/>
            </a:lnSpc>
            <a:spcBef>
              <a:spcPct val="0"/>
            </a:spcBef>
            <a:spcAft>
              <a:spcPts val="600"/>
            </a:spcAft>
            <a:buNone/>
          </a:pPr>
          <a:r>
            <a:rPr lang="en-US" sz="1200" b="0" dirty="0" err="1">
              <a:ln/>
              <a:effectLst/>
              <a:latin typeface="Arial" panose="020B0604020202020204" pitchFamily="34" charset="0"/>
              <a:cs typeface="Arial" panose="020B0604020202020204" pitchFamily="34" charset="0"/>
            </a:rPr>
            <a:t>Retrocommissioning</a:t>
          </a:r>
          <a:endParaRPr lang="en-US" sz="1200" b="0" dirty="0">
            <a:ln/>
            <a:effectLst/>
            <a:latin typeface="Arial" panose="020B0604020202020204" pitchFamily="34" charset="0"/>
            <a:cs typeface="Arial" panose="020B0604020202020204" pitchFamily="34" charset="0"/>
          </a:endParaRPr>
        </a:p>
      </dgm:t>
    </dgm:pt>
    <dgm:pt modelId="{C684489E-E40F-408C-A8E8-AE4ED048F677}" type="parTrans" cxnId="{85638CD7-D915-4390-A9E4-B919C4773078}">
      <dgm:prSet/>
      <dgm:spPr/>
      <dgm:t>
        <a:bodyPr/>
        <a:lstStyle/>
        <a:p>
          <a:endParaRPr lang="en-US" sz="1200" b="0">
            <a:ln>
              <a:noFill/>
            </a:ln>
            <a:effectLst/>
          </a:endParaRPr>
        </a:p>
      </dgm:t>
    </dgm:pt>
    <dgm:pt modelId="{104D1EC1-E869-414D-B1C9-E5F872286868}" type="sibTrans" cxnId="{85638CD7-D915-4390-A9E4-B919C4773078}">
      <dgm:prSet/>
      <dgm:spPr/>
      <dgm:t>
        <a:bodyPr/>
        <a:lstStyle/>
        <a:p>
          <a:endParaRPr lang="en-US" sz="1200" b="0">
            <a:ln>
              <a:noFill/>
            </a:ln>
            <a:effectLst/>
          </a:endParaRPr>
        </a:p>
      </dgm:t>
    </dgm:pt>
    <dgm:pt modelId="{23E32635-10C9-4C66-833A-2081FB2EB5EA}">
      <dgm:prSet phldrT="[Text]" custT="1"/>
      <dgm:spPr/>
      <dgm:t>
        <a:bodyPr/>
        <a:lstStyle/>
        <a:p>
          <a:pPr marL="0" lvl="0" defTabSz="933450">
            <a:lnSpc>
              <a:spcPct val="100000"/>
            </a:lnSpc>
            <a:spcBef>
              <a:spcPct val="0"/>
            </a:spcBef>
            <a:spcAft>
              <a:spcPts val="600"/>
            </a:spcAft>
            <a:buNone/>
          </a:pPr>
          <a:endParaRPr lang="en-US" sz="1200" b="0" dirty="0">
            <a:ln>
              <a:noFill/>
            </a:ln>
            <a:effectLst/>
            <a:latin typeface="Arial" panose="020B0604020202020204" pitchFamily="34" charset="0"/>
            <a:cs typeface="Arial" panose="020B0604020202020204" pitchFamily="34" charset="0"/>
          </a:endParaRPr>
        </a:p>
      </dgm:t>
    </dgm:pt>
    <dgm:pt modelId="{2035102B-39F2-485F-88F1-B9A57B32BF9A}" type="parTrans" cxnId="{36BC34EC-F287-47CB-9374-A7101AFADA85}">
      <dgm:prSet/>
      <dgm:spPr/>
      <dgm:t>
        <a:bodyPr/>
        <a:lstStyle/>
        <a:p>
          <a:endParaRPr lang="en-US" sz="1200" b="0">
            <a:ln>
              <a:noFill/>
            </a:ln>
            <a:effectLst/>
          </a:endParaRPr>
        </a:p>
      </dgm:t>
    </dgm:pt>
    <dgm:pt modelId="{048A81D2-69E0-4AD1-914F-5216D54056D8}" type="sibTrans" cxnId="{36BC34EC-F287-47CB-9374-A7101AFADA85}">
      <dgm:prSet/>
      <dgm:spPr/>
      <dgm:t>
        <a:bodyPr/>
        <a:lstStyle/>
        <a:p>
          <a:endParaRPr lang="en-US" sz="1200" b="0">
            <a:ln>
              <a:noFill/>
            </a:ln>
            <a:effectLst/>
          </a:endParaRPr>
        </a:p>
      </dgm:t>
    </dgm:pt>
    <dgm:pt modelId="{F2FD8781-31D2-4580-9DE8-449B9F4D2505}">
      <dgm:prSet phldrT="[Text]" custT="1"/>
      <dgm:spPr/>
      <dgm:t>
        <a:bodyPr/>
        <a:lstStyle/>
        <a:p>
          <a:pPr marL="0" lvl="0" defTabSz="933450">
            <a:lnSpc>
              <a:spcPct val="100000"/>
            </a:lnSpc>
            <a:spcBef>
              <a:spcPct val="0"/>
            </a:spcBef>
            <a:spcAft>
              <a:spcPts val="600"/>
            </a:spcAft>
            <a:buNone/>
          </a:pPr>
          <a:endParaRPr lang="en-US" sz="1200" b="0" dirty="0">
            <a:ln>
              <a:noFill/>
            </a:ln>
            <a:effectLst/>
            <a:latin typeface="Arial" panose="020B0604020202020204" pitchFamily="34" charset="0"/>
            <a:cs typeface="Arial" panose="020B0604020202020204" pitchFamily="34" charset="0"/>
          </a:endParaRPr>
        </a:p>
      </dgm:t>
    </dgm:pt>
    <dgm:pt modelId="{0A1B5629-1DAF-4AA9-9DDC-9D9CF3A61D58}" type="parTrans" cxnId="{CC36E577-465E-4666-B888-29BE5704A023}">
      <dgm:prSet/>
      <dgm:spPr/>
      <dgm:t>
        <a:bodyPr/>
        <a:lstStyle/>
        <a:p>
          <a:endParaRPr lang="en-US" sz="1200" b="0">
            <a:ln>
              <a:noFill/>
            </a:ln>
            <a:effectLst/>
          </a:endParaRPr>
        </a:p>
      </dgm:t>
    </dgm:pt>
    <dgm:pt modelId="{24257218-36D1-4C98-9445-4F9216FA7084}" type="sibTrans" cxnId="{CC36E577-465E-4666-B888-29BE5704A023}">
      <dgm:prSet/>
      <dgm:spPr/>
      <dgm:t>
        <a:bodyPr/>
        <a:lstStyle/>
        <a:p>
          <a:endParaRPr lang="en-US" sz="1200" b="0">
            <a:ln>
              <a:noFill/>
            </a:ln>
            <a:effectLst/>
          </a:endParaRPr>
        </a:p>
      </dgm:t>
    </dgm:pt>
    <dgm:pt modelId="{D5B9FFFE-CB31-4F6A-8B02-88B44B8FAB97}">
      <dgm:prSet phldrT="[Text]" custT="1"/>
      <dgm:spPr/>
      <dgm:t>
        <a:bodyPr/>
        <a:lstStyle/>
        <a:p>
          <a:pPr marL="0" lvl="0" defTabSz="933450">
            <a:lnSpc>
              <a:spcPct val="100000"/>
            </a:lnSpc>
            <a:spcBef>
              <a:spcPct val="0"/>
            </a:spcBef>
            <a:spcAft>
              <a:spcPts val="600"/>
            </a:spcAft>
            <a:buNone/>
          </a:pPr>
          <a:endParaRPr lang="en-US" sz="1200" b="0" dirty="0">
            <a:ln>
              <a:noFill/>
            </a:ln>
            <a:effectLst/>
            <a:latin typeface="Arial" panose="020B0604020202020204" pitchFamily="34" charset="0"/>
            <a:cs typeface="Arial" panose="020B0604020202020204" pitchFamily="34" charset="0"/>
          </a:endParaRPr>
        </a:p>
      </dgm:t>
    </dgm:pt>
    <dgm:pt modelId="{7F54AC56-708F-4FDE-B15C-E7E2E6E17231}" type="parTrans" cxnId="{DDD2248D-57DD-4A17-99D3-6925CE3ECC9C}">
      <dgm:prSet/>
      <dgm:spPr/>
      <dgm:t>
        <a:bodyPr/>
        <a:lstStyle/>
        <a:p>
          <a:endParaRPr lang="en-US" sz="1200" b="0">
            <a:ln>
              <a:noFill/>
            </a:ln>
            <a:effectLst/>
          </a:endParaRPr>
        </a:p>
      </dgm:t>
    </dgm:pt>
    <dgm:pt modelId="{4059FFA3-6A64-4102-9F63-9FF34E80817A}" type="sibTrans" cxnId="{DDD2248D-57DD-4A17-99D3-6925CE3ECC9C}">
      <dgm:prSet/>
      <dgm:spPr/>
      <dgm:t>
        <a:bodyPr/>
        <a:lstStyle/>
        <a:p>
          <a:endParaRPr lang="en-US" sz="1200" b="0">
            <a:ln>
              <a:noFill/>
            </a:ln>
            <a:effectLst/>
          </a:endParaRPr>
        </a:p>
      </dgm:t>
    </dgm:pt>
    <dgm:pt modelId="{C834922D-0535-4F69-9D98-35817F48BF2B}" type="pres">
      <dgm:prSet presAssocID="{0323B17A-1B97-4857-BA77-63171F3CBA7C}" presName="Name0" presStyleCnt="0">
        <dgm:presLayoutVars>
          <dgm:dir/>
          <dgm:animLvl val="lvl"/>
          <dgm:resizeHandles val="exact"/>
        </dgm:presLayoutVars>
      </dgm:prSet>
      <dgm:spPr/>
    </dgm:pt>
    <dgm:pt modelId="{2D780D10-913F-4957-9F5E-3AFD470FEE16}" type="pres">
      <dgm:prSet presAssocID="{3B649C3D-2C17-4017-9899-7FA1594CA1CC}" presName="compositeNode" presStyleCnt="0">
        <dgm:presLayoutVars>
          <dgm:bulletEnabled val="1"/>
        </dgm:presLayoutVars>
      </dgm:prSet>
      <dgm:spPr/>
    </dgm:pt>
    <dgm:pt modelId="{4395670E-8DBC-4395-BB38-EF659C71AA25}" type="pres">
      <dgm:prSet presAssocID="{3B649C3D-2C17-4017-9899-7FA1594CA1CC}" presName="bgRect" presStyleLbl="node1" presStyleIdx="0" presStyleCnt="2"/>
      <dgm:spPr/>
    </dgm:pt>
    <dgm:pt modelId="{F17FD801-69BD-4ECC-A36E-F28A3E8682E1}" type="pres">
      <dgm:prSet presAssocID="{3B649C3D-2C17-4017-9899-7FA1594CA1CC}" presName="parentNode" presStyleLbl="node1" presStyleIdx="0" presStyleCnt="2">
        <dgm:presLayoutVars>
          <dgm:chMax val="0"/>
          <dgm:bulletEnabled val="1"/>
        </dgm:presLayoutVars>
      </dgm:prSet>
      <dgm:spPr/>
    </dgm:pt>
    <dgm:pt modelId="{39BB9AB1-3A61-453F-B231-98D464FD5EDD}" type="pres">
      <dgm:prSet presAssocID="{3B649C3D-2C17-4017-9899-7FA1594CA1CC}" presName="childNode" presStyleLbl="node1" presStyleIdx="0" presStyleCnt="2">
        <dgm:presLayoutVars>
          <dgm:bulletEnabled val="1"/>
        </dgm:presLayoutVars>
      </dgm:prSet>
      <dgm:spPr/>
    </dgm:pt>
    <dgm:pt modelId="{CE007C6A-EDF0-4173-82C6-C4E84E2EB0E6}" type="pres">
      <dgm:prSet presAssocID="{D61F0250-9B52-43AD-85B7-702626558915}" presName="hSp" presStyleCnt="0"/>
      <dgm:spPr/>
    </dgm:pt>
    <dgm:pt modelId="{FEBA2D54-0B2F-4C00-BB25-EFDAEA79BFE0}" type="pres">
      <dgm:prSet presAssocID="{D61F0250-9B52-43AD-85B7-702626558915}" presName="vProcSp" presStyleCnt="0"/>
      <dgm:spPr/>
    </dgm:pt>
    <dgm:pt modelId="{928F13DC-9809-40AA-ACC7-73C721B8F493}" type="pres">
      <dgm:prSet presAssocID="{D61F0250-9B52-43AD-85B7-702626558915}" presName="vSp1" presStyleCnt="0"/>
      <dgm:spPr/>
    </dgm:pt>
    <dgm:pt modelId="{4CB86EB9-1637-413E-BFC7-7012CBD6C28D}" type="pres">
      <dgm:prSet presAssocID="{D61F0250-9B52-43AD-85B7-702626558915}" presName="simulatedConn" presStyleLbl="solidFgAcc1" presStyleIdx="0" presStyleCnt="1"/>
      <dgm:spPr/>
    </dgm:pt>
    <dgm:pt modelId="{263E0347-CB7F-4245-9358-3EF2622CF6FD}" type="pres">
      <dgm:prSet presAssocID="{D61F0250-9B52-43AD-85B7-702626558915}" presName="vSp2" presStyleCnt="0"/>
      <dgm:spPr/>
    </dgm:pt>
    <dgm:pt modelId="{09E04D2F-FF6D-4E9E-8267-B5ACA6BF9C4D}" type="pres">
      <dgm:prSet presAssocID="{D61F0250-9B52-43AD-85B7-702626558915}" presName="sibTrans" presStyleCnt="0"/>
      <dgm:spPr/>
    </dgm:pt>
    <dgm:pt modelId="{B61E5E0F-3CDD-4F0C-9900-633E2EF937F7}" type="pres">
      <dgm:prSet presAssocID="{C1B64A8C-1D2D-4580-9D8B-19859210B2C4}" presName="compositeNode" presStyleCnt="0">
        <dgm:presLayoutVars>
          <dgm:bulletEnabled val="1"/>
        </dgm:presLayoutVars>
      </dgm:prSet>
      <dgm:spPr/>
    </dgm:pt>
    <dgm:pt modelId="{2E3DDD08-58A3-4E25-B2DC-2F076F5980BB}" type="pres">
      <dgm:prSet presAssocID="{C1B64A8C-1D2D-4580-9D8B-19859210B2C4}" presName="bgRect" presStyleLbl="node1" presStyleIdx="1" presStyleCnt="2"/>
      <dgm:spPr/>
    </dgm:pt>
    <dgm:pt modelId="{8F066C72-3B40-46EC-88C9-DB2BDF678CB2}" type="pres">
      <dgm:prSet presAssocID="{C1B64A8C-1D2D-4580-9D8B-19859210B2C4}" presName="parentNode" presStyleLbl="node1" presStyleIdx="1" presStyleCnt="2">
        <dgm:presLayoutVars>
          <dgm:chMax val="0"/>
          <dgm:bulletEnabled val="1"/>
        </dgm:presLayoutVars>
      </dgm:prSet>
      <dgm:spPr/>
    </dgm:pt>
    <dgm:pt modelId="{A045B125-1AAC-4EBB-B444-999B4D9FD76C}" type="pres">
      <dgm:prSet presAssocID="{C1B64A8C-1D2D-4580-9D8B-19859210B2C4}" presName="childNode" presStyleLbl="node1" presStyleIdx="1" presStyleCnt="2">
        <dgm:presLayoutVars>
          <dgm:bulletEnabled val="1"/>
        </dgm:presLayoutVars>
      </dgm:prSet>
      <dgm:spPr/>
    </dgm:pt>
  </dgm:ptLst>
  <dgm:cxnLst>
    <dgm:cxn modelId="{FFC2E9F3-6095-454F-BCB1-8796F4185E6F}" srcId="{3B649C3D-2C17-4017-9899-7FA1594CA1CC}" destId="{5F1F5691-A985-43A9-99BA-E94ABD9FFB7C}" srcOrd="7" destOrd="0" parTransId="{F1BBA27D-DCA4-4E57-A321-EA4DA813C6D8}" sibTransId="{DEA23E13-D6E9-4760-B762-B427723909E4}"/>
    <dgm:cxn modelId="{82EBAEFD-393A-43BD-875F-12CB54CDCF19}" srcId="{3B649C3D-2C17-4017-9899-7FA1594CA1CC}" destId="{7F7C532D-D610-48D7-9FD7-146F089F5FB2}" srcOrd="1" destOrd="0" parTransId="{A2C46738-D42E-46E9-9137-38CC1720BE7B}" sibTransId="{E844708F-26E4-4261-989C-9B8A3D2E6EA6}"/>
    <dgm:cxn modelId="{79044C03-B501-4269-8FA5-B57CC5081D80}" type="presOf" srcId="{673F5A4B-6876-4292-B7B0-E85781FAAE9F}" destId="{39BB9AB1-3A61-453F-B231-98D464FD5EDD}" srcOrd="0" destOrd="3" presId="urn:microsoft.com/office/officeart/2005/8/layout/hProcess7"/>
    <dgm:cxn modelId="{32C1101C-E558-4B4A-81A5-DB8A1DE06916}" srcId="{3B649C3D-2C17-4017-9899-7FA1594CA1CC}" destId="{B40A23C2-69ED-4B43-B4F2-BE7145B1E443}" srcOrd="6" destOrd="0" parTransId="{518ACFDC-12B6-40FB-AFA2-EE083C537425}" sibTransId="{37C7E821-05F2-44D7-AE59-92DA9EB25A84}"/>
    <dgm:cxn modelId="{01015727-D2A9-4ED4-ABD0-7B54A8A71669}" srcId="{3B649C3D-2C17-4017-9899-7FA1594CA1CC}" destId="{1EB70B80-AF09-475B-AD2F-20A923C514D8}" srcOrd="4" destOrd="0" parTransId="{51F568F1-BA6D-4B6F-AB10-A29F6CBFBC6F}" sibTransId="{F5F1541B-4A69-4A01-B1B7-6F1A3A2F5B06}"/>
    <dgm:cxn modelId="{34156DC6-8C10-48EC-8983-C01D8C87095F}" type="presOf" srcId="{D5B9FFFE-CB31-4F6A-8B02-88B44B8FAB97}" destId="{A045B125-1AAC-4EBB-B444-999B4D9FD76C}" srcOrd="0" destOrd="4" presId="urn:microsoft.com/office/officeart/2005/8/layout/hProcess7"/>
    <dgm:cxn modelId="{DDD2248D-57DD-4A17-99D3-6925CE3ECC9C}" srcId="{C1B64A8C-1D2D-4580-9D8B-19859210B2C4}" destId="{D5B9FFFE-CB31-4F6A-8B02-88B44B8FAB97}" srcOrd="4" destOrd="0" parTransId="{7F54AC56-708F-4FDE-B15C-E7E2E6E17231}" sibTransId="{4059FFA3-6A64-4102-9F63-9FF34E80817A}"/>
    <dgm:cxn modelId="{9A2687D7-5673-4B5D-BCC6-6F7D5BF145F6}" type="presOf" srcId="{0C49F671-D008-4408-95A8-A4326E243BF1}" destId="{A045B125-1AAC-4EBB-B444-999B4D9FD76C}" srcOrd="0" destOrd="1" presId="urn:microsoft.com/office/officeart/2005/8/layout/hProcess7"/>
    <dgm:cxn modelId="{657BE8D5-A093-41A8-BF22-BCE78AEB47FE}" type="presOf" srcId="{5F1F5691-A985-43A9-99BA-E94ABD9FFB7C}" destId="{39BB9AB1-3A61-453F-B231-98D464FD5EDD}" srcOrd="0" destOrd="7" presId="urn:microsoft.com/office/officeart/2005/8/layout/hProcess7"/>
    <dgm:cxn modelId="{20DA4B24-ED41-4DE8-9CDC-554769D9AFB2}" type="presOf" srcId="{43134FFB-E623-45AB-9485-082634E254E1}" destId="{39BB9AB1-3A61-453F-B231-98D464FD5EDD}" srcOrd="0" destOrd="2" presId="urn:microsoft.com/office/officeart/2005/8/layout/hProcess7"/>
    <dgm:cxn modelId="{ACE6E48D-0C0A-418D-97E2-7EA7A3DFE4F9}" type="presOf" srcId="{1EB70B80-AF09-475B-AD2F-20A923C514D8}" destId="{39BB9AB1-3A61-453F-B231-98D464FD5EDD}" srcOrd="0" destOrd="4" presId="urn:microsoft.com/office/officeart/2005/8/layout/hProcess7"/>
    <dgm:cxn modelId="{CC36E577-465E-4666-B888-29BE5704A023}" srcId="{C1B64A8C-1D2D-4580-9D8B-19859210B2C4}" destId="{F2FD8781-31D2-4580-9DE8-449B9F4D2505}" srcOrd="3" destOrd="0" parTransId="{0A1B5629-1DAF-4AA9-9DDC-9D9CF3A61D58}" sibTransId="{24257218-36D1-4C98-9445-4F9216FA7084}"/>
    <dgm:cxn modelId="{232F940C-DB7C-4942-897B-47A264837D57}" srcId="{3B649C3D-2C17-4017-9899-7FA1594CA1CC}" destId="{0387CCBA-3A1D-4216-BD43-18A58A906ED3}" srcOrd="0" destOrd="0" parTransId="{2EE8FB44-C373-45CA-B010-A63690B0123B}" sibTransId="{1EAF7054-A6D7-4617-A4B2-4C22991996B9}"/>
    <dgm:cxn modelId="{3FB93AD4-6C4C-4575-89EC-20A5B8A5A828}" srcId="{3B649C3D-2C17-4017-9899-7FA1594CA1CC}" destId="{43134FFB-E623-45AB-9485-082634E254E1}" srcOrd="2" destOrd="0" parTransId="{2A161E24-D1C0-4595-B3EC-2DCBFBE25C74}" sibTransId="{B1B89BE7-99D3-433C-B6A8-9F2FED7F8A13}"/>
    <dgm:cxn modelId="{E87E2A51-8AE7-4504-990F-343BC362A14C}" type="presOf" srcId="{F3566B34-F60A-4009-978D-32DAFF94AD02}" destId="{39BB9AB1-3A61-453F-B231-98D464FD5EDD}" srcOrd="0" destOrd="8" presId="urn:microsoft.com/office/officeart/2005/8/layout/hProcess7"/>
    <dgm:cxn modelId="{F3EF5E86-E7D5-4E98-804E-BBCBA2D0CD0B}" type="presOf" srcId="{3B649C3D-2C17-4017-9899-7FA1594CA1CC}" destId="{F17FD801-69BD-4ECC-A36E-F28A3E8682E1}" srcOrd="1" destOrd="0" presId="urn:microsoft.com/office/officeart/2005/8/layout/hProcess7"/>
    <dgm:cxn modelId="{DCDC5CC0-241D-4DA2-848B-05BBA5B25F10}" srcId="{3B649C3D-2C17-4017-9899-7FA1594CA1CC}" destId="{F3566B34-F60A-4009-978D-32DAFF94AD02}" srcOrd="8" destOrd="0" parTransId="{B8C9F231-C30F-4C84-A812-BF1A08595A26}" sibTransId="{87DAA3BA-34E1-4DE4-BB13-A5105482F18B}"/>
    <dgm:cxn modelId="{51124E61-5F90-446F-8AA6-55F2239D365C}" type="presOf" srcId="{C1B64A8C-1D2D-4580-9D8B-19859210B2C4}" destId="{2E3DDD08-58A3-4E25-B2DC-2F076F5980BB}" srcOrd="0" destOrd="0" presId="urn:microsoft.com/office/officeart/2005/8/layout/hProcess7"/>
    <dgm:cxn modelId="{F66405A9-F519-4CF0-A558-6401AC44A98C}" type="presOf" srcId="{7F7C532D-D610-48D7-9FD7-146F089F5FB2}" destId="{39BB9AB1-3A61-453F-B231-98D464FD5EDD}" srcOrd="0" destOrd="1" presId="urn:microsoft.com/office/officeart/2005/8/layout/hProcess7"/>
    <dgm:cxn modelId="{DB5260DB-50AC-4BA6-ACC9-424AE2E5E823}" srcId="{0323B17A-1B97-4857-BA77-63171F3CBA7C}" destId="{3B649C3D-2C17-4017-9899-7FA1594CA1CC}" srcOrd="0" destOrd="0" parTransId="{1C566021-B9B2-4025-A47A-82E19134D0F2}" sibTransId="{D61F0250-9B52-43AD-85B7-702626558915}"/>
    <dgm:cxn modelId="{0CCC1023-7820-4F9D-AB27-5F8C1AE683CF}" type="presOf" srcId="{C1B64A8C-1D2D-4580-9D8B-19859210B2C4}" destId="{8F066C72-3B40-46EC-88C9-DB2BDF678CB2}" srcOrd="1" destOrd="0" presId="urn:microsoft.com/office/officeart/2005/8/layout/hProcess7"/>
    <dgm:cxn modelId="{85638CD7-D915-4390-A9E4-B919C4773078}" srcId="{C1B64A8C-1D2D-4580-9D8B-19859210B2C4}" destId="{0C49F671-D008-4408-95A8-A4326E243BF1}" srcOrd="1" destOrd="0" parTransId="{C684489E-E40F-408C-A8E8-AE4ED048F677}" sibTransId="{104D1EC1-E869-414D-B1C9-E5F872286868}"/>
    <dgm:cxn modelId="{96018F68-E5A8-46EE-977E-D436A03647AA}" srcId="{0323B17A-1B97-4857-BA77-63171F3CBA7C}" destId="{C1B64A8C-1D2D-4580-9D8B-19859210B2C4}" srcOrd="1" destOrd="0" parTransId="{4B29DD7A-8BEB-4F9D-851F-BA243064BDF8}" sibTransId="{8A7A2A5F-E925-4132-A4D1-1891932FFC2B}"/>
    <dgm:cxn modelId="{351F29E7-1DF1-44E3-B349-6FADD42C03CD}" type="presOf" srcId="{0323B17A-1B97-4857-BA77-63171F3CBA7C}" destId="{C834922D-0535-4F69-9D98-35817F48BF2B}" srcOrd="0" destOrd="0" presId="urn:microsoft.com/office/officeart/2005/8/layout/hProcess7"/>
    <dgm:cxn modelId="{78BA85A3-AE28-465E-8F4A-B3E4A61BF441}" type="presOf" srcId="{30CF25F5-8658-401C-985B-752E00EA1B47}" destId="{39BB9AB1-3A61-453F-B231-98D464FD5EDD}" srcOrd="0" destOrd="5" presId="urn:microsoft.com/office/officeart/2005/8/layout/hProcess7"/>
    <dgm:cxn modelId="{B7F6FF1E-8968-4B15-8234-8446D07F3B06}" type="presOf" srcId="{23E32635-10C9-4C66-833A-2081FB2EB5EA}" destId="{A045B125-1AAC-4EBB-B444-999B4D9FD76C}" srcOrd="0" destOrd="2" presId="urn:microsoft.com/office/officeart/2005/8/layout/hProcess7"/>
    <dgm:cxn modelId="{0019F941-8DEF-4CC9-AFFF-021452AD0ED9}" type="presOf" srcId="{B40A23C2-69ED-4B43-B4F2-BE7145B1E443}" destId="{39BB9AB1-3A61-453F-B231-98D464FD5EDD}" srcOrd="0" destOrd="6" presId="urn:microsoft.com/office/officeart/2005/8/layout/hProcess7"/>
    <dgm:cxn modelId="{2031528E-64D0-4D64-A614-9BE9888EBCE3}" srcId="{3B649C3D-2C17-4017-9899-7FA1594CA1CC}" destId="{30CF25F5-8658-401C-985B-752E00EA1B47}" srcOrd="5" destOrd="0" parTransId="{2EA906CF-1117-4684-A7AC-2953B67828F4}" sibTransId="{659DD838-4F86-4DD3-BB61-86742E525061}"/>
    <dgm:cxn modelId="{7682A783-6D6F-405A-A741-EE641778B3E6}" type="presOf" srcId="{0387CCBA-3A1D-4216-BD43-18A58A906ED3}" destId="{39BB9AB1-3A61-453F-B231-98D464FD5EDD}" srcOrd="0" destOrd="0" presId="urn:microsoft.com/office/officeart/2005/8/layout/hProcess7"/>
    <dgm:cxn modelId="{36BC34EC-F287-47CB-9374-A7101AFADA85}" srcId="{C1B64A8C-1D2D-4580-9D8B-19859210B2C4}" destId="{23E32635-10C9-4C66-833A-2081FB2EB5EA}" srcOrd="2" destOrd="0" parTransId="{2035102B-39F2-485F-88F1-B9A57B32BF9A}" sibTransId="{048A81D2-69E0-4AD1-914F-5216D54056D8}"/>
    <dgm:cxn modelId="{AA05C7E9-C72B-42EB-9AE6-207204E4E8EF}" srcId="{3B649C3D-2C17-4017-9899-7FA1594CA1CC}" destId="{673F5A4B-6876-4292-B7B0-E85781FAAE9F}" srcOrd="3" destOrd="0" parTransId="{62C0E350-A748-44AA-8004-605DD37595F5}" sibTransId="{12F829BB-18C5-4379-90A1-6376A7BA6847}"/>
    <dgm:cxn modelId="{3FC04C5B-3076-4D4B-A524-6A8657E1F599}" type="presOf" srcId="{F2FD8781-31D2-4580-9DE8-449B9F4D2505}" destId="{A045B125-1AAC-4EBB-B444-999B4D9FD76C}" srcOrd="0" destOrd="3" presId="urn:microsoft.com/office/officeart/2005/8/layout/hProcess7"/>
    <dgm:cxn modelId="{37A25221-1662-4269-9C94-2B323452FB20}" srcId="{C1B64A8C-1D2D-4580-9D8B-19859210B2C4}" destId="{F6AB8458-BE0B-4378-BAB3-05B04341E319}" srcOrd="0" destOrd="0" parTransId="{7E93F9AA-05AA-4F23-9A83-BBD05EB3A731}" sibTransId="{8965968E-9048-4C74-8BCF-024CB9B5ADE2}"/>
    <dgm:cxn modelId="{D52A4636-931F-4EBA-ABFF-A146BC8DC869}" type="presOf" srcId="{F6AB8458-BE0B-4378-BAB3-05B04341E319}" destId="{A045B125-1AAC-4EBB-B444-999B4D9FD76C}" srcOrd="0" destOrd="0" presId="urn:microsoft.com/office/officeart/2005/8/layout/hProcess7"/>
    <dgm:cxn modelId="{5749FD27-4FCF-4BC3-99ED-B9648D665073}" type="presOf" srcId="{3B649C3D-2C17-4017-9899-7FA1594CA1CC}" destId="{4395670E-8DBC-4395-BB38-EF659C71AA25}" srcOrd="0" destOrd="0" presId="urn:microsoft.com/office/officeart/2005/8/layout/hProcess7"/>
    <dgm:cxn modelId="{8893D250-FF56-4B95-951C-46D187573AB2}" type="presParOf" srcId="{C834922D-0535-4F69-9D98-35817F48BF2B}" destId="{2D780D10-913F-4957-9F5E-3AFD470FEE16}" srcOrd="0" destOrd="0" presId="urn:microsoft.com/office/officeart/2005/8/layout/hProcess7"/>
    <dgm:cxn modelId="{E0C6E128-21EC-4123-A0BB-8A187645DDCC}" type="presParOf" srcId="{2D780D10-913F-4957-9F5E-3AFD470FEE16}" destId="{4395670E-8DBC-4395-BB38-EF659C71AA25}" srcOrd="0" destOrd="0" presId="urn:microsoft.com/office/officeart/2005/8/layout/hProcess7"/>
    <dgm:cxn modelId="{AFD61BEB-F3CA-424D-9C0E-EBD9F7265415}" type="presParOf" srcId="{2D780D10-913F-4957-9F5E-3AFD470FEE16}" destId="{F17FD801-69BD-4ECC-A36E-F28A3E8682E1}" srcOrd="1" destOrd="0" presId="urn:microsoft.com/office/officeart/2005/8/layout/hProcess7"/>
    <dgm:cxn modelId="{C615C119-7E61-47F3-9FAA-710116B42E7D}" type="presParOf" srcId="{2D780D10-913F-4957-9F5E-3AFD470FEE16}" destId="{39BB9AB1-3A61-453F-B231-98D464FD5EDD}" srcOrd="2" destOrd="0" presId="urn:microsoft.com/office/officeart/2005/8/layout/hProcess7"/>
    <dgm:cxn modelId="{98CA82F6-B6C8-4BA3-A88B-7CBF598EF01E}" type="presParOf" srcId="{C834922D-0535-4F69-9D98-35817F48BF2B}" destId="{CE007C6A-EDF0-4173-82C6-C4E84E2EB0E6}" srcOrd="1" destOrd="0" presId="urn:microsoft.com/office/officeart/2005/8/layout/hProcess7"/>
    <dgm:cxn modelId="{19B58B31-8C97-4D75-B3BE-747C0D04854E}" type="presParOf" srcId="{C834922D-0535-4F69-9D98-35817F48BF2B}" destId="{FEBA2D54-0B2F-4C00-BB25-EFDAEA79BFE0}" srcOrd="2" destOrd="0" presId="urn:microsoft.com/office/officeart/2005/8/layout/hProcess7"/>
    <dgm:cxn modelId="{692DE7F0-F0B1-4CA5-875F-E898AAAA4A8A}" type="presParOf" srcId="{FEBA2D54-0B2F-4C00-BB25-EFDAEA79BFE0}" destId="{928F13DC-9809-40AA-ACC7-73C721B8F493}" srcOrd="0" destOrd="0" presId="urn:microsoft.com/office/officeart/2005/8/layout/hProcess7"/>
    <dgm:cxn modelId="{B6C266B1-DC29-4E23-ABFC-C35F09B3F7D8}" type="presParOf" srcId="{FEBA2D54-0B2F-4C00-BB25-EFDAEA79BFE0}" destId="{4CB86EB9-1637-413E-BFC7-7012CBD6C28D}" srcOrd="1" destOrd="0" presId="urn:microsoft.com/office/officeart/2005/8/layout/hProcess7"/>
    <dgm:cxn modelId="{4170C873-B903-4052-BD7D-EB711D2A899A}" type="presParOf" srcId="{FEBA2D54-0B2F-4C00-BB25-EFDAEA79BFE0}" destId="{263E0347-CB7F-4245-9358-3EF2622CF6FD}" srcOrd="2" destOrd="0" presId="urn:microsoft.com/office/officeart/2005/8/layout/hProcess7"/>
    <dgm:cxn modelId="{0D76FA67-A53D-400D-8541-9FE5D675FEC9}" type="presParOf" srcId="{C834922D-0535-4F69-9D98-35817F48BF2B}" destId="{09E04D2F-FF6D-4E9E-8267-B5ACA6BF9C4D}" srcOrd="3" destOrd="0" presId="urn:microsoft.com/office/officeart/2005/8/layout/hProcess7"/>
    <dgm:cxn modelId="{93AF64C4-1FC7-4DD5-A007-B68DFAF0E017}" type="presParOf" srcId="{C834922D-0535-4F69-9D98-35817F48BF2B}" destId="{B61E5E0F-3CDD-4F0C-9900-633E2EF937F7}" srcOrd="4" destOrd="0" presId="urn:microsoft.com/office/officeart/2005/8/layout/hProcess7"/>
    <dgm:cxn modelId="{A10263A9-0F4A-4B87-A744-079E0A1EEA8C}" type="presParOf" srcId="{B61E5E0F-3CDD-4F0C-9900-633E2EF937F7}" destId="{2E3DDD08-58A3-4E25-B2DC-2F076F5980BB}" srcOrd="0" destOrd="0" presId="urn:microsoft.com/office/officeart/2005/8/layout/hProcess7"/>
    <dgm:cxn modelId="{16EA0417-334E-4D6A-8D0A-6AF7075A5F1D}" type="presParOf" srcId="{B61E5E0F-3CDD-4F0C-9900-633E2EF937F7}" destId="{8F066C72-3B40-46EC-88C9-DB2BDF678CB2}" srcOrd="1" destOrd="0" presId="urn:microsoft.com/office/officeart/2005/8/layout/hProcess7"/>
    <dgm:cxn modelId="{EA9F3AFE-FF91-4D1D-8A43-3FB3A116A070}" type="presParOf" srcId="{B61E5E0F-3CDD-4F0C-9900-633E2EF937F7}" destId="{A045B125-1AAC-4EBB-B444-999B4D9FD76C}" srcOrd="2" destOrd="0" presId="urn:microsoft.com/office/officeart/2005/8/layout/hProcess7"/>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5670E-8DBC-4395-BB38-EF659C71AA25}">
      <dsp:nvSpPr>
        <dsp:cNvPr id="0" name=""/>
        <dsp:cNvSpPr/>
      </dsp:nvSpPr>
      <dsp:spPr>
        <a:xfrm>
          <a:off x="943" y="0"/>
          <a:ext cx="2401775" cy="245745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kern="1200" dirty="0">
              <a:effectLst/>
              <a:latin typeface="Arial" panose="020B0604020202020204" pitchFamily="34" charset="0"/>
              <a:cs typeface="Arial" panose="020B0604020202020204" pitchFamily="34" charset="0"/>
            </a:rPr>
            <a:t>DAWG Meeting</a:t>
          </a:r>
        </a:p>
      </dsp:txBody>
      <dsp:txXfrm rot="16200000">
        <a:off x="-766433" y="767376"/>
        <a:ext cx="2015109" cy="480355"/>
      </dsp:txXfrm>
    </dsp:sp>
    <dsp:sp modelId="{39BB9AB1-3A61-453F-B231-98D464FD5EDD}">
      <dsp:nvSpPr>
        <dsp:cNvPr id="0" name=""/>
        <dsp:cNvSpPr/>
      </dsp:nvSpPr>
      <dsp:spPr>
        <a:xfrm>
          <a:off x="481298" y="0"/>
          <a:ext cx="1789323" cy="24574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Audits</a:t>
          </a:r>
          <a:endParaRPr lang="en-US" sz="1200" b="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Mailed Feedback</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Real-Time Feedback</a:t>
          </a:r>
          <a:endParaRPr lang="en-US" sz="1200" kern="1200" dirty="0">
            <a:effectLst/>
            <a:latin typeface="Arial" panose="020B0604020202020204" pitchFamily="34" charset="0"/>
            <a:cs typeface="Arial" panose="020B0604020202020204" pitchFamily="34" charset="0"/>
          </a:endParaRPr>
        </a:p>
        <a:p>
          <a:pPr marL="0" marR="0" lvl="0" indent="0" algn="l" defTabSz="914400" eaLnBrk="1" fontAlgn="auto" latinLnBrk="0" hangingPunct="1">
            <a:lnSpc>
              <a:spcPct val="100000"/>
            </a:lnSpc>
            <a:spcBef>
              <a:spcPct val="0"/>
            </a:spcBef>
            <a:spcAft>
              <a:spcPts val="600"/>
            </a:spcAft>
            <a:buClrTx/>
            <a:buSzTx/>
            <a:buFontTx/>
            <a:buNone/>
            <a:tabLst/>
            <a:defRPr/>
          </a:pPr>
          <a:r>
            <a:rPr lang="en-US" sz="1200" b="0" i="0" u="none" kern="1200" dirty="0">
              <a:effectLst/>
              <a:latin typeface="Arial" panose="020B0604020202020204" pitchFamily="34" charset="0"/>
              <a:cs typeface="Arial" panose="020B0604020202020204" pitchFamily="34" charset="0"/>
            </a:rPr>
            <a:t>Web-Based</a:t>
          </a:r>
          <a:r>
            <a:rPr lang="en-US" sz="1200" b="0" i="0" u="none" kern="1200" baseline="0" dirty="0">
              <a:effectLst/>
              <a:latin typeface="Arial" panose="020B0604020202020204" pitchFamily="34" charset="0"/>
              <a:cs typeface="Arial" panose="020B0604020202020204" pitchFamily="34" charset="0"/>
            </a:rPr>
            <a:t> Feedback</a:t>
          </a:r>
        </a:p>
        <a:p>
          <a:pPr marL="0" marR="0" lvl="0" indent="0" algn="l" defTabSz="914400" eaLnBrk="1" fontAlgn="auto" latinLnBrk="0" hangingPunct="1">
            <a:lnSpc>
              <a:spcPct val="100000"/>
            </a:lnSpc>
            <a:spcBef>
              <a:spcPct val="0"/>
            </a:spcBef>
            <a:spcAft>
              <a:spcPts val="600"/>
            </a:spcAft>
            <a:buClrTx/>
            <a:buSzTx/>
            <a:buFontTx/>
            <a:buNone/>
            <a:tabLst/>
            <a:defRPr/>
          </a:pPr>
          <a:r>
            <a:rPr lang="en-US" sz="1200" b="0" i="0" u="none" kern="1200" dirty="0">
              <a:effectLst/>
              <a:latin typeface="Arial" panose="020B0604020202020204" pitchFamily="34" charset="0"/>
              <a:cs typeface="Arial" panose="020B0604020202020204" pitchFamily="34" charset="0"/>
            </a:rPr>
            <a:t>Prepay (e.g. </a:t>
          </a:r>
          <a:r>
            <a:rPr lang="en-US" sz="1200" b="0" i="0" u="none" kern="1200" dirty="0" err="1">
              <a:effectLst/>
              <a:latin typeface="Arial" panose="020B0604020202020204" pitchFamily="34" charset="0"/>
              <a:cs typeface="Arial" panose="020B0604020202020204" pitchFamily="34" charset="0"/>
            </a:rPr>
            <a:t>mPower</a:t>
          </a:r>
          <a:r>
            <a:rPr lang="en-US" sz="1200" b="0" i="0" u="none" kern="1200" dirty="0">
              <a:effectLst/>
              <a:latin typeface="Arial" panose="020B0604020202020204" pitchFamily="34" charset="0"/>
              <a:cs typeface="Arial" panose="020B0604020202020204" pitchFamily="34" charset="0"/>
            </a:rPr>
            <a:t>)</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Smart Thermostats</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Challenges/Competitions</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Community-</a:t>
          </a:r>
          <a:r>
            <a:rPr lang="en-US" sz="1200" b="0" i="0" u="none" kern="1200" baseline="0" dirty="0">
              <a:effectLst/>
              <a:latin typeface="Arial" panose="020B0604020202020204" pitchFamily="34" charset="0"/>
              <a:cs typeface="Arial" panose="020B0604020202020204" pitchFamily="34" charset="0"/>
            </a:rPr>
            <a:t>Based Social Marketing</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Social Media</a:t>
          </a:r>
        </a:p>
      </dsp:txBody>
      <dsp:txXfrm>
        <a:off x="481298" y="0"/>
        <a:ext cx="1789323" cy="2457450"/>
      </dsp:txXfrm>
    </dsp:sp>
    <dsp:sp modelId="{2E3DDD08-58A3-4E25-B2DC-2F076F5980BB}">
      <dsp:nvSpPr>
        <dsp:cNvPr id="0" name=""/>
        <dsp:cNvSpPr/>
      </dsp:nvSpPr>
      <dsp:spPr>
        <a:xfrm>
          <a:off x="2486781" y="0"/>
          <a:ext cx="2401775" cy="245745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kern="1200" dirty="0">
              <a:effectLst/>
              <a:latin typeface="Arial" panose="020B0604020202020204" pitchFamily="34" charset="0"/>
              <a:cs typeface="Arial" panose="020B0604020202020204" pitchFamily="34" charset="0"/>
            </a:rPr>
            <a:t>Final Model</a:t>
          </a:r>
        </a:p>
      </dsp:txBody>
      <dsp:txXfrm rot="16200000">
        <a:off x="1719404" y="767376"/>
        <a:ext cx="2015109" cy="480355"/>
      </dsp:txXfrm>
    </dsp:sp>
    <dsp:sp modelId="{4CB86EB9-1637-413E-BFC7-7012CBD6C28D}">
      <dsp:nvSpPr>
        <dsp:cNvPr id="0" name=""/>
        <dsp:cNvSpPr/>
      </dsp:nvSpPr>
      <dsp:spPr>
        <a:xfrm rot="5400000">
          <a:off x="2318119" y="1927687"/>
          <a:ext cx="361340" cy="360266"/>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45B125-1AAC-4EBB-B444-999B4D9FD76C}">
      <dsp:nvSpPr>
        <dsp:cNvPr id="0" name=""/>
        <dsp:cNvSpPr/>
      </dsp:nvSpPr>
      <dsp:spPr>
        <a:xfrm>
          <a:off x="2967136" y="0"/>
          <a:ext cx="1789323" cy="24574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Home Energy Reports</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Web-Based Real-Time Feedback</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*In Home Display </a:t>
          </a:r>
          <a:br>
            <a:rPr lang="en-US" sz="1200" b="0" i="0" u="none" kern="1200" dirty="0">
              <a:effectLst/>
              <a:latin typeface="Arial" panose="020B0604020202020204" pitchFamily="34" charset="0"/>
              <a:ea typeface="+mn-ea"/>
              <a:cs typeface="Arial" panose="020B0604020202020204" pitchFamily="34" charset="0"/>
            </a:rPr>
          </a:br>
          <a:r>
            <a:rPr lang="en-US" sz="1200" b="0" i="0" u="none" kern="1200" dirty="0">
              <a:effectLst/>
              <a:latin typeface="Arial" panose="020B0604020202020204" pitchFamily="34" charset="0"/>
              <a:ea typeface="+mn-ea"/>
              <a:cs typeface="Arial" panose="020B0604020202020204" pitchFamily="34" charset="0"/>
            </a:rPr>
            <a:t>Real-Time Feedback</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Small Residential Competitions</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Large Residential Competitions</a:t>
          </a:r>
        </a:p>
      </dsp:txBody>
      <dsp:txXfrm>
        <a:off x="2967136" y="0"/>
        <a:ext cx="1789323" cy="2457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5670E-8DBC-4395-BB38-EF659C71AA25}">
      <dsp:nvSpPr>
        <dsp:cNvPr id="0" name=""/>
        <dsp:cNvSpPr/>
      </dsp:nvSpPr>
      <dsp:spPr>
        <a:xfrm>
          <a:off x="958" y="0"/>
          <a:ext cx="2441077" cy="270510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b="0" kern="1200" dirty="0">
              <a:ln/>
              <a:effectLst/>
              <a:latin typeface="Arial" panose="020B0604020202020204" pitchFamily="34" charset="0"/>
              <a:cs typeface="Arial" panose="020B0604020202020204" pitchFamily="34" charset="0"/>
            </a:rPr>
            <a:t>DAWG Meeting</a:t>
          </a:r>
        </a:p>
      </dsp:txBody>
      <dsp:txXfrm rot="16200000">
        <a:off x="-864024" y="864983"/>
        <a:ext cx="2218182" cy="488215"/>
      </dsp:txXfrm>
    </dsp:sp>
    <dsp:sp modelId="{39BB9AB1-3A61-453F-B231-98D464FD5EDD}">
      <dsp:nvSpPr>
        <dsp:cNvPr id="0" name=""/>
        <dsp:cNvSpPr/>
      </dsp:nvSpPr>
      <dsp:spPr>
        <a:xfrm>
          <a:off x="489174" y="0"/>
          <a:ext cx="1818602" cy="27051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Audits</a:t>
          </a:r>
          <a:endParaRPr lang="en-US" sz="1200" b="0" kern="1200" dirty="0">
            <a:ln/>
            <a:effectLst/>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Building Operator Training</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Feedback /</a:t>
          </a:r>
          <a:r>
            <a:rPr lang="en-US" sz="1200" b="0" i="0" u="none" kern="1200" baseline="0" dirty="0">
              <a:ln/>
              <a:effectLst/>
              <a:latin typeface="Arial" panose="020B0604020202020204" pitchFamily="34" charset="0"/>
              <a:cs typeface="Arial" panose="020B0604020202020204" pitchFamily="34" charset="0"/>
            </a:rPr>
            <a:t> Business Energy Reports / BEIMS</a:t>
          </a:r>
          <a:endParaRPr lang="en-US" sz="1200" b="0" i="0" u="none" kern="1200" dirty="0">
            <a:ln/>
            <a:effectLst/>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Challenges/Competitions</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Community-Based Social Media</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Strategic Energy Management</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Green Leases</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Building</a:t>
          </a:r>
          <a:r>
            <a:rPr lang="en-US" sz="1200" b="0" i="0" u="none" kern="1200" baseline="0" dirty="0">
              <a:ln/>
              <a:effectLst/>
              <a:latin typeface="Arial" panose="020B0604020202020204" pitchFamily="34" charset="0"/>
              <a:cs typeface="Arial" panose="020B0604020202020204" pitchFamily="34" charset="0"/>
            </a:rPr>
            <a:t> Benchmarking</a:t>
          </a:r>
          <a:endParaRPr lang="en-US" sz="1200" b="0" i="0" u="none" kern="1200" dirty="0">
            <a:ln/>
            <a:effectLst/>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Tenant-Operator</a:t>
          </a:r>
          <a:r>
            <a:rPr lang="en-US" sz="1200" b="0" i="0" u="none" kern="1200" baseline="0" dirty="0">
              <a:ln/>
              <a:effectLst/>
              <a:latin typeface="Arial" panose="020B0604020202020204" pitchFamily="34" charset="0"/>
              <a:cs typeface="Arial" panose="020B0604020202020204" pitchFamily="34" charset="0"/>
            </a:rPr>
            <a:t> Engagement (COMFY)</a:t>
          </a:r>
          <a:endParaRPr lang="en-US" sz="1200" b="0" i="0" u="none" kern="1200" dirty="0">
            <a:ln/>
            <a:effectLst/>
            <a:latin typeface="Arial" panose="020B0604020202020204" pitchFamily="34" charset="0"/>
            <a:cs typeface="Arial" panose="020B0604020202020204" pitchFamily="34" charset="0"/>
          </a:endParaRPr>
        </a:p>
      </dsp:txBody>
      <dsp:txXfrm>
        <a:off x="489174" y="0"/>
        <a:ext cx="1818602" cy="2705100"/>
      </dsp:txXfrm>
    </dsp:sp>
    <dsp:sp modelId="{2E3DDD08-58A3-4E25-B2DC-2F076F5980BB}">
      <dsp:nvSpPr>
        <dsp:cNvPr id="0" name=""/>
        <dsp:cNvSpPr/>
      </dsp:nvSpPr>
      <dsp:spPr>
        <a:xfrm>
          <a:off x="2527473" y="0"/>
          <a:ext cx="2441077" cy="270510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b="0" kern="1200" dirty="0">
              <a:ln/>
              <a:effectLst/>
              <a:latin typeface="Arial" panose="020B0604020202020204" pitchFamily="34" charset="0"/>
              <a:cs typeface="Arial" panose="020B0604020202020204" pitchFamily="34" charset="0"/>
            </a:rPr>
            <a:t>Final Model</a:t>
          </a:r>
        </a:p>
      </dsp:txBody>
      <dsp:txXfrm rot="16200000">
        <a:off x="1662490" y="864983"/>
        <a:ext cx="2218182" cy="488215"/>
      </dsp:txXfrm>
    </dsp:sp>
    <dsp:sp modelId="{4CB86EB9-1637-413E-BFC7-7012CBD6C28D}">
      <dsp:nvSpPr>
        <dsp:cNvPr id="0" name=""/>
        <dsp:cNvSpPr/>
      </dsp:nvSpPr>
      <dsp:spPr>
        <a:xfrm rot="5400000">
          <a:off x="2340947" y="2135457"/>
          <a:ext cx="397463" cy="36616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45B125-1AAC-4EBB-B444-999B4D9FD76C}">
      <dsp:nvSpPr>
        <dsp:cNvPr id="0" name=""/>
        <dsp:cNvSpPr/>
      </dsp:nvSpPr>
      <dsp:spPr>
        <a:xfrm>
          <a:off x="3015689" y="0"/>
          <a:ext cx="1818602" cy="27051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marR="0" lvl="0" indent="0" algn="l" defTabSz="91440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Building Operator Certification</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Business Energy Reports</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BEIMS</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Commercial Competitions</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Strategic Energy Management (including Industrial sector)</a:t>
          </a:r>
        </a:p>
        <a:p>
          <a:pPr marL="0" lvl="0" indent="0" algn="l" defTabSz="933450">
            <a:lnSpc>
              <a:spcPct val="100000"/>
            </a:lnSpc>
            <a:spcBef>
              <a:spcPct val="0"/>
            </a:spcBef>
            <a:spcAft>
              <a:spcPts val="600"/>
            </a:spcAft>
            <a:buNone/>
          </a:pPr>
          <a:r>
            <a:rPr lang="en-US" sz="1200" b="0" kern="1200" dirty="0">
              <a:ln/>
              <a:effectLst/>
              <a:latin typeface="Arial" panose="020B0604020202020204" pitchFamily="34" charset="0"/>
              <a:cs typeface="Arial" panose="020B0604020202020204" pitchFamily="34" charset="0"/>
            </a:rPr>
            <a:t>*Building Benchmarking</a:t>
          </a:r>
        </a:p>
        <a:p>
          <a:pPr marL="0" lvl="0" indent="0" algn="l" defTabSz="933450">
            <a:lnSpc>
              <a:spcPct val="100000"/>
            </a:lnSpc>
            <a:spcBef>
              <a:spcPct val="0"/>
            </a:spcBef>
            <a:spcAft>
              <a:spcPts val="600"/>
            </a:spcAft>
            <a:buNone/>
          </a:pPr>
          <a:r>
            <a:rPr lang="en-US" sz="1200" b="0" kern="1200" dirty="0" err="1">
              <a:ln/>
              <a:effectLst/>
              <a:latin typeface="Arial" panose="020B0604020202020204" pitchFamily="34" charset="0"/>
              <a:cs typeface="Arial" panose="020B0604020202020204" pitchFamily="34" charset="0"/>
            </a:rPr>
            <a:t>Retrocommissioning</a:t>
          </a:r>
          <a:endParaRPr lang="en-US" sz="1200" b="0" kern="1200" dirty="0">
            <a:ln/>
            <a:effectLst/>
            <a:latin typeface="Arial" panose="020B0604020202020204" pitchFamily="34" charset="0"/>
            <a:cs typeface="Arial" panose="020B0604020202020204" pitchFamily="34" charset="0"/>
          </a:endParaRPr>
        </a:p>
        <a:p>
          <a:pPr marL="0" lvl="0" indent="0" algn="l" defTabSz="933450">
            <a:lnSpc>
              <a:spcPct val="100000"/>
            </a:lnSpc>
            <a:spcBef>
              <a:spcPct val="0"/>
            </a:spcBef>
            <a:spcAft>
              <a:spcPts val="600"/>
            </a:spcAft>
            <a:buNone/>
          </a:pPr>
          <a:endParaRPr lang="en-US" sz="1200" b="0" kern="1200" dirty="0">
            <a:ln>
              <a:noFill/>
            </a:ln>
            <a:effectLst/>
            <a:latin typeface="Arial" panose="020B0604020202020204" pitchFamily="34" charset="0"/>
            <a:cs typeface="Arial" panose="020B0604020202020204" pitchFamily="34" charset="0"/>
          </a:endParaRPr>
        </a:p>
        <a:p>
          <a:pPr marL="0" lvl="0" indent="0" algn="l" defTabSz="933450">
            <a:lnSpc>
              <a:spcPct val="100000"/>
            </a:lnSpc>
            <a:spcBef>
              <a:spcPct val="0"/>
            </a:spcBef>
            <a:spcAft>
              <a:spcPts val="600"/>
            </a:spcAft>
            <a:buNone/>
          </a:pPr>
          <a:endParaRPr lang="en-US" sz="1200" b="0" kern="1200" dirty="0">
            <a:ln>
              <a:noFill/>
            </a:ln>
            <a:effectLst/>
            <a:latin typeface="Arial" panose="020B0604020202020204" pitchFamily="34" charset="0"/>
            <a:cs typeface="Arial" panose="020B0604020202020204" pitchFamily="34" charset="0"/>
          </a:endParaRPr>
        </a:p>
        <a:p>
          <a:pPr marL="0" lvl="0" indent="0" algn="l" defTabSz="933450">
            <a:lnSpc>
              <a:spcPct val="100000"/>
            </a:lnSpc>
            <a:spcBef>
              <a:spcPct val="0"/>
            </a:spcBef>
            <a:spcAft>
              <a:spcPts val="600"/>
            </a:spcAft>
            <a:buNone/>
          </a:pPr>
          <a:endParaRPr lang="en-US" sz="1200" b="0" kern="1200" dirty="0">
            <a:ln>
              <a:noFill/>
            </a:ln>
            <a:effectLst/>
            <a:latin typeface="Arial" panose="020B0604020202020204" pitchFamily="34" charset="0"/>
            <a:cs typeface="Arial" panose="020B0604020202020204" pitchFamily="34" charset="0"/>
          </a:endParaRPr>
        </a:p>
      </dsp:txBody>
      <dsp:txXfrm>
        <a:off x="3015689" y="0"/>
        <a:ext cx="1818602" cy="27051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avigant 2016 Rev">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3900B90E16EC428DE1ADC75A19FA6E" ma:contentTypeVersion="0" ma:contentTypeDescription="Create a new document." ma:contentTypeScope="" ma:versionID="892e69ae2b65cccc9457b85227d6768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8A0D-FD06-4BCF-AE65-F4A2186F14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B17BC0-2858-402E-824C-AE9390F70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C34E1F2-7682-4CFC-9E7E-E6A67577BC0F}">
  <ds:schemaRefs>
    <ds:schemaRef ds:uri="http://schemas.microsoft.com/sharepoint/v3/contenttype/forms"/>
  </ds:schemaRefs>
</ds:datastoreItem>
</file>

<file path=customXml/itemProps4.xml><?xml version="1.0" encoding="utf-8"?>
<ds:datastoreItem xmlns:ds="http://schemas.openxmlformats.org/officeDocument/2006/customXml" ds:itemID="{1A502994-507F-40E0-AF05-DDFA07B6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201</Pages>
  <Words>62175</Words>
  <Characters>354399</Characters>
  <Application>Microsoft Office Word</Application>
  <DocSecurity>0</DocSecurity>
  <Lines>2953</Lines>
  <Paragraphs>831</Paragraphs>
  <ScaleCrop>false</ScaleCrop>
  <HeadingPairs>
    <vt:vector size="2" baseType="variant">
      <vt:variant>
        <vt:lpstr>Title</vt:lpstr>
      </vt:variant>
      <vt:variant>
        <vt:i4>1</vt:i4>
      </vt:variant>
    </vt:vector>
  </HeadingPairs>
  <TitlesOfParts>
    <vt:vector size="1" baseType="lpstr">
      <vt:lpstr>[DOCUMENT TITLE]</vt:lpstr>
    </vt:vector>
  </TitlesOfParts>
  <Company>Navigant Consulting Inc.</Company>
  <LinksUpToDate>false</LinksUpToDate>
  <CharactersWithSpaces>415743</CharactersWithSpaces>
  <SharedDoc>false</SharedDoc>
  <HLinks>
    <vt:vector size="60" baseType="variant">
      <vt:variant>
        <vt:i4>1966139</vt:i4>
      </vt:variant>
      <vt:variant>
        <vt:i4>56</vt:i4>
      </vt:variant>
      <vt:variant>
        <vt:i4>0</vt:i4>
      </vt:variant>
      <vt:variant>
        <vt:i4>5</vt:i4>
      </vt:variant>
      <vt:variant>
        <vt:lpwstr/>
      </vt:variant>
      <vt:variant>
        <vt:lpwstr>_Toc145987735</vt:lpwstr>
      </vt:variant>
      <vt:variant>
        <vt:i4>1966139</vt:i4>
      </vt:variant>
      <vt:variant>
        <vt:i4>50</vt:i4>
      </vt:variant>
      <vt:variant>
        <vt:i4>0</vt:i4>
      </vt:variant>
      <vt:variant>
        <vt:i4>5</vt:i4>
      </vt:variant>
      <vt:variant>
        <vt:lpwstr/>
      </vt:variant>
      <vt:variant>
        <vt:lpwstr>_Toc145987734</vt:lpwstr>
      </vt:variant>
      <vt:variant>
        <vt:i4>1966139</vt:i4>
      </vt:variant>
      <vt:variant>
        <vt:i4>44</vt:i4>
      </vt:variant>
      <vt:variant>
        <vt:i4>0</vt:i4>
      </vt:variant>
      <vt:variant>
        <vt:i4>5</vt:i4>
      </vt:variant>
      <vt:variant>
        <vt:lpwstr/>
      </vt:variant>
      <vt:variant>
        <vt:lpwstr>_Toc145987733</vt:lpwstr>
      </vt:variant>
      <vt:variant>
        <vt:i4>1966139</vt:i4>
      </vt:variant>
      <vt:variant>
        <vt:i4>38</vt:i4>
      </vt:variant>
      <vt:variant>
        <vt:i4>0</vt:i4>
      </vt:variant>
      <vt:variant>
        <vt:i4>5</vt:i4>
      </vt:variant>
      <vt:variant>
        <vt:lpwstr/>
      </vt:variant>
      <vt:variant>
        <vt:lpwstr>_Toc145987732</vt:lpwstr>
      </vt:variant>
      <vt:variant>
        <vt:i4>1966139</vt:i4>
      </vt:variant>
      <vt:variant>
        <vt:i4>32</vt:i4>
      </vt:variant>
      <vt:variant>
        <vt:i4>0</vt:i4>
      </vt:variant>
      <vt:variant>
        <vt:i4>5</vt:i4>
      </vt:variant>
      <vt:variant>
        <vt:lpwstr/>
      </vt:variant>
      <vt:variant>
        <vt:lpwstr>_Toc145987731</vt:lpwstr>
      </vt:variant>
      <vt:variant>
        <vt:i4>1966139</vt:i4>
      </vt:variant>
      <vt:variant>
        <vt:i4>26</vt:i4>
      </vt:variant>
      <vt:variant>
        <vt:i4>0</vt:i4>
      </vt:variant>
      <vt:variant>
        <vt:i4>5</vt:i4>
      </vt:variant>
      <vt:variant>
        <vt:lpwstr/>
      </vt:variant>
      <vt:variant>
        <vt:lpwstr>_Toc145987730</vt:lpwstr>
      </vt:variant>
      <vt:variant>
        <vt:i4>2031675</vt:i4>
      </vt:variant>
      <vt:variant>
        <vt:i4>20</vt:i4>
      </vt:variant>
      <vt:variant>
        <vt:i4>0</vt:i4>
      </vt:variant>
      <vt:variant>
        <vt:i4>5</vt:i4>
      </vt:variant>
      <vt:variant>
        <vt:lpwstr/>
      </vt:variant>
      <vt:variant>
        <vt:lpwstr>_Toc145987729</vt:lpwstr>
      </vt:variant>
      <vt:variant>
        <vt:i4>2031675</vt:i4>
      </vt:variant>
      <vt:variant>
        <vt:i4>14</vt:i4>
      </vt:variant>
      <vt:variant>
        <vt:i4>0</vt:i4>
      </vt:variant>
      <vt:variant>
        <vt:i4>5</vt:i4>
      </vt:variant>
      <vt:variant>
        <vt:lpwstr/>
      </vt:variant>
      <vt:variant>
        <vt:lpwstr>_Toc145987728</vt:lpwstr>
      </vt:variant>
      <vt:variant>
        <vt:i4>2031675</vt:i4>
      </vt:variant>
      <vt:variant>
        <vt:i4>8</vt:i4>
      </vt:variant>
      <vt:variant>
        <vt:i4>0</vt:i4>
      </vt:variant>
      <vt:variant>
        <vt:i4>5</vt:i4>
      </vt:variant>
      <vt:variant>
        <vt:lpwstr/>
      </vt:variant>
      <vt:variant>
        <vt:lpwstr>_Toc145987727</vt:lpwstr>
      </vt:variant>
      <vt:variant>
        <vt:i4>2031675</vt:i4>
      </vt:variant>
      <vt:variant>
        <vt:i4>2</vt:i4>
      </vt:variant>
      <vt:variant>
        <vt:i4>0</vt:i4>
      </vt:variant>
      <vt:variant>
        <vt:i4>5</vt:i4>
      </vt:variant>
      <vt:variant>
        <vt:lpwstr/>
      </vt:variant>
      <vt:variant>
        <vt:lpwstr>_Toc145987726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Kristin Landry</dc:creator>
  <cp:keywords/>
  <dc:description/>
  <cp:lastModifiedBy>Amul Sathe</cp:lastModifiedBy>
  <cp:revision>32</cp:revision>
  <cp:lastPrinted>2017-06-12T22:23:00Z</cp:lastPrinted>
  <dcterms:created xsi:type="dcterms:W3CDTF">2017-06-12T23:07:00Z</dcterms:created>
  <dcterms:modified xsi:type="dcterms:W3CDTF">2017-06-14T03:49:00Z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0x010100793900B90E16EC428DE1ADC75A19FA6E</vt:lpwstr>
  </property>
  <property fmtid="{D5CDD505-2E9C-101B-9397-08002B2CF9AE}" pid="3" name="_dlc_DocIdItemGuid">
    <vt:lpwstr>2c7385da-2e45-467f-beb7-102c6f1eb5be</vt:lpwstr>
  </property>
</Properties>
</file>